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rPr>
          <w:sz w:val="24"/>
          <w:sz w:val="24"/>
        </w:rPr>
      </w:pPr>
      <w:r>
        <w:rPr>
          <w:sz w:val="24"/>
        </w:rPr>
        <w:t>Z pokynu pana ředitele odboru bezpečnostní politiky a prevence kriminality MV Mgr. Chovance si Vám dovoluji zaslat informace o české pozici k návrhům EK v oblasti zbraní.</w:t>
      </w:r>
      <w:r/>
    </w:p>
    <w:p>
      <w:pPr>
        <w:pStyle w:val="Tlotextu"/>
        <w:rPr>
          <w:sz w:val="24"/>
          <w:sz w:val="24"/>
        </w:rPr>
      </w:pPr>
      <w:r>
        <w:rPr>
          <w:sz w:val="24"/>
        </w:rPr>
        <w:t>Zítra proběhne v Bruselu jednání Pracovní skupiny pro obecné záležitosti a hodnocení (PS GENVAL). Český zástupce dostal instrukci, kterou přikládám. Zároveň jsme zástupcům ostatních členských států  i komise zaslali vyjádření ČR k návrhům. To taktéž přikládám. Přikládám též samotný návrh změny směrnice 91/477.  Níže v mailu jsou ještě další naše komentáře a přehled dopadů.</w:t>
      </w:r>
      <w:r/>
    </w:p>
    <w:p>
      <w:pPr>
        <w:pStyle w:val="Tlotextu"/>
        <w:rPr/>
      </w:pPr>
      <w:r>
        <w:rPr/>
        <w:t> </w:t>
      </w:r>
      <w:r/>
    </w:p>
    <w:p>
      <w:pPr>
        <w:pStyle w:val="Tlotextu"/>
      </w:pPr>
      <w:r>
        <w:rPr>
          <w:rFonts w:eastAsia="Times New Roman" w:cs="Times New Roman"/>
        </w:rPr>
        <w:t>„</w:t>
      </w:r>
      <w:r>
        <w:rPr/>
        <w:t>Přehled dopadů“ novely směrnice o zbraních:</w:t>
      </w:r>
      <w:r/>
    </w:p>
    <w:p>
      <w:pPr>
        <w:pStyle w:val="Tlotextu"/>
      </w:pPr>
      <w:r>
        <w:rPr/>
        <w:t xml:space="preserve">Komise v současné době předložila návrh změny směrnice o kontrole nabývání a držení zbraní (91/477/EHS). Návrh sice obsahuje některé užitečné body (např. požadavek na ověřování zdravotní způsobilosti u držitelů  zbrojních průkazů a upřesnění některých pojmů), z nichž však valnou většinu již česká právní úprava zahrnuje. Vedle těchto změn </w:t>
      </w:r>
      <w:r>
        <w:rPr>
          <w:u w:val="single"/>
        </w:rPr>
        <w:t>ale návrh zahrnuje řadu poměrně výrazně problematických bodů</w:t>
      </w:r>
      <w:r>
        <w:rPr/>
        <w:t xml:space="preserve">. Některé tyto změny jsou v podstatě nevymahatelné, povedou však k enormní administrativní zátěži jak na straně veřejné správy, tak i veřejnosti (hlavně pokud jde o repliky, historické zbraně a expanzní zbraně a znehodnocené zbraně), ale též podnikatelů (zásadní faktické rozšíření pojmu „dealer“ a „broker“ i na podnikatele nakládající s komponenty zbraní, které nepodléhají evidenční povinnosti). Některé body návrhu však představují dokonce potenciální bezpečnostní riziko (zásadní omezení samonabíjecích zbraní, navrhovaný počátek aplikace). </w:t>
      </w:r>
      <w:r/>
    </w:p>
    <w:p>
      <w:pPr>
        <w:pStyle w:val="Tlotextu"/>
        <w:rPr/>
      </w:pPr>
      <w:r>
        <w:rPr/>
        <w:t> </w:t>
      </w:r>
      <w:r/>
    </w:p>
    <w:p>
      <w:pPr>
        <w:pStyle w:val="Tlotextu"/>
        <w:rPr/>
      </w:pPr>
      <w:r>
        <w:rPr/>
        <w:t>Konkrétně lze uvést jako problematické:</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 xml:space="preserve">Mezi licencované obchodníky (dealers, brokers) se zařazují všichni, kdo podnikají s „komponenty“ zbraní (nikoli tedy jen s evidovanými hlavními částmi zbraní) </w:t>
      </w:r>
      <w:r>
        <w:rPr/>
        <w:t xml:space="preserve">– </w:t>
      </w:r>
      <w:r>
        <w:rPr>
          <w:rFonts w:cs="Calibri;sans-serif" w:ascii="Calibri;sans-serif" w:hAnsi="Calibri;sans-serif"/>
          <w:sz w:val="22"/>
        </w:rPr>
        <w:t xml:space="preserve">to může v současné podobě vést k tomu, že by nově měly mít zbrojní licenci třeba i </w:t>
      </w:r>
      <w:r>
        <w:rPr>
          <w:rFonts w:cs="Calibri;sans-serif" w:ascii="Calibri;sans-serif" w:hAnsi="Calibri;sans-serif"/>
          <w:sz w:val="22"/>
          <w:u w:val="single"/>
        </w:rPr>
        <w:t>truhlárny, kde se vyrábí pažby, nebo výrobci pružin</w:t>
      </w:r>
      <w:r>
        <w:rPr>
          <w:rFonts w:cs="Calibri;sans-serif" w:ascii="Calibri;sans-serif" w:hAnsi="Calibri;sans-serif"/>
          <w:sz w:val="22"/>
        </w:rPr>
        <w:t>.</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Definice „repliky“ je ničím neohraničená</w:t>
      </w:r>
      <w:r>
        <w:rPr/>
        <w:t xml:space="preserve"> – </w:t>
      </w:r>
      <w:r>
        <w:rPr>
          <w:rFonts w:cs="Calibri;sans-serif" w:ascii="Calibri;sans-serif" w:hAnsi="Calibri;sans-serif"/>
          <w:sz w:val="22"/>
        </w:rPr>
        <w:t xml:space="preserve">ve stávající podobě budou za repliky považovány i všechny </w:t>
      </w:r>
      <w:r>
        <w:rPr>
          <w:rFonts w:cs="Calibri;sans-serif" w:ascii="Calibri;sans-serif" w:hAnsi="Calibri;sans-serif"/>
          <w:sz w:val="22"/>
          <w:u w:val="single"/>
        </w:rPr>
        <w:t>různé dekorační předměty a hračky</w:t>
      </w:r>
      <w:r>
        <w:rPr>
          <w:rFonts w:cs="Calibri;sans-serif" w:ascii="Calibri;sans-serif" w:hAnsi="Calibri;sans-serif"/>
          <w:sz w:val="22"/>
        </w:rPr>
        <w:t xml:space="preserve">. Přitom má jít výslovně o předměty, které </w:t>
      </w:r>
      <w:r>
        <w:rPr>
          <w:rFonts w:cs="Calibri;sans-serif" w:ascii="Calibri;sans-serif" w:hAnsi="Calibri;sans-serif"/>
          <w:sz w:val="22"/>
          <w:u w:val="single"/>
        </w:rPr>
        <w:t>ani není možné konvertovat na funkční zbraně</w:t>
      </w:r>
      <w:r>
        <w:rPr>
          <w:rFonts w:cs="Calibri;sans-serif" w:ascii="Calibri;sans-serif" w:hAnsi="Calibri;sans-serif"/>
          <w:sz w:val="22"/>
        </w:rPr>
        <w:t xml:space="preserve">. Vzhledem k zařazení replik mezi zbraně kategorie C se budou muset všechny tyto předměty nejen evidovat (v případě ČR v Centrálním registru zbraní, který spravuje policie) po celou dobu jejich životního cyklu, ale i opatřovat stanoveným značením, výrobními čísly atd. Tato právní úprava se bude týkat i replik, které jsou již v oběhu, resp. ve vlastnictví fyzických a právnických osob. Lze si jen těžko představit realistické vynucování dodržování pravidel stanovených pro tyto repliky. Je však třeba upozornit, že v kategorii C, kam repliky návrh revidované směrnice zařazuje, je na stejné úrovni regulována např. většina plně funkčních loveckých zbraní (kulovnic a brokovnic), které jsou oproti replikám skutečnými zbraněmi. </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Změna čl. 4 odst. 4 fakticky znamená povinnost registrace (včetně hlášení převodu atd.) všech znehodnocených zbraní</w:t>
      </w:r>
      <w:r>
        <w:rPr>
          <w:rFonts w:cs="Calibri;sans-serif" w:ascii="Calibri;sans-serif" w:hAnsi="Calibri;sans-serif"/>
          <w:sz w:val="22"/>
        </w:rPr>
        <w:t>, a to bez ohledu na to, do jaké kategorie budou znehodnocené zbraně nakonec zařazeny – to je neproveditelné a nesmyslné, v držení fyzických osob a právnických osob je v současné době značné množství těchto zbraní (řádově stovky tisíc), které evidovány nejsou a pro jejich držení není vyžadována jakákoli autorizace (např. zbrojní průkaz). Rovněž pro veřejnou správu bude realizace této úpravy znamenat zcela zbytečnou zátěž. Navíc je značně pochybné, nakolik tento ryze administrativní systém může zneužití deaktivovaných zbraní jakkoli zabránit.</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Návrhem je naprosto vyloučeno, aby zbraně kategorie A držely soukromé subjekty</w:t>
      </w:r>
      <w:r>
        <w:rPr/>
        <w:t xml:space="preserve"> </w:t>
      </w:r>
      <w:r>
        <w:rPr>
          <w:rFonts w:cs="Calibri;sans-serif" w:ascii="Calibri;sans-serif" w:hAnsi="Calibri;sans-serif"/>
          <w:sz w:val="22"/>
        </w:rPr>
        <w:t xml:space="preserve">(s výjimkou muzeí, která mohou mít pouze zbraně, které nabyla do vlastnictví před účinností této revidované směrnice a které jsou znehodnocené) – je zrušena možnost členských států udělovat výjimku (a to jak jednotlivě rozhodnutím např. sběratelům, tak i „blokově“ v rámci licence podnikatele). Návrh Komise by zde měl pravděpodobně důsledky, které ani ona sama nezamýšlela. Tato změna znamená, že v EU nebude nikdo krom samotných orgánů veřejné moci oprávněn zbraně kategorie A ani vyrábět, opravovat, znehodnocovat, ničit atd. (Revidovaná směrnice připouští jen komerční transfery „válečných zbraní“ podle čl. 2 odst. 2, na tyto aktivity se naopak směrnice nebude vztahovat vůbec, nicméně „válečné zbraně“ jsou nepochybně užší pojem, než jak je vymezena kategorie A.) Pokud by však v tomto směru myslela Komise daný návrh skutečně tak restriktivně, jak je text formulován, představovalo by to </w:t>
      </w:r>
      <w:r>
        <w:rPr>
          <w:rFonts w:cs="Calibri;sans-serif" w:ascii="Calibri;sans-serif" w:hAnsi="Calibri;sans-serif"/>
          <w:sz w:val="22"/>
          <w:u w:val="single"/>
        </w:rPr>
        <w:t>významný zásah do tuzemského (resp. obecně evropského) zbrojního průmyslu a faktickou nutnost zbraně pro armádu a policie z valné většiny dovážet ze států mimo EU.</w:t>
      </w:r>
      <w:r>
        <w:rPr>
          <w:rFonts w:cs="Calibri;sans-serif" w:ascii="Calibri;sans-serif" w:hAnsi="Calibri;sans-serif"/>
          <w:sz w:val="22"/>
        </w:rPr>
        <w:t xml:space="preserve"> Ovšem i v případě, že se má návrh vztahovat pouze na část soukromých subjektů, lze navrhované opatření považovat za značně excesivní (zvláště s ohledem na zásadní rozšíření vymezení zbraní kategorie A, viz dále). Realizace tohoto opatření s sebou ponese značné náklady pro veřejné rozpočty, neboť jedná se o faktické vyvlastnění držitelů zbraní kategorie A, které je dle Ústavy ČR možné jen za náhradu.</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On-line transakce se zbraněmi je vztažen na všechny „komponenty“ a až na převody mezi licencovanými podnikateli zakázán</w:t>
      </w:r>
      <w:r>
        <w:rPr/>
        <w:t xml:space="preserve"> – </w:t>
      </w:r>
      <w:r>
        <w:rPr>
          <w:rFonts w:cs="Calibri;sans-serif" w:ascii="Calibri;sans-serif" w:hAnsi="Calibri;sans-serif"/>
          <w:sz w:val="22"/>
        </w:rPr>
        <w:t>v rozsahu, v němž se toto opatření vztahuje na komponenty, které nejsou hlavními částmi zbraní (střenky, pažby, mířidla, šroubky, pružiny, ale zdánlivě i „nebezpečnější“ komponenty typu spoušťových mechanismů, zásobníků apod.), jej lze považovat za nadbytečné a administrativně značně zatěžující.</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Mezi zbraně kategorie A se zařazují samonabíjecí zbraně upravené ze samočinných a mající vzhled zbraní vojenských</w:t>
      </w:r>
      <w:r>
        <w:rPr/>
        <w:t xml:space="preserve"> – </w:t>
      </w:r>
      <w:r>
        <w:rPr>
          <w:rFonts w:cs="Calibri;sans-serif" w:ascii="Calibri;sans-serif" w:hAnsi="Calibri;sans-serif"/>
          <w:sz w:val="22"/>
        </w:rPr>
        <w:t>v případě ČR to znamená řádově desítky tisíc zbraní. Lze se zcela konkrétně obávat toho, že značná část těchto zbraní by nebyla (zvláště v současné atmosféře nejistoty a mediálního obrazu „krize“) odevzdána a přešla by do ilegální sféry. Toto opatření by pro ČR představovalo zásadní bezpečnostní riziko.</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Návrh zařazuje v podstatě všechny znehodnocené zbraně a expanzní zbraně mezi zbraně kategorií A nebo C</w:t>
      </w:r>
      <w:r>
        <w:rPr/>
        <w:t xml:space="preserve"> – </w:t>
      </w:r>
      <w:r>
        <w:rPr>
          <w:rFonts w:cs="Calibri;sans-serif" w:ascii="Calibri;sans-serif" w:hAnsi="Calibri;sans-serif"/>
          <w:sz w:val="22"/>
        </w:rPr>
        <w:t xml:space="preserve">tato dalekosáhlá změna bude jednak znamenat úplnou ztrátu jakékoli  případné motivace pro znehodnocování zbraní (tím se stane i nařízení Komise o standardech pro znehodnocování pod značným tlakem v rychlosti schválené 18. 11. 2015 v podstatě redundantní normou). Z vnitrostátního pohledu je však zásadní, že tato změna reálně znamená kriminalizaci (přestupkovou, ale v případě zbraní kategorie A, nebo většího počtu těchto zbraní u jednoho držitele i trestní) u řádově desítek až stovek tisíc občanů ČR, kteří jsou dosud s těmito zbraněmi oprávněni nakládat volně od 18 let (obdobná úprava je i v jiných členských státech, přísnější režim je spíše výjimečný – např. v UK, SE či PT). Latence těchto zbraní bude obrovská. Navrhované opatření absolutně neodpovídá bezpečnostním rizikům s těmito zbraněmi spojenými a především je ani reálně neřeší (přínosem v tomto směru může být na úrovni EU stanovení minimálních technických standardů, což návrh také zakotvuje). Bezpečnostní riziko těchto zbraní spočívá v možnosti upravit je na funkční zbraně. Tomu je však třeba čelit např. stanovením vysokých technických standardů pro jejich konstrukční provedení a stanovení přísných sankcí za pokusy o jejich reaktivaci. </w:t>
      </w:r>
      <w:r>
        <w:rPr>
          <w:rFonts w:cs="Calibri;sans-serif" w:ascii="Calibri;sans-serif" w:hAnsi="Calibri;sans-serif"/>
          <w:sz w:val="22"/>
          <w:u w:val="single"/>
        </w:rPr>
        <w:t>Do budoucna by už nebylo možné normálně pořádat Osvobození Plzně, oslavy vylodění v Normandii apod. kde kluby vojenské historie mají často znehodnocené zbraně, repliky, expanzní zbraně.</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V revidované směrnici je oproti současnému znění vypuštěna výluka pro historické zbraně a jejich moderní napodobeniny</w:t>
      </w:r>
      <w:r>
        <w:rPr/>
        <w:t xml:space="preserve"> – </w:t>
      </w:r>
      <w:r>
        <w:rPr>
          <w:rFonts w:cs="Calibri;sans-serif" w:ascii="Calibri;sans-serif" w:hAnsi="Calibri;sans-serif"/>
          <w:sz w:val="22"/>
        </w:rPr>
        <w:t xml:space="preserve">to znamená, že i např. drtivá většina dosud volně prodejných zbraní na černý střelný prach („předovek“) bude nově spadat mezi zbraně kategorie C. Toto opatření je (zvláště ve vztahu ke zbraním, které jsou již v oběhu) opět v podstatě nevymahatelné. Pokud by mělo být dosaženo souladu s textem revidované směrnice, znamenalo by to i v tomto případě bezdůvodnou kriminalizaci další skupiny lidí. Rovněž je třeba upozornit, že bezpečnostní rizika spojená s těmito zbraněmi jsou minimální (nabití pro jeden výstřel kupř. u zbraně s křesadlovým zámkem je otázkou 1-2 minut, je zřejmé, že pro masivní útoky jsou tyto zbraně zhola nepoužitelné). </w:t>
      </w:r>
      <w:r>
        <w:rPr>
          <w:rFonts w:cs="Calibri;sans-serif" w:ascii="Calibri;sans-serif" w:hAnsi="Calibri;sans-serif"/>
          <w:sz w:val="22"/>
          <w:u w:val="single"/>
        </w:rPr>
        <w:t>Zároveň by tím skončily všechny pravidelné akce typu Rekonstrukce bitvy u Slavkova u Waterloo</w:t>
      </w:r>
      <w:r>
        <w:rPr>
          <w:rFonts w:cs="Calibri;sans-serif" w:ascii="Calibri;sans-serif" w:hAnsi="Calibri;sans-serif"/>
          <w:sz w:val="22"/>
        </w:rPr>
        <w:t xml:space="preserve">. </w:t>
      </w:r>
      <w:r/>
    </w:p>
    <w:p>
      <w:pPr>
        <w:pStyle w:val="Tlotextu"/>
        <w:ind w:left="0" w:right="0" w:hanging="360"/>
      </w:pPr>
      <w:r>
        <w:rPr>
          <w:rFonts w:cs="Symbol" w:ascii="Symbol" w:hAnsi="Symbol"/>
          <w:sz w:val="22"/>
        </w:rPr>
        <w:t>·</w:t>
      </w:r>
      <w:r>
        <w:rPr>
          <w:rFonts w:cs="Symbol" w:ascii="Symbol" w:hAnsi="Symbol"/>
          <w:caps w:val="false"/>
          <w:smallCaps w:val="false"/>
          <w:sz w:val="22"/>
        </w:rPr>
        <w:t xml:space="preserve">        </w:t>
      </w:r>
      <w:r>
        <w:rPr>
          <w:rFonts w:cs="Calibri;sans-serif" w:ascii="Calibri;sans-serif" w:hAnsi="Calibri;sans-serif"/>
          <w:sz w:val="22"/>
          <w:u w:val="single"/>
        </w:rPr>
        <w:t>V návrhu revidované směrnice je předběžně navržen termín, v němž mají členské státy zajistit její aplikaci, na 3 měsíce od publikace schváleného textu v oficiálním věstníku EU</w:t>
      </w:r>
      <w:r>
        <w:rPr/>
        <w:t xml:space="preserve"> – </w:t>
      </w:r>
      <w:r>
        <w:rPr>
          <w:rFonts w:cs="Calibri;sans-serif" w:ascii="Calibri;sans-serif" w:hAnsi="Calibri;sans-serif"/>
          <w:sz w:val="22"/>
        </w:rPr>
        <w:t>to je procesně a legislativně-technicky naprosto neproveditelné, jen pro přípravu změny českého zákona o zbraních a jeho prováděcích právních předpisů by bylo třeba cca 2 let. Změny těchto tuzemských předpisů budou navíc změnami „technických norem“ ve smyslu směrnice 2015/1535, která požaduje jejich notifikaci (před schválením) po dobu 3 měsíců. Navržený termín pro aplikaci revidované směrnice je tedy zcela nerealistický i z hlediska práva EU.</w:t>
      </w:r>
      <w:r/>
    </w:p>
    <w:p>
      <w:pPr>
        <w:pStyle w:val="Tlotextu"/>
        <w:spacing w:before="0" w:after="140"/>
        <w:rPr>
          <w:color w:val="1F497D"/>
        </w:rPr>
      </w:pPr>
      <w:r>
        <w:rPr>
          <w:color w:val="1F497D"/>
        </w:rPr>
        <w:t> </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Symbol">
    <w:charset w:val="01"/>
    <w:family w:val="auto"/>
    <w:pitch w:val="default"/>
  </w:font>
  <w:font w:name="Calibri">
    <w:altName w:val="sans-serif"/>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cs-CZ"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cs-CZ" w:eastAsia="zh-CN" w:bidi="hi-IN"/>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TotalTime>
  <Application>LibreOffice/4.3.4.1$Windows_x86 LibreOffice_project/bc356b2f991740509f321d70e4512a6a54c5f243</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2015-12-09T16:02:21Z</dcterms:created>
  <dc:language>cs-CZ</dc:language>
  <dcterms:modified xsi:type="dcterms:W3CDTF">2015-12-09T16:02:46Z</dcterms:modified>
  <cp:revision>1</cp:revision>
</cp:coreProperties>
</file>