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4.xml" ContentType="application/vnd.openxmlformats-officedocument.themeOverride+xml"/>
  <Override PartName="/word/charts/chart40.xml" ContentType="application/vnd.openxmlformats-officedocument.drawingml.chart+xml"/>
  <Override PartName="/word/theme/themeOverride5.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3CE4" w:rsidRPr="0092047B" w:rsidRDefault="005A6F37" w:rsidP="00E516ED">
      <w:pPr>
        <w:pStyle w:val="Zkladntext"/>
        <w:spacing w:before="3800"/>
        <w:jc w:val="center"/>
        <w:rPr>
          <w:rFonts w:cstheme="minorHAnsi"/>
          <w:b/>
          <w:bCs/>
          <w:color w:val="004B8D"/>
          <w:spacing w:val="2"/>
          <w:sz w:val="36"/>
        </w:rPr>
      </w:pPr>
      <w:r w:rsidRPr="0092047B">
        <w:rPr>
          <w:rFonts w:cstheme="minorHAnsi"/>
          <w:b/>
          <w:bCs/>
          <w:noProof/>
          <w:color w:val="004B8D"/>
          <w:spacing w:val="2"/>
          <w:sz w:val="36"/>
        </w:rPr>
        <mc:AlternateContent>
          <mc:Choice Requires="wps">
            <w:drawing>
              <wp:anchor distT="0" distB="0" distL="114300" distR="114300" simplePos="0" relativeHeight="251659264" behindDoc="1" locked="0" layoutInCell="1" allowOverlap="1" wp14:anchorId="6892F98F" wp14:editId="697CE40C">
                <wp:simplePos x="0" y="0"/>
                <wp:positionH relativeFrom="column">
                  <wp:posOffset>-892810</wp:posOffset>
                </wp:positionH>
                <wp:positionV relativeFrom="paragraph">
                  <wp:posOffset>-878840</wp:posOffset>
                </wp:positionV>
                <wp:extent cx="7553325" cy="10687050"/>
                <wp:effectExtent l="0" t="0" r="9525" b="0"/>
                <wp:wrapNone/>
                <wp:docPr id="2" name="Obdélní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687050"/>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85" o:spid="_x0000_s1026" style="position:absolute;margin-left:-70.3pt;margin-top:-69.2pt;width:594.75pt;height:8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" stroked="f" strokeweight="2pt">
                <v:fill r:id="rId17" o:title="" recolor="t" rotate="t" type="frame"/>
              </v:rect>
            </w:pict>
          </mc:Fallback>
        </mc:AlternateContent>
      </w:r>
      <w:r w:rsidR="006E3CE4" w:rsidRPr="0092047B">
        <w:rPr>
          <w:rFonts w:cstheme="minorHAnsi"/>
          <w:b/>
          <w:bCs/>
          <w:color w:val="004B8D"/>
          <w:spacing w:val="2"/>
          <w:sz w:val="36"/>
        </w:rPr>
        <w:t>AKTUALIZACE STÁTNÍ ENERGETICK</w:t>
      </w:r>
      <w:r w:rsidR="006E3CE4" w:rsidRPr="0092047B">
        <w:rPr>
          <w:rFonts w:cstheme="minorHAnsi"/>
          <w:b/>
          <w:bCs/>
          <w:caps/>
          <w:color w:val="004B8D"/>
          <w:spacing w:val="2"/>
          <w:sz w:val="36"/>
        </w:rPr>
        <w:t>É</w:t>
      </w:r>
      <w:r w:rsidR="00855258" w:rsidRPr="0092047B">
        <w:rPr>
          <w:rFonts w:cstheme="minorHAnsi"/>
          <w:b/>
          <w:bCs/>
          <w:color w:val="004B8D"/>
          <w:spacing w:val="2"/>
          <w:sz w:val="36"/>
        </w:rPr>
        <w:t xml:space="preserve"> KONCEPCE</w:t>
      </w:r>
    </w:p>
    <w:p w:rsidR="006E3CE4" w:rsidRPr="0092047B" w:rsidRDefault="006E3CE4" w:rsidP="006E3CE4">
      <w:pPr>
        <w:pStyle w:val="Zkladntext"/>
        <w:jc w:val="center"/>
        <w:rPr>
          <w:rFonts w:cstheme="minorHAnsi"/>
          <w:b/>
          <w:bCs/>
          <w:color w:val="004B8D"/>
          <w:sz w:val="36"/>
        </w:rPr>
      </w:pPr>
      <w:r w:rsidRPr="0092047B">
        <w:rPr>
          <w:rFonts w:cstheme="minorHAnsi"/>
          <w:b/>
          <w:bCs/>
          <w:color w:val="004B8D"/>
          <w:spacing w:val="2"/>
          <w:sz w:val="36"/>
        </w:rPr>
        <w:t>ČESKÉ REPUBLIKY</w:t>
      </w:r>
    </w:p>
    <w:p w:rsidR="006E3CE4" w:rsidRPr="0092047B" w:rsidRDefault="006E3CE4" w:rsidP="00855258">
      <w:pPr>
        <w:spacing w:before="3600"/>
        <w:jc w:val="center"/>
        <w:rPr>
          <w:rFonts w:cstheme="minorHAnsi"/>
          <w:b/>
          <w:bCs/>
          <w:color w:val="0096D6"/>
          <w:spacing w:val="2"/>
          <w:sz w:val="36"/>
        </w:rPr>
      </w:pPr>
      <w:r w:rsidRPr="0092047B">
        <w:rPr>
          <w:rFonts w:cstheme="minorHAnsi"/>
          <w:b/>
          <w:bCs/>
          <w:color w:val="0096D6"/>
          <w:spacing w:val="2"/>
          <w:sz w:val="36"/>
        </w:rPr>
        <w:t>Praha –</w:t>
      </w:r>
      <w:r w:rsidR="000741D8">
        <w:rPr>
          <w:rFonts w:cstheme="minorHAnsi"/>
          <w:b/>
          <w:bCs/>
          <w:color w:val="0096D6"/>
          <w:spacing w:val="2"/>
          <w:sz w:val="36"/>
        </w:rPr>
        <w:t xml:space="preserve"> </w:t>
      </w:r>
      <w:r w:rsidR="0089461D">
        <w:rPr>
          <w:rFonts w:cstheme="minorHAnsi"/>
          <w:b/>
          <w:bCs/>
          <w:color w:val="0096D6"/>
          <w:spacing w:val="2"/>
          <w:sz w:val="36"/>
        </w:rPr>
        <w:t>listopad</w:t>
      </w:r>
      <w:r w:rsidR="002527D1" w:rsidRPr="0092047B">
        <w:rPr>
          <w:rFonts w:cstheme="minorHAnsi"/>
          <w:b/>
          <w:bCs/>
          <w:color w:val="0096D6"/>
          <w:spacing w:val="2"/>
          <w:sz w:val="36"/>
        </w:rPr>
        <w:t xml:space="preserve"> </w:t>
      </w:r>
      <w:r w:rsidRPr="0092047B">
        <w:rPr>
          <w:rFonts w:cstheme="minorHAnsi"/>
          <w:b/>
          <w:bCs/>
          <w:color w:val="0096D6"/>
          <w:spacing w:val="2"/>
          <w:sz w:val="36"/>
        </w:rPr>
        <w:t>201</w:t>
      </w:r>
      <w:r w:rsidR="005A61B0" w:rsidRPr="0092047B">
        <w:rPr>
          <w:rFonts w:cstheme="minorHAnsi"/>
          <w:b/>
          <w:bCs/>
          <w:color w:val="0096D6"/>
          <w:spacing w:val="2"/>
          <w:sz w:val="36"/>
        </w:rPr>
        <w:t>4</w:t>
      </w:r>
    </w:p>
    <w:p w:rsidR="00E516ED" w:rsidRPr="0092047B" w:rsidRDefault="00E516ED">
      <w:bookmarkStart w:id="1" w:name="_Toc333818867"/>
      <w:bookmarkStart w:id="2" w:name="_Toc246489363"/>
      <w:bookmarkStart w:id="3" w:name="_Toc247435141"/>
      <w:bookmarkStart w:id="4" w:name="_Toc250729410"/>
      <w:r w:rsidRPr="0092047B">
        <w:br w:type="page"/>
      </w:r>
    </w:p>
    <w:sdt>
      <w:sdtPr>
        <w:id w:val="-623150967"/>
        <w:docPartObj>
          <w:docPartGallery w:val="Table of Contents"/>
          <w:docPartUnique/>
        </w:docPartObj>
      </w:sdtPr>
      <w:sdtEndPr>
        <w:rPr>
          <w:rFonts w:cstheme="minorHAnsi"/>
          <w:bCs/>
          <w:sz w:val="20"/>
        </w:rPr>
      </w:sdtEndPr>
      <w:sdtContent>
        <w:p w:rsidR="00A66B41" w:rsidRPr="0092047B" w:rsidRDefault="00CC2AB2" w:rsidP="00CC2AB2">
          <w:pPr>
            <w:spacing w:after="480"/>
            <w:rPr>
              <w:rFonts w:ascii="Arial" w:hAnsi="Arial" w:cs="Arial"/>
              <w:b/>
              <w:color w:val="004B8D"/>
              <w:sz w:val="28"/>
            </w:rPr>
          </w:pPr>
          <w:r w:rsidRPr="0092047B">
            <w:rPr>
              <w:rFonts w:ascii="Arial" w:hAnsi="Arial" w:cs="Arial"/>
              <w:b/>
              <w:color w:val="004B8D"/>
              <w:sz w:val="28"/>
            </w:rPr>
            <w:t>Obsah:</w:t>
          </w:r>
        </w:p>
        <w:p w:rsidR="005218D2" w:rsidRDefault="00587E53">
          <w:pPr>
            <w:pStyle w:val="Obsah1"/>
            <w:rPr>
              <w:rFonts w:asciiTheme="minorHAnsi" w:eastAsiaTheme="minorEastAsia" w:hAnsiTheme="minorHAnsi" w:cstheme="minorBidi"/>
              <w:b w:val="0"/>
              <w:bCs w:val="0"/>
              <w:caps w:val="0"/>
              <w:sz w:val="22"/>
              <w:szCs w:val="22"/>
            </w:rPr>
          </w:pPr>
          <w:r w:rsidRPr="0092047B">
            <w:rPr>
              <w:rFonts w:cstheme="minorHAnsi"/>
              <w:sz w:val="20"/>
            </w:rPr>
            <w:fldChar w:fldCharType="begin"/>
          </w:r>
          <w:r w:rsidR="00037548" w:rsidRPr="0092047B">
            <w:rPr>
              <w:rFonts w:cstheme="minorHAnsi"/>
              <w:sz w:val="20"/>
            </w:rPr>
            <w:instrText xml:space="preserve"> TOC \o "1-3" \h \z \u </w:instrText>
          </w:r>
          <w:r w:rsidRPr="0092047B">
            <w:rPr>
              <w:rFonts w:cstheme="minorHAnsi"/>
              <w:sz w:val="20"/>
            </w:rPr>
            <w:fldChar w:fldCharType="separate"/>
          </w:r>
          <w:hyperlink w:anchor="_Toc396923378" w:history="1">
            <w:r w:rsidR="005218D2" w:rsidRPr="00E13436">
              <w:rPr>
                <w:rStyle w:val="Hypertextovodkaz"/>
                <w:rFonts w:eastAsiaTheme="majorEastAsia"/>
              </w:rPr>
              <w:t>1</w:t>
            </w:r>
            <w:r w:rsidR="005218D2">
              <w:rPr>
                <w:rFonts w:asciiTheme="minorHAnsi" w:eastAsiaTheme="minorEastAsia" w:hAnsiTheme="minorHAnsi" w:cstheme="minorBidi"/>
                <w:b w:val="0"/>
                <w:bCs w:val="0"/>
                <w:caps w:val="0"/>
                <w:sz w:val="22"/>
                <w:szCs w:val="22"/>
              </w:rPr>
              <w:tab/>
            </w:r>
            <w:r w:rsidR="005218D2" w:rsidRPr="00E13436">
              <w:rPr>
                <w:rStyle w:val="Hypertextovodkaz"/>
                <w:rFonts w:eastAsiaTheme="majorEastAsia"/>
              </w:rPr>
              <w:t>Poslání a rámec Státní energetické koncepce</w:t>
            </w:r>
            <w:r w:rsidR="005218D2">
              <w:rPr>
                <w:webHidden/>
              </w:rPr>
              <w:tab/>
            </w:r>
            <w:r w:rsidR="005218D2">
              <w:rPr>
                <w:webHidden/>
              </w:rPr>
              <w:fldChar w:fldCharType="begin"/>
            </w:r>
            <w:r w:rsidR="005218D2">
              <w:rPr>
                <w:webHidden/>
              </w:rPr>
              <w:instrText xml:space="preserve"> PAGEREF _Toc396923378 \h </w:instrText>
            </w:r>
            <w:r w:rsidR="005218D2">
              <w:rPr>
                <w:webHidden/>
              </w:rPr>
            </w:r>
            <w:r w:rsidR="005218D2">
              <w:rPr>
                <w:webHidden/>
              </w:rPr>
              <w:fldChar w:fldCharType="separate"/>
            </w:r>
            <w:r w:rsidR="00A72B07">
              <w:rPr>
                <w:webHidden/>
              </w:rPr>
              <w:t>4</w:t>
            </w:r>
            <w:r w:rsidR="005218D2">
              <w:rPr>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379" w:history="1">
            <w:r w:rsidR="005218D2" w:rsidRPr="00E13436">
              <w:rPr>
                <w:rStyle w:val="Hypertextovodkaz"/>
              </w:rPr>
              <w:t>2</w:t>
            </w:r>
            <w:r w:rsidR="005218D2">
              <w:rPr>
                <w:rFonts w:asciiTheme="minorHAnsi" w:eastAsiaTheme="minorEastAsia" w:hAnsiTheme="minorHAnsi" w:cstheme="minorBidi"/>
                <w:b w:val="0"/>
                <w:bCs w:val="0"/>
                <w:caps w:val="0"/>
                <w:sz w:val="22"/>
                <w:szCs w:val="22"/>
              </w:rPr>
              <w:tab/>
            </w:r>
            <w:r w:rsidR="005218D2" w:rsidRPr="00E13436">
              <w:rPr>
                <w:rStyle w:val="Hypertextovodkaz"/>
              </w:rPr>
              <w:t>Metodika tvorby a realizace SEK</w:t>
            </w:r>
            <w:r w:rsidR="005218D2">
              <w:rPr>
                <w:webHidden/>
              </w:rPr>
              <w:tab/>
            </w:r>
            <w:r w:rsidR="005218D2">
              <w:rPr>
                <w:webHidden/>
              </w:rPr>
              <w:fldChar w:fldCharType="begin"/>
            </w:r>
            <w:r w:rsidR="005218D2">
              <w:rPr>
                <w:webHidden/>
              </w:rPr>
              <w:instrText xml:space="preserve"> PAGEREF _Toc396923379 \h </w:instrText>
            </w:r>
            <w:r w:rsidR="005218D2">
              <w:rPr>
                <w:webHidden/>
              </w:rPr>
            </w:r>
            <w:r w:rsidR="005218D2">
              <w:rPr>
                <w:webHidden/>
              </w:rPr>
              <w:fldChar w:fldCharType="separate"/>
            </w:r>
            <w:r w:rsidR="00A72B07">
              <w:rPr>
                <w:webHidden/>
              </w:rPr>
              <w:t>7</w:t>
            </w:r>
            <w:r w:rsidR="005218D2">
              <w:rPr>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380" w:history="1">
            <w:r w:rsidR="005218D2" w:rsidRPr="00E13436">
              <w:rPr>
                <w:rStyle w:val="Hypertextovodkaz"/>
              </w:rPr>
              <w:t>3</w:t>
            </w:r>
            <w:r w:rsidR="005218D2">
              <w:rPr>
                <w:rFonts w:asciiTheme="minorHAnsi" w:eastAsiaTheme="minorEastAsia" w:hAnsiTheme="minorHAnsi" w:cstheme="minorBidi"/>
                <w:b w:val="0"/>
                <w:bCs w:val="0"/>
                <w:caps w:val="0"/>
                <w:sz w:val="22"/>
                <w:szCs w:val="22"/>
              </w:rPr>
              <w:tab/>
            </w:r>
            <w:r w:rsidR="005218D2" w:rsidRPr="00E13436">
              <w:rPr>
                <w:rStyle w:val="Hypertextovodkaz"/>
              </w:rPr>
              <w:t>Současný stav energetiky ČR a hlavní trendy jejího vývoje v následujících desetiletích</w:t>
            </w:r>
            <w:r w:rsidR="005218D2">
              <w:rPr>
                <w:webHidden/>
              </w:rPr>
              <w:tab/>
            </w:r>
            <w:r w:rsidR="005218D2">
              <w:rPr>
                <w:webHidden/>
              </w:rPr>
              <w:fldChar w:fldCharType="begin"/>
            </w:r>
            <w:r w:rsidR="005218D2">
              <w:rPr>
                <w:webHidden/>
              </w:rPr>
              <w:instrText xml:space="preserve"> PAGEREF _Toc396923380 \h </w:instrText>
            </w:r>
            <w:r w:rsidR="005218D2">
              <w:rPr>
                <w:webHidden/>
              </w:rPr>
            </w:r>
            <w:r w:rsidR="005218D2">
              <w:rPr>
                <w:webHidden/>
              </w:rPr>
              <w:fldChar w:fldCharType="separate"/>
            </w:r>
            <w:r w:rsidR="00A72B07">
              <w:rPr>
                <w:webHidden/>
              </w:rPr>
              <w:t>12</w:t>
            </w:r>
            <w:r w:rsidR="005218D2">
              <w:rPr>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81" w:history="1">
            <w:r w:rsidR="005218D2" w:rsidRPr="00E13436">
              <w:rPr>
                <w:rStyle w:val="Hypertextovodkaz"/>
                <w:noProof/>
              </w:rPr>
              <w:t>3.1</w:t>
            </w:r>
            <w:r w:rsidR="005218D2">
              <w:rPr>
                <w:rFonts w:eastAsiaTheme="minorEastAsia" w:cstheme="minorBidi"/>
                <w:b w:val="0"/>
                <w:bCs w:val="0"/>
                <w:noProof/>
                <w:sz w:val="22"/>
                <w:szCs w:val="22"/>
              </w:rPr>
              <w:tab/>
            </w:r>
            <w:r w:rsidR="005218D2" w:rsidRPr="00E13436">
              <w:rPr>
                <w:rStyle w:val="Hypertextovodkaz"/>
                <w:noProof/>
              </w:rPr>
              <w:t>Současná situace a stav tuzemské energetiky</w:t>
            </w:r>
            <w:r w:rsidR="005218D2">
              <w:rPr>
                <w:noProof/>
                <w:webHidden/>
              </w:rPr>
              <w:tab/>
            </w:r>
            <w:r w:rsidR="005218D2">
              <w:rPr>
                <w:noProof/>
                <w:webHidden/>
              </w:rPr>
              <w:fldChar w:fldCharType="begin"/>
            </w:r>
            <w:r w:rsidR="005218D2">
              <w:rPr>
                <w:noProof/>
                <w:webHidden/>
              </w:rPr>
              <w:instrText xml:space="preserve"> PAGEREF _Toc396923381 \h </w:instrText>
            </w:r>
            <w:r w:rsidR="005218D2">
              <w:rPr>
                <w:noProof/>
                <w:webHidden/>
              </w:rPr>
            </w:r>
            <w:r w:rsidR="005218D2">
              <w:rPr>
                <w:noProof/>
                <w:webHidden/>
              </w:rPr>
              <w:fldChar w:fldCharType="separate"/>
            </w:r>
            <w:r w:rsidR="00A72B07">
              <w:rPr>
                <w:noProof/>
                <w:webHidden/>
              </w:rPr>
              <w:t>12</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82" w:history="1">
            <w:r w:rsidR="005218D2" w:rsidRPr="00E13436">
              <w:rPr>
                <w:rStyle w:val="Hypertextovodkaz"/>
                <w:noProof/>
              </w:rPr>
              <w:t>3.2</w:t>
            </w:r>
            <w:r w:rsidR="005218D2">
              <w:rPr>
                <w:rFonts w:eastAsiaTheme="minorEastAsia" w:cstheme="minorBidi"/>
                <w:b w:val="0"/>
                <w:bCs w:val="0"/>
                <w:noProof/>
                <w:sz w:val="22"/>
                <w:szCs w:val="22"/>
              </w:rPr>
              <w:tab/>
            </w:r>
            <w:r w:rsidR="005218D2" w:rsidRPr="00E13436">
              <w:rPr>
                <w:rStyle w:val="Hypertextovodkaz"/>
                <w:noProof/>
              </w:rPr>
              <w:t>Vnější a vnitřní podmínky ovlivňující českou energetiku</w:t>
            </w:r>
            <w:r w:rsidR="005218D2">
              <w:rPr>
                <w:noProof/>
                <w:webHidden/>
              </w:rPr>
              <w:tab/>
            </w:r>
            <w:r w:rsidR="005218D2">
              <w:rPr>
                <w:noProof/>
                <w:webHidden/>
              </w:rPr>
              <w:fldChar w:fldCharType="begin"/>
            </w:r>
            <w:r w:rsidR="005218D2">
              <w:rPr>
                <w:noProof/>
                <w:webHidden/>
              </w:rPr>
              <w:instrText xml:space="preserve"> PAGEREF _Toc396923382 \h </w:instrText>
            </w:r>
            <w:r w:rsidR="005218D2">
              <w:rPr>
                <w:noProof/>
                <w:webHidden/>
              </w:rPr>
            </w:r>
            <w:r w:rsidR="005218D2">
              <w:rPr>
                <w:noProof/>
                <w:webHidden/>
              </w:rPr>
              <w:fldChar w:fldCharType="separate"/>
            </w:r>
            <w:r w:rsidR="00A72B07">
              <w:rPr>
                <w:noProof/>
                <w:webHidden/>
              </w:rPr>
              <w:t>22</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83" w:history="1">
            <w:r w:rsidR="005218D2" w:rsidRPr="00E13436">
              <w:rPr>
                <w:rStyle w:val="Hypertextovodkaz"/>
                <w:noProof/>
              </w:rPr>
              <w:t>3.3</w:t>
            </w:r>
            <w:r w:rsidR="005218D2">
              <w:rPr>
                <w:rFonts w:eastAsiaTheme="minorEastAsia" w:cstheme="minorBidi"/>
                <w:b w:val="0"/>
                <w:bCs w:val="0"/>
                <w:noProof/>
                <w:sz w:val="22"/>
                <w:szCs w:val="22"/>
              </w:rPr>
              <w:tab/>
            </w:r>
            <w:r w:rsidR="005218D2" w:rsidRPr="00E13436">
              <w:rPr>
                <w:rStyle w:val="Hypertextovodkaz"/>
                <w:noProof/>
              </w:rPr>
              <w:t>Klíčové výstupy SWOT analýzy</w:t>
            </w:r>
            <w:r w:rsidR="005218D2">
              <w:rPr>
                <w:noProof/>
                <w:webHidden/>
              </w:rPr>
              <w:tab/>
            </w:r>
            <w:r w:rsidR="005218D2">
              <w:rPr>
                <w:noProof/>
                <w:webHidden/>
              </w:rPr>
              <w:fldChar w:fldCharType="begin"/>
            </w:r>
            <w:r w:rsidR="005218D2">
              <w:rPr>
                <w:noProof/>
                <w:webHidden/>
              </w:rPr>
              <w:instrText xml:space="preserve"> PAGEREF _Toc396923383 \h </w:instrText>
            </w:r>
            <w:r w:rsidR="005218D2">
              <w:rPr>
                <w:noProof/>
                <w:webHidden/>
              </w:rPr>
            </w:r>
            <w:r w:rsidR="005218D2">
              <w:rPr>
                <w:noProof/>
                <w:webHidden/>
              </w:rPr>
              <w:fldChar w:fldCharType="separate"/>
            </w:r>
            <w:r w:rsidR="00A72B07">
              <w:rPr>
                <w:noProof/>
                <w:webHidden/>
              </w:rPr>
              <w:t>26</w:t>
            </w:r>
            <w:r w:rsidR="005218D2">
              <w:rPr>
                <w:noProof/>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384" w:history="1">
            <w:r w:rsidR="005218D2" w:rsidRPr="00E13436">
              <w:rPr>
                <w:rStyle w:val="Hypertextovodkaz"/>
              </w:rPr>
              <w:t>4</w:t>
            </w:r>
            <w:r w:rsidR="005218D2">
              <w:rPr>
                <w:rFonts w:asciiTheme="minorHAnsi" w:eastAsiaTheme="minorEastAsia" w:hAnsiTheme="minorHAnsi" w:cstheme="minorBidi"/>
                <w:b w:val="0"/>
                <w:bCs w:val="0"/>
                <w:caps w:val="0"/>
                <w:sz w:val="22"/>
                <w:szCs w:val="22"/>
              </w:rPr>
              <w:tab/>
            </w:r>
            <w:r w:rsidR="005218D2" w:rsidRPr="00E13436">
              <w:rPr>
                <w:rStyle w:val="Hypertextovodkaz"/>
              </w:rPr>
              <w:t>Koncepce energetiky ČR do roku 2040</w:t>
            </w:r>
            <w:r w:rsidR="005218D2">
              <w:rPr>
                <w:webHidden/>
              </w:rPr>
              <w:tab/>
            </w:r>
            <w:r w:rsidR="005218D2">
              <w:rPr>
                <w:webHidden/>
              </w:rPr>
              <w:fldChar w:fldCharType="begin"/>
            </w:r>
            <w:r w:rsidR="005218D2">
              <w:rPr>
                <w:webHidden/>
              </w:rPr>
              <w:instrText xml:space="preserve"> PAGEREF _Toc396923384 \h </w:instrText>
            </w:r>
            <w:r w:rsidR="005218D2">
              <w:rPr>
                <w:webHidden/>
              </w:rPr>
            </w:r>
            <w:r w:rsidR="005218D2">
              <w:rPr>
                <w:webHidden/>
              </w:rPr>
              <w:fldChar w:fldCharType="separate"/>
            </w:r>
            <w:r w:rsidR="00A72B07">
              <w:rPr>
                <w:webHidden/>
              </w:rPr>
              <w:t>31</w:t>
            </w:r>
            <w:r w:rsidR="005218D2">
              <w:rPr>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85" w:history="1">
            <w:r w:rsidR="005218D2" w:rsidRPr="00E13436">
              <w:rPr>
                <w:rStyle w:val="Hypertextovodkaz"/>
                <w:noProof/>
              </w:rPr>
              <w:t>4.1</w:t>
            </w:r>
            <w:r w:rsidR="005218D2">
              <w:rPr>
                <w:rFonts w:eastAsiaTheme="minorEastAsia" w:cstheme="minorBidi"/>
                <w:b w:val="0"/>
                <w:bCs w:val="0"/>
                <w:noProof/>
                <w:sz w:val="22"/>
                <w:szCs w:val="22"/>
              </w:rPr>
              <w:tab/>
            </w:r>
            <w:r w:rsidR="005218D2" w:rsidRPr="00E13436">
              <w:rPr>
                <w:rStyle w:val="Hypertextovodkaz"/>
                <w:noProof/>
              </w:rPr>
              <w:t>Strategické cíle energetiky ČR</w:t>
            </w:r>
            <w:r w:rsidR="005218D2">
              <w:rPr>
                <w:noProof/>
                <w:webHidden/>
              </w:rPr>
              <w:tab/>
            </w:r>
            <w:r w:rsidR="005218D2">
              <w:rPr>
                <w:noProof/>
                <w:webHidden/>
              </w:rPr>
              <w:fldChar w:fldCharType="begin"/>
            </w:r>
            <w:r w:rsidR="005218D2">
              <w:rPr>
                <w:noProof/>
                <w:webHidden/>
              </w:rPr>
              <w:instrText xml:space="preserve"> PAGEREF _Toc396923385 \h </w:instrText>
            </w:r>
            <w:r w:rsidR="005218D2">
              <w:rPr>
                <w:noProof/>
                <w:webHidden/>
              </w:rPr>
            </w:r>
            <w:r w:rsidR="005218D2">
              <w:rPr>
                <w:noProof/>
                <w:webHidden/>
              </w:rPr>
              <w:fldChar w:fldCharType="separate"/>
            </w:r>
            <w:r w:rsidR="00A72B07">
              <w:rPr>
                <w:noProof/>
                <w:webHidden/>
              </w:rPr>
              <w:t>31</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86" w:history="1">
            <w:r w:rsidR="005218D2" w:rsidRPr="00E13436">
              <w:rPr>
                <w:rStyle w:val="Hypertextovodkaz"/>
                <w:noProof/>
              </w:rPr>
              <w:t>4.2</w:t>
            </w:r>
            <w:r w:rsidR="005218D2">
              <w:rPr>
                <w:rFonts w:eastAsiaTheme="minorEastAsia" w:cstheme="minorBidi"/>
                <w:b w:val="0"/>
                <w:bCs w:val="0"/>
                <w:noProof/>
                <w:sz w:val="22"/>
                <w:szCs w:val="22"/>
              </w:rPr>
              <w:tab/>
            </w:r>
            <w:r w:rsidR="005218D2" w:rsidRPr="00E13436">
              <w:rPr>
                <w:rStyle w:val="Hypertextovodkaz"/>
                <w:noProof/>
              </w:rPr>
              <w:t>Axiomy, indikativní ukazatele a cílové hodnoty k roku 2040</w:t>
            </w:r>
            <w:r w:rsidR="005218D2">
              <w:rPr>
                <w:noProof/>
                <w:webHidden/>
              </w:rPr>
              <w:tab/>
            </w:r>
            <w:r w:rsidR="005218D2">
              <w:rPr>
                <w:noProof/>
                <w:webHidden/>
              </w:rPr>
              <w:fldChar w:fldCharType="begin"/>
            </w:r>
            <w:r w:rsidR="005218D2">
              <w:rPr>
                <w:noProof/>
                <w:webHidden/>
              </w:rPr>
              <w:instrText xml:space="preserve"> PAGEREF _Toc396923386 \h </w:instrText>
            </w:r>
            <w:r w:rsidR="005218D2">
              <w:rPr>
                <w:noProof/>
                <w:webHidden/>
              </w:rPr>
            </w:r>
            <w:r w:rsidR="005218D2">
              <w:rPr>
                <w:noProof/>
                <w:webHidden/>
              </w:rPr>
              <w:fldChar w:fldCharType="separate"/>
            </w:r>
            <w:r w:rsidR="00A72B07">
              <w:rPr>
                <w:noProof/>
                <w:webHidden/>
              </w:rPr>
              <w:t>43</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87" w:history="1">
            <w:r w:rsidR="005218D2" w:rsidRPr="00E13436">
              <w:rPr>
                <w:rStyle w:val="Hypertextovodkaz"/>
                <w:noProof/>
              </w:rPr>
              <w:t>4.3</w:t>
            </w:r>
            <w:r w:rsidR="005218D2">
              <w:rPr>
                <w:rFonts w:eastAsiaTheme="minorEastAsia" w:cstheme="minorBidi"/>
                <w:b w:val="0"/>
                <w:bCs w:val="0"/>
                <w:noProof/>
                <w:sz w:val="22"/>
                <w:szCs w:val="22"/>
              </w:rPr>
              <w:tab/>
            </w:r>
            <w:r w:rsidR="005218D2" w:rsidRPr="00E13436">
              <w:rPr>
                <w:rStyle w:val="Hypertextovodkaz"/>
                <w:noProof/>
              </w:rPr>
              <w:t>Strategické priority energetiky ČR</w:t>
            </w:r>
            <w:r w:rsidR="005218D2">
              <w:rPr>
                <w:noProof/>
                <w:webHidden/>
              </w:rPr>
              <w:tab/>
            </w:r>
            <w:r w:rsidR="005218D2">
              <w:rPr>
                <w:noProof/>
                <w:webHidden/>
              </w:rPr>
              <w:fldChar w:fldCharType="begin"/>
            </w:r>
            <w:r w:rsidR="005218D2">
              <w:rPr>
                <w:noProof/>
                <w:webHidden/>
              </w:rPr>
              <w:instrText xml:space="preserve"> PAGEREF _Toc396923387 \h </w:instrText>
            </w:r>
            <w:r w:rsidR="005218D2">
              <w:rPr>
                <w:noProof/>
                <w:webHidden/>
              </w:rPr>
            </w:r>
            <w:r w:rsidR="005218D2">
              <w:rPr>
                <w:noProof/>
                <w:webHidden/>
              </w:rPr>
              <w:fldChar w:fldCharType="separate"/>
            </w:r>
            <w:r w:rsidR="00A72B07">
              <w:rPr>
                <w:noProof/>
                <w:webHidden/>
              </w:rPr>
              <w:t>45</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388" w:history="1">
            <w:r w:rsidR="005218D2" w:rsidRPr="00E13436">
              <w:rPr>
                <w:rStyle w:val="Hypertextovodkaz"/>
                <w:noProof/>
              </w:rPr>
              <w:t>4.3.1</w:t>
            </w:r>
            <w:r w:rsidR="005218D2">
              <w:rPr>
                <w:rFonts w:eastAsiaTheme="minorEastAsia" w:cstheme="minorBidi"/>
                <w:noProof/>
                <w:sz w:val="22"/>
                <w:szCs w:val="22"/>
              </w:rPr>
              <w:tab/>
            </w:r>
            <w:r w:rsidR="005218D2" w:rsidRPr="00E13436">
              <w:rPr>
                <w:rStyle w:val="Hypertextovodkaz"/>
                <w:noProof/>
              </w:rPr>
              <w:t>Priorita I – Vyvážený energetický mix</w:t>
            </w:r>
            <w:r w:rsidR="005218D2">
              <w:rPr>
                <w:noProof/>
                <w:webHidden/>
              </w:rPr>
              <w:tab/>
            </w:r>
            <w:r w:rsidR="005218D2">
              <w:rPr>
                <w:noProof/>
                <w:webHidden/>
              </w:rPr>
              <w:fldChar w:fldCharType="begin"/>
            </w:r>
            <w:r w:rsidR="005218D2">
              <w:rPr>
                <w:noProof/>
                <w:webHidden/>
              </w:rPr>
              <w:instrText xml:space="preserve"> PAGEREF _Toc396923388 \h </w:instrText>
            </w:r>
            <w:r w:rsidR="005218D2">
              <w:rPr>
                <w:noProof/>
                <w:webHidden/>
              </w:rPr>
            </w:r>
            <w:r w:rsidR="005218D2">
              <w:rPr>
                <w:noProof/>
                <w:webHidden/>
              </w:rPr>
              <w:fldChar w:fldCharType="separate"/>
            </w:r>
            <w:r w:rsidR="00A72B07">
              <w:rPr>
                <w:noProof/>
                <w:webHidden/>
              </w:rPr>
              <w:t>45</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389" w:history="1">
            <w:r w:rsidR="005218D2" w:rsidRPr="00E13436">
              <w:rPr>
                <w:rStyle w:val="Hypertextovodkaz"/>
                <w:noProof/>
              </w:rPr>
              <w:t>4.3.2</w:t>
            </w:r>
            <w:r w:rsidR="005218D2">
              <w:rPr>
                <w:rFonts w:eastAsiaTheme="minorEastAsia" w:cstheme="minorBidi"/>
                <w:noProof/>
                <w:sz w:val="22"/>
                <w:szCs w:val="22"/>
              </w:rPr>
              <w:tab/>
            </w:r>
            <w:r w:rsidR="005218D2" w:rsidRPr="00E13436">
              <w:rPr>
                <w:rStyle w:val="Hypertextovodkaz"/>
                <w:noProof/>
              </w:rPr>
              <w:t>Priorita II – Úspory a energetická účinnost</w:t>
            </w:r>
            <w:r w:rsidR="005218D2">
              <w:rPr>
                <w:noProof/>
                <w:webHidden/>
              </w:rPr>
              <w:tab/>
            </w:r>
            <w:r w:rsidR="005218D2">
              <w:rPr>
                <w:noProof/>
                <w:webHidden/>
              </w:rPr>
              <w:fldChar w:fldCharType="begin"/>
            </w:r>
            <w:r w:rsidR="005218D2">
              <w:rPr>
                <w:noProof/>
                <w:webHidden/>
              </w:rPr>
              <w:instrText xml:space="preserve"> PAGEREF _Toc396923389 \h </w:instrText>
            </w:r>
            <w:r w:rsidR="005218D2">
              <w:rPr>
                <w:noProof/>
                <w:webHidden/>
              </w:rPr>
            </w:r>
            <w:r w:rsidR="005218D2">
              <w:rPr>
                <w:noProof/>
                <w:webHidden/>
              </w:rPr>
              <w:fldChar w:fldCharType="separate"/>
            </w:r>
            <w:r w:rsidR="00A72B07">
              <w:rPr>
                <w:noProof/>
                <w:webHidden/>
              </w:rPr>
              <w:t>48</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390" w:history="1">
            <w:r w:rsidR="005218D2" w:rsidRPr="00E13436">
              <w:rPr>
                <w:rStyle w:val="Hypertextovodkaz"/>
                <w:noProof/>
              </w:rPr>
              <w:t>4.3.3</w:t>
            </w:r>
            <w:r w:rsidR="005218D2">
              <w:rPr>
                <w:rFonts w:eastAsiaTheme="minorEastAsia" w:cstheme="minorBidi"/>
                <w:noProof/>
                <w:sz w:val="22"/>
                <w:szCs w:val="22"/>
              </w:rPr>
              <w:tab/>
            </w:r>
            <w:r w:rsidR="005218D2" w:rsidRPr="00E13436">
              <w:rPr>
                <w:rStyle w:val="Hypertextovodkaz"/>
                <w:noProof/>
              </w:rPr>
              <w:t>Priorita III – Infrastruktura a mezinárodní spolupráce</w:t>
            </w:r>
            <w:r w:rsidR="005218D2">
              <w:rPr>
                <w:noProof/>
                <w:webHidden/>
              </w:rPr>
              <w:tab/>
            </w:r>
            <w:r w:rsidR="005218D2">
              <w:rPr>
                <w:noProof/>
                <w:webHidden/>
              </w:rPr>
              <w:fldChar w:fldCharType="begin"/>
            </w:r>
            <w:r w:rsidR="005218D2">
              <w:rPr>
                <w:noProof/>
                <w:webHidden/>
              </w:rPr>
              <w:instrText xml:space="preserve"> PAGEREF _Toc396923390 \h </w:instrText>
            </w:r>
            <w:r w:rsidR="005218D2">
              <w:rPr>
                <w:noProof/>
                <w:webHidden/>
              </w:rPr>
            </w:r>
            <w:r w:rsidR="005218D2">
              <w:rPr>
                <w:noProof/>
                <w:webHidden/>
              </w:rPr>
              <w:fldChar w:fldCharType="separate"/>
            </w:r>
            <w:r w:rsidR="00A72B07">
              <w:rPr>
                <w:noProof/>
                <w:webHidden/>
              </w:rPr>
              <w:t>50</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391" w:history="1">
            <w:r w:rsidR="005218D2" w:rsidRPr="00E13436">
              <w:rPr>
                <w:rStyle w:val="Hypertextovodkaz"/>
                <w:noProof/>
              </w:rPr>
              <w:t>4.3.4</w:t>
            </w:r>
            <w:r w:rsidR="005218D2">
              <w:rPr>
                <w:rFonts w:eastAsiaTheme="minorEastAsia" w:cstheme="minorBidi"/>
                <w:noProof/>
                <w:sz w:val="22"/>
                <w:szCs w:val="22"/>
              </w:rPr>
              <w:tab/>
            </w:r>
            <w:r w:rsidR="005218D2" w:rsidRPr="00E13436">
              <w:rPr>
                <w:rStyle w:val="Hypertextovodkaz"/>
                <w:noProof/>
              </w:rPr>
              <w:t>Priorita IV – Výzkum, vývoj a inovace</w:t>
            </w:r>
            <w:r w:rsidR="005218D2">
              <w:rPr>
                <w:noProof/>
                <w:webHidden/>
              </w:rPr>
              <w:tab/>
            </w:r>
            <w:r w:rsidR="005218D2">
              <w:rPr>
                <w:noProof/>
                <w:webHidden/>
              </w:rPr>
              <w:fldChar w:fldCharType="begin"/>
            </w:r>
            <w:r w:rsidR="005218D2">
              <w:rPr>
                <w:noProof/>
                <w:webHidden/>
              </w:rPr>
              <w:instrText xml:space="preserve"> PAGEREF _Toc396923391 \h </w:instrText>
            </w:r>
            <w:r w:rsidR="005218D2">
              <w:rPr>
                <w:noProof/>
                <w:webHidden/>
              </w:rPr>
            </w:r>
            <w:r w:rsidR="005218D2">
              <w:rPr>
                <w:noProof/>
                <w:webHidden/>
              </w:rPr>
              <w:fldChar w:fldCharType="separate"/>
            </w:r>
            <w:r w:rsidR="00A72B07">
              <w:rPr>
                <w:noProof/>
                <w:webHidden/>
              </w:rPr>
              <w:t>52</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392" w:history="1">
            <w:r w:rsidR="005218D2" w:rsidRPr="00E13436">
              <w:rPr>
                <w:rStyle w:val="Hypertextovodkaz"/>
                <w:noProof/>
              </w:rPr>
              <w:t>4.3.5</w:t>
            </w:r>
            <w:r w:rsidR="005218D2">
              <w:rPr>
                <w:rFonts w:eastAsiaTheme="minorEastAsia" w:cstheme="minorBidi"/>
                <w:noProof/>
                <w:sz w:val="22"/>
                <w:szCs w:val="22"/>
              </w:rPr>
              <w:tab/>
            </w:r>
            <w:r w:rsidR="005218D2" w:rsidRPr="00E13436">
              <w:rPr>
                <w:rStyle w:val="Hypertextovodkaz"/>
                <w:noProof/>
              </w:rPr>
              <w:t>Priorita V – Energetická bezpečnost</w:t>
            </w:r>
            <w:r w:rsidR="005218D2">
              <w:rPr>
                <w:noProof/>
                <w:webHidden/>
              </w:rPr>
              <w:tab/>
            </w:r>
            <w:r w:rsidR="005218D2">
              <w:rPr>
                <w:noProof/>
                <w:webHidden/>
              </w:rPr>
              <w:fldChar w:fldCharType="begin"/>
            </w:r>
            <w:r w:rsidR="005218D2">
              <w:rPr>
                <w:noProof/>
                <w:webHidden/>
              </w:rPr>
              <w:instrText xml:space="preserve"> PAGEREF _Toc396923392 \h </w:instrText>
            </w:r>
            <w:r w:rsidR="005218D2">
              <w:rPr>
                <w:noProof/>
                <w:webHidden/>
              </w:rPr>
            </w:r>
            <w:r w:rsidR="005218D2">
              <w:rPr>
                <w:noProof/>
                <w:webHidden/>
              </w:rPr>
              <w:fldChar w:fldCharType="separate"/>
            </w:r>
            <w:r w:rsidR="00A72B07">
              <w:rPr>
                <w:noProof/>
                <w:webHidden/>
              </w:rPr>
              <w:t>53</w:t>
            </w:r>
            <w:r w:rsidR="005218D2">
              <w:rPr>
                <w:noProof/>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393" w:history="1">
            <w:r w:rsidR="005218D2" w:rsidRPr="00E13436">
              <w:rPr>
                <w:rStyle w:val="Hypertextovodkaz"/>
              </w:rPr>
              <w:t>5</w:t>
            </w:r>
            <w:r w:rsidR="005218D2">
              <w:rPr>
                <w:rFonts w:asciiTheme="minorHAnsi" w:eastAsiaTheme="minorEastAsia" w:hAnsiTheme="minorHAnsi" w:cstheme="minorBidi"/>
                <w:b w:val="0"/>
                <w:bCs w:val="0"/>
                <w:caps w:val="0"/>
                <w:sz w:val="22"/>
                <w:szCs w:val="22"/>
              </w:rPr>
              <w:tab/>
            </w:r>
            <w:r w:rsidR="005218D2" w:rsidRPr="00E13436">
              <w:rPr>
                <w:rStyle w:val="Hypertextovodkaz"/>
              </w:rPr>
              <w:t>Koncepce rozvoje významných oblastí energetiky a oblastí s energetikou souvisejících</w:t>
            </w:r>
            <w:r w:rsidR="005218D2">
              <w:rPr>
                <w:webHidden/>
              </w:rPr>
              <w:tab/>
            </w:r>
            <w:r w:rsidR="005218D2">
              <w:rPr>
                <w:webHidden/>
              </w:rPr>
              <w:fldChar w:fldCharType="begin"/>
            </w:r>
            <w:r w:rsidR="005218D2">
              <w:rPr>
                <w:webHidden/>
              </w:rPr>
              <w:instrText xml:space="preserve"> PAGEREF _Toc396923393 \h </w:instrText>
            </w:r>
            <w:r w:rsidR="005218D2">
              <w:rPr>
                <w:webHidden/>
              </w:rPr>
            </w:r>
            <w:r w:rsidR="005218D2">
              <w:rPr>
                <w:webHidden/>
              </w:rPr>
              <w:fldChar w:fldCharType="separate"/>
            </w:r>
            <w:r w:rsidR="00A72B07">
              <w:rPr>
                <w:webHidden/>
              </w:rPr>
              <w:t>57</w:t>
            </w:r>
            <w:r w:rsidR="005218D2">
              <w:rPr>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94" w:history="1">
            <w:r w:rsidR="005218D2" w:rsidRPr="00E13436">
              <w:rPr>
                <w:rStyle w:val="Hypertextovodkaz"/>
                <w:noProof/>
              </w:rPr>
              <w:t>5.1</w:t>
            </w:r>
            <w:r w:rsidR="005218D2">
              <w:rPr>
                <w:rFonts w:eastAsiaTheme="minorEastAsia" w:cstheme="minorBidi"/>
                <w:b w:val="0"/>
                <w:bCs w:val="0"/>
                <w:noProof/>
                <w:sz w:val="22"/>
                <w:szCs w:val="22"/>
              </w:rPr>
              <w:tab/>
            </w:r>
            <w:r w:rsidR="005218D2" w:rsidRPr="00E13436">
              <w:rPr>
                <w:rStyle w:val="Hypertextovodkaz"/>
                <w:noProof/>
              </w:rPr>
              <w:t>Elektroenergetika</w:t>
            </w:r>
            <w:r w:rsidR="005218D2">
              <w:rPr>
                <w:noProof/>
                <w:webHidden/>
              </w:rPr>
              <w:tab/>
            </w:r>
            <w:r w:rsidR="005218D2">
              <w:rPr>
                <w:noProof/>
                <w:webHidden/>
              </w:rPr>
              <w:fldChar w:fldCharType="begin"/>
            </w:r>
            <w:r w:rsidR="005218D2">
              <w:rPr>
                <w:noProof/>
                <w:webHidden/>
              </w:rPr>
              <w:instrText xml:space="preserve"> PAGEREF _Toc396923394 \h </w:instrText>
            </w:r>
            <w:r w:rsidR="005218D2">
              <w:rPr>
                <w:noProof/>
                <w:webHidden/>
              </w:rPr>
            </w:r>
            <w:r w:rsidR="005218D2">
              <w:rPr>
                <w:noProof/>
                <w:webHidden/>
              </w:rPr>
              <w:fldChar w:fldCharType="separate"/>
            </w:r>
            <w:r w:rsidR="00A72B07">
              <w:rPr>
                <w:noProof/>
                <w:webHidden/>
              </w:rPr>
              <w:t>57</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95" w:history="1">
            <w:r w:rsidR="005218D2" w:rsidRPr="00E13436">
              <w:rPr>
                <w:rStyle w:val="Hypertextovodkaz"/>
                <w:noProof/>
              </w:rPr>
              <w:t>5.2</w:t>
            </w:r>
            <w:r w:rsidR="005218D2">
              <w:rPr>
                <w:rFonts w:eastAsiaTheme="minorEastAsia" w:cstheme="minorBidi"/>
                <w:b w:val="0"/>
                <w:bCs w:val="0"/>
                <w:noProof/>
                <w:sz w:val="22"/>
                <w:szCs w:val="22"/>
              </w:rPr>
              <w:tab/>
            </w:r>
            <w:r w:rsidR="005218D2" w:rsidRPr="00E13436">
              <w:rPr>
                <w:rStyle w:val="Hypertextovodkaz"/>
                <w:noProof/>
              </w:rPr>
              <w:t>Plynárenství</w:t>
            </w:r>
            <w:r w:rsidR="005218D2">
              <w:rPr>
                <w:noProof/>
                <w:webHidden/>
              </w:rPr>
              <w:tab/>
            </w:r>
            <w:r w:rsidR="005218D2">
              <w:rPr>
                <w:noProof/>
                <w:webHidden/>
              </w:rPr>
              <w:fldChar w:fldCharType="begin"/>
            </w:r>
            <w:r w:rsidR="005218D2">
              <w:rPr>
                <w:noProof/>
                <w:webHidden/>
              </w:rPr>
              <w:instrText xml:space="preserve"> PAGEREF _Toc396923395 \h </w:instrText>
            </w:r>
            <w:r w:rsidR="005218D2">
              <w:rPr>
                <w:noProof/>
                <w:webHidden/>
              </w:rPr>
            </w:r>
            <w:r w:rsidR="005218D2">
              <w:rPr>
                <w:noProof/>
                <w:webHidden/>
              </w:rPr>
              <w:fldChar w:fldCharType="separate"/>
            </w:r>
            <w:r w:rsidR="00A72B07">
              <w:rPr>
                <w:noProof/>
                <w:webHidden/>
              </w:rPr>
              <w:t>63</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96" w:history="1">
            <w:r w:rsidR="005218D2" w:rsidRPr="00E13436">
              <w:rPr>
                <w:rStyle w:val="Hypertextovodkaz"/>
                <w:noProof/>
              </w:rPr>
              <w:t>5.3</w:t>
            </w:r>
            <w:r w:rsidR="005218D2">
              <w:rPr>
                <w:rFonts w:eastAsiaTheme="minorEastAsia" w:cstheme="minorBidi"/>
                <w:b w:val="0"/>
                <w:bCs w:val="0"/>
                <w:noProof/>
                <w:sz w:val="22"/>
                <w:szCs w:val="22"/>
              </w:rPr>
              <w:tab/>
            </w:r>
            <w:r w:rsidR="005218D2" w:rsidRPr="00E13436">
              <w:rPr>
                <w:rStyle w:val="Hypertextovodkaz"/>
                <w:noProof/>
              </w:rPr>
              <w:t>Přeprava a zpracování ropy</w:t>
            </w:r>
            <w:r w:rsidR="005218D2">
              <w:rPr>
                <w:noProof/>
                <w:webHidden/>
              </w:rPr>
              <w:tab/>
            </w:r>
            <w:r w:rsidR="005218D2">
              <w:rPr>
                <w:noProof/>
                <w:webHidden/>
              </w:rPr>
              <w:fldChar w:fldCharType="begin"/>
            </w:r>
            <w:r w:rsidR="005218D2">
              <w:rPr>
                <w:noProof/>
                <w:webHidden/>
              </w:rPr>
              <w:instrText xml:space="preserve"> PAGEREF _Toc396923396 \h </w:instrText>
            </w:r>
            <w:r w:rsidR="005218D2">
              <w:rPr>
                <w:noProof/>
                <w:webHidden/>
              </w:rPr>
            </w:r>
            <w:r w:rsidR="005218D2">
              <w:rPr>
                <w:noProof/>
                <w:webHidden/>
              </w:rPr>
              <w:fldChar w:fldCharType="separate"/>
            </w:r>
            <w:r w:rsidR="00A72B07">
              <w:rPr>
                <w:noProof/>
                <w:webHidden/>
              </w:rPr>
              <w:t>66</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97" w:history="1">
            <w:r w:rsidR="005218D2" w:rsidRPr="00E13436">
              <w:rPr>
                <w:rStyle w:val="Hypertextovodkaz"/>
                <w:noProof/>
              </w:rPr>
              <w:t>5.4</w:t>
            </w:r>
            <w:r w:rsidR="005218D2">
              <w:rPr>
                <w:rFonts w:eastAsiaTheme="minorEastAsia" w:cstheme="minorBidi"/>
                <w:b w:val="0"/>
                <w:bCs w:val="0"/>
                <w:noProof/>
                <w:sz w:val="22"/>
                <w:szCs w:val="22"/>
              </w:rPr>
              <w:tab/>
            </w:r>
            <w:r w:rsidR="005218D2" w:rsidRPr="00E13436">
              <w:rPr>
                <w:rStyle w:val="Hypertextovodkaz"/>
                <w:noProof/>
              </w:rPr>
              <w:t>Výroba a dodávka tepla</w:t>
            </w:r>
            <w:r w:rsidR="005218D2">
              <w:rPr>
                <w:noProof/>
                <w:webHidden/>
              </w:rPr>
              <w:tab/>
            </w:r>
            <w:r w:rsidR="005218D2">
              <w:rPr>
                <w:noProof/>
                <w:webHidden/>
              </w:rPr>
              <w:fldChar w:fldCharType="begin"/>
            </w:r>
            <w:r w:rsidR="005218D2">
              <w:rPr>
                <w:noProof/>
                <w:webHidden/>
              </w:rPr>
              <w:instrText xml:space="preserve"> PAGEREF _Toc396923397 \h </w:instrText>
            </w:r>
            <w:r w:rsidR="005218D2">
              <w:rPr>
                <w:noProof/>
                <w:webHidden/>
              </w:rPr>
            </w:r>
            <w:r w:rsidR="005218D2">
              <w:rPr>
                <w:noProof/>
                <w:webHidden/>
              </w:rPr>
              <w:fldChar w:fldCharType="separate"/>
            </w:r>
            <w:r w:rsidR="00A72B07">
              <w:rPr>
                <w:noProof/>
                <w:webHidden/>
              </w:rPr>
              <w:t>67</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98" w:history="1">
            <w:r w:rsidR="005218D2" w:rsidRPr="00E13436">
              <w:rPr>
                <w:rStyle w:val="Hypertextovodkaz"/>
                <w:noProof/>
              </w:rPr>
              <w:t>5.5</w:t>
            </w:r>
            <w:r w:rsidR="005218D2">
              <w:rPr>
                <w:rFonts w:eastAsiaTheme="minorEastAsia" w:cstheme="minorBidi"/>
                <w:b w:val="0"/>
                <w:bCs w:val="0"/>
                <w:noProof/>
                <w:sz w:val="22"/>
                <w:szCs w:val="22"/>
              </w:rPr>
              <w:tab/>
            </w:r>
            <w:r w:rsidR="005218D2" w:rsidRPr="00E13436">
              <w:rPr>
                <w:rStyle w:val="Hypertextovodkaz"/>
                <w:noProof/>
              </w:rPr>
              <w:t>Doprava</w:t>
            </w:r>
            <w:r w:rsidR="005218D2">
              <w:rPr>
                <w:noProof/>
                <w:webHidden/>
              </w:rPr>
              <w:tab/>
            </w:r>
            <w:r w:rsidR="005218D2">
              <w:rPr>
                <w:noProof/>
                <w:webHidden/>
              </w:rPr>
              <w:fldChar w:fldCharType="begin"/>
            </w:r>
            <w:r w:rsidR="005218D2">
              <w:rPr>
                <w:noProof/>
                <w:webHidden/>
              </w:rPr>
              <w:instrText xml:space="preserve"> PAGEREF _Toc396923398 \h </w:instrText>
            </w:r>
            <w:r w:rsidR="005218D2">
              <w:rPr>
                <w:noProof/>
                <w:webHidden/>
              </w:rPr>
            </w:r>
            <w:r w:rsidR="005218D2">
              <w:rPr>
                <w:noProof/>
                <w:webHidden/>
              </w:rPr>
              <w:fldChar w:fldCharType="separate"/>
            </w:r>
            <w:r w:rsidR="00A72B07">
              <w:rPr>
                <w:noProof/>
                <w:webHidden/>
              </w:rPr>
              <w:t>69</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399" w:history="1">
            <w:r w:rsidR="005218D2" w:rsidRPr="00E13436">
              <w:rPr>
                <w:rStyle w:val="Hypertextovodkaz"/>
                <w:noProof/>
              </w:rPr>
              <w:t>5.6</w:t>
            </w:r>
            <w:r w:rsidR="005218D2">
              <w:rPr>
                <w:rFonts w:eastAsiaTheme="minorEastAsia" w:cstheme="minorBidi"/>
                <w:b w:val="0"/>
                <w:bCs w:val="0"/>
                <w:noProof/>
                <w:sz w:val="22"/>
                <w:szCs w:val="22"/>
              </w:rPr>
              <w:tab/>
            </w:r>
            <w:r w:rsidR="005218D2" w:rsidRPr="00E13436">
              <w:rPr>
                <w:rStyle w:val="Hypertextovodkaz"/>
                <w:noProof/>
              </w:rPr>
              <w:t>Energetická účinnost</w:t>
            </w:r>
            <w:r w:rsidR="005218D2">
              <w:rPr>
                <w:noProof/>
                <w:webHidden/>
              </w:rPr>
              <w:tab/>
            </w:r>
            <w:r w:rsidR="005218D2">
              <w:rPr>
                <w:noProof/>
                <w:webHidden/>
              </w:rPr>
              <w:fldChar w:fldCharType="begin"/>
            </w:r>
            <w:r w:rsidR="005218D2">
              <w:rPr>
                <w:noProof/>
                <w:webHidden/>
              </w:rPr>
              <w:instrText xml:space="preserve"> PAGEREF _Toc396923399 \h </w:instrText>
            </w:r>
            <w:r w:rsidR="005218D2">
              <w:rPr>
                <w:noProof/>
                <w:webHidden/>
              </w:rPr>
            </w:r>
            <w:r w:rsidR="005218D2">
              <w:rPr>
                <w:noProof/>
                <w:webHidden/>
              </w:rPr>
              <w:fldChar w:fldCharType="separate"/>
            </w:r>
            <w:r w:rsidR="00A72B07">
              <w:rPr>
                <w:noProof/>
                <w:webHidden/>
              </w:rPr>
              <w:t>71</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0" w:history="1">
            <w:r w:rsidR="005218D2" w:rsidRPr="00E13436">
              <w:rPr>
                <w:rStyle w:val="Hypertextovodkaz"/>
                <w:noProof/>
              </w:rPr>
              <w:t>5.7</w:t>
            </w:r>
            <w:r w:rsidR="005218D2">
              <w:rPr>
                <w:rFonts w:eastAsiaTheme="minorEastAsia" w:cstheme="minorBidi"/>
                <w:b w:val="0"/>
                <w:bCs w:val="0"/>
                <w:noProof/>
                <w:sz w:val="22"/>
                <w:szCs w:val="22"/>
              </w:rPr>
              <w:tab/>
            </w:r>
            <w:r w:rsidR="005218D2" w:rsidRPr="00E13436">
              <w:rPr>
                <w:rStyle w:val="Hypertextovodkaz"/>
                <w:noProof/>
              </w:rPr>
              <w:t>Výzkum, vývoj, inovace a školství</w:t>
            </w:r>
            <w:r w:rsidR="005218D2">
              <w:rPr>
                <w:noProof/>
                <w:webHidden/>
              </w:rPr>
              <w:tab/>
            </w:r>
            <w:r w:rsidR="005218D2">
              <w:rPr>
                <w:noProof/>
                <w:webHidden/>
              </w:rPr>
              <w:fldChar w:fldCharType="begin"/>
            </w:r>
            <w:r w:rsidR="005218D2">
              <w:rPr>
                <w:noProof/>
                <w:webHidden/>
              </w:rPr>
              <w:instrText xml:space="preserve"> PAGEREF _Toc396923400 \h </w:instrText>
            </w:r>
            <w:r w:rsidR="005218D2">
              <w:rPr>
                <w:noProof/>
                <w:webHidden/>
              </w:rPr>
            </w:r>
            <w:r w:rsidR="005218D2">
              <w:rPr>
                <w:noProof/>
                <w:webHidden/>
              </w:rPr>
              <w:fldChar w:fldCharType="separate"/>
            </w:r>
            <w:r w:rsidR="00A72B07">
              <w:rPr>
                <w:noProof/>
                <w:webHidden/>
              </w:rPr>
              <w:t>73</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1" w:history="1">
            <w:r w:rsidR="005218D2" w:rsidRPr="00E13436">
              <w:rPr>
                <w:rStyle w:val="Hypertextovodkaz"/>
                <w:noProof/>
              </w:rPr>
              <w:t>5.8</w:t>
            </w:r>
            <w:r w:rsidR="005218D2">
              <w:rPr>
                <w:rFonts w:eastAsiaTheme="minorEastAsia" w:cstheme="minorBidi"/>
                <w:b w:val="0"/>
                <w:bCs w:val="0"/>
                <w:noProof/>
                <w:sz w:val="22"/>
                <w:szCs w:val="22"/>
              </w:rPr>
              <w:tab/>
            </w:r>
            <w:r w:rsidR="005218D2" w:rsidRPr="00E13436">
              <w:rPr>
                <w:rStyle w:val="Hypertextovodkaz"/>
                <w:noProof/>
              </w:rPr>
              <w:t>Energetické strojírenství a průmysl</w:t>
            </w:r>
            <w:r w:rsidR="005218D2">
              <w:rPr>
                <w:noProof/>
                <w:webHidden/>
              </w:rPr>
              <w:tab/>
            </w:r>
            <w:r w:rsidR="005218D2">
              <w:rPr>
                <w:noProof/>
                <w:webHidden/>
              </w:rPr>
              <w:fldChar w:fldCharType="begin"/>
            </w:r>
            <w:r w:rsidR="005218D2">
              <w:rPr>
                <w:noProof/>
                <w:webHidden/>
              </w:rPr>
              <w:instrText xml:space="preserve"> PAGEREF _Toc396923401 \h </w:instrText>
            </w:r>
            <w:r w:rsidR="005218D2">
              <w:rPr>
                <w:noProof/>
                <w:webHidden/>
              </w:rPr>
            </w:r>
            <w:r w:rsidR="005218D2">
              <w:rPr>
                <w:noProof/>
                <w:webHidden/>
              </w:rPr>
              <w:fldChar w:fldCharType="separate"/>
            </w:r>
            <w:r w:rsidR="00A72B07">
              <w:rPr>
                <w:noProof/>
                <w:webHidden/>
              </w:rPr>
              <w:t>77</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2" w:history="1">
            <w:r w:rsidR="005218D2" w:rsidRPr="00E13436">
              <w:rPr>
                <w:rStyle w:val="Hypertextovodkaz"/>
                <w:noProof/>
              </w:rPr>
              <w:t>5.9</w:t>
            </w:r>
            <w:r w:rsidR="005218D2">
              <w:rPr>
                <w:rFonts w:eastAsiaTheme="minorEastAsia" w:cstheme="minorBidi"/>
                <w:b w:val="0"/>
                <w:bCs w:val="0"/>
                <w:noProof/>
                <w:sz w:val="22"/>
                <w:szCs w:val="22"/>
              </w:rPr>
              <w:tab/>
            </w:r>
            <w:r w:rsidR="005218D2" w:rsidRPr="00E13436">
              <w:rPr>
                <w:rStyle w:val="Hypertextovodkaz"/>
                <w:noProof/>
              </w:rPr>
              <w:t>Vnější energetická politika a mezinárodní vazby v energetice</w:t>
            </w:r>
            <w:r w:rsidR="005218D2">
              <w:rPr>
                <w:noProof/>
                <w:webHidden/>
              </w:rPr>
              <w:tab/>
            </w:r>
            <w:r w:rsidR="005218D2">
              <w:rPr>
                <w:noProof/>
                <w:webHidden/>
              </w:rPr>
              <w:fldChar w:fldCharType="begin"/>
            </w:r>
            <w:r w:rsidR="005218D2">
              <w:rPr>
                <w:noProof/>
                <w:webHidden/>
              </w:rPr>
              <w:instrText xml:space="preserve"> PAGEREF _Toc396923402 \h </w:instrText>
            </w:r>
            <w:r w:rsidR="005218D2">
              <w:rPr>
                <w:noProof/>
                <w:webHidden/>
              </w:rPr>
            </w:r>
            <w:r w:rsidR="005218D2">
              <w:rPr>
                <w:noProof/>
                <w:webHidden/>
              </w:rPr>
              <w:fldChar w:fldCharType="separate"/>
            </w:r>
            <w:r w:rsidR="00A72B07">
              <w:rPr>
                <w:noProof/>
                <w:webHidden/>
              </w:rPr>
              <w:t>79</w:t>
            </w:r>
            <w:r w:rsidR="005218D2">
              <w:rPr>
                <w:noProof/>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403" w:history="1">
            <w:r w:rsidR="005218D2" w:rsidRPr="00E13436">
              <w:rPr>
                <w:rStyle w:val="Hypertextovodkaz"/>
              </w:rPr>
              <w:t>6</w:t>
            </w:r>
            <w:r w:rsidR="005218D2">
              <w:rPr>
                <w:rFonts w:asciiTheme="minorHAnsi" w:eastAsiaTheme="minorEastAsia" w:hAnsiTheme="minorHAnsi" w:cstheme="minorBidi"/>
                <w:b w:val="0"/>
                <w:bCs w:val="0"/>
                <w:caps w:val="0"/>
                <w:sz w:val="22"/>
                <w:szCs w:val="22"/>
              </w:rPr>
              <w:tab/>
            </w:r>
            <w:r w:rsidR="005218D2" w:rsidRPr="00E13436">
              <w:rPr>
                <w:rStyle w:val="Hypertextovodkaz"/>
              </w:rPr>
              <w:t>Nástroje na prosazování SEK</w:t>
            </w:r>
            <w:r w:rsidR="005218D2">
              <w:rPr>
                <w:webHidden/>
              </w:rPr>
              <w:tab/>
            </w:r>
            <w:r w:rsidR="005218D2">
              <w:rPr>
                <w:webHidden/>
              </w:rPr>
              <w:fldChar w:fldCharType="begin"/>
            </w:r>
            <w:r w:rsidR="005218D2">
              <w:rPr>
                <w:webHidden/>
              </w:rPr>
              <w:instrText xml:space="preserve"> PAGEREF _Toc396923403 \h </w:instrText>
            </w:r>
            <w:r w:rsidR="005218D2">
              <w:rPr>
                <w:webHidden/>
              </w:rPr>
            </w:r>
            <w:r w:rsidR="005218D2">
              <w:rPr>
                <w:webHidden/>
              </w:rPr>
              <w:fldChar w:fldCharType="separate"/>
            </w:r>
            <w:r w:rsidR="00A72B07">
              <w:rPr>
                <w:webHidden/>
              </w:rPr>
              <w:t>82</w:t>
            </w:r>
            <w:r w:rsidR="005218D2">
              <w:rPr>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4" w:history="1">
            <w:r w:rsidR="005218D2" w:rsidRPr="00E13436">
              <w:rPr>
                <w:rStyle w:val="Hypertextovodkaz"/>
                <w:noProof/>
              </w:rPr>
              <w:t>6.1</w:t>
            </w:r>
            <w:r w:rsidR="005218D2">
              <w:rPr>
                <w:rFonts w:eastAsiaTheme="minorEastAsia" w:cstheme="minorBidi"/>
                <w:b w:val="0"/>
                <w:bCs w:val="0"/>
                <w:noProof/>
                <w:sz w:val="22"/>
                <w:szCs w:val="22"/>
              </w:rPr>
              <w:tab/>
            </w:r>
            <w:r w:rsidR="005218D2" w:rsidRPr="00E13436">
              <w:rPr>
                <w:rStyle w:val="Hypertextovodkaz"/>
                <w:noProof/>
              </w:rPr>
              <w:t>Nástroje v oblasti legislativní</w:t>
            </w:r>
            <w:r w:rsidR="005218D2">
              <w:rPr>
                <w:noProof/>
                <w:webHidden/>
              </w:rPr>
              <w:tab/>
            </w:r>
            <w:r w:rsidR="005218D2">
              <w:rPr>
                <w:noProof/>
                <w:webHidden/>
              </w:rPr>
              <w:fldChar w:fldCharType="begin"/>
            </w:r>
            <w:r w:rsidR="005218D2">
              <w:rPr>
                <w:noProof/>
                <w:webHidden/>
              </w:rPr>
              <w:instrText xml:space="preserve"> PAGEREF _Toc396923404 \h </w:instrText>
            </w:r>
            <w:r w:rsidR="005218D2">
              <w:rPr>
                <w:noProof/>
                <w:webHidden/>
              </w:rPr>
            </w:r>
            <w:r w:rsidR="005218D2">
              <w:rPr>
                <w:noProof/>
                <w:webHidden/>
              </w:rPr>
              <w:fldChar w:fldCharType="separate"/>
            </w:r>
            <w:r w:rsidR="00A72B07">
              <w:rPr>
                <w:noProof/>
                <w:webHidden/>
              </w:rPr>
              <w:t>82</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5" w:history="1">
            <w:r w:rsidR="005218D2" w:rsidRPr="00E13436">
              <w:rPr>
                <w:rStyle w:val="Hypertextovodkaz"/>
                <w:noProof/>
              </w:rPr>
              <w:t>6.2</w:t>
            </w:r>
            <w:r w:rsidR="005218D2">
              <w:rPr>
                <w:rFonts w:eastAsiaTheme="minorEastAsia" w:cstheme="minorBidi"/>
                <w:b w:val="0"/>
                <w:bCs w:val="0"/>
                <w:noProof/>
                <w:sz w:val="22"/>
                <w:szCs w:val="22"/>
              </w:rPr>
              <w:tab/>
            </w:r>
            <w:r w:rsidR="005218D2" w:rsidRPr="00E13436">
              <w:rPr>
                <w:rStyle w:val="Hypertextovodkaz"/>
                <w:noProof/>
              </w:rPr>
              <w:t>Nástroje v oblasti výkonu státní správy</w:t>
            </w:r>
            <w:r w:rsidR="005218D2">
              <w:rPr>
                <w:noProof/>
                <w:webHidden/>
              </w:rPr>
              <w:tab/>
            </w:r>
            <w:r w:rsidR="005218D2">
              <w:rPr>
                <w:noProof/>
                <w:webHidden/>
              </w:rPr>
              <w:fldChar w:fldCharType="begin"/>
            </w:r>
            <w:r w:rsidR="005218D2">
              <w:rPr>
                <w:noProof/>
                <w:webHidden/>
              </w:rPr>
              <w:instrText xml:space="preserve"> PAGEREF _Toc396923405 \h </w:instrText>
            </w:r>
            <w:r w:rsidR="005218D2">
              <w:rPr>
                <w:noProof/>
                <w:webHidden/>
              </w:rPr>
            </w:r>
            <w:r w:rsidR="005218D2">
              <w:rPr>
                <w:noProof/>
                <w:webHidden/>
              </w:rPr>
              <w:fldChar w:fldCharType="separate"/>
            </w:r>
            <w:r w:rsidR="00A72B07">
              <w:rPr>
                <w:noProof/>
                <w:webHidden/>
              </w:rPr>
              <w:t>85</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6" w:history="1">
            <w:r w:rsidR="005218D2" w:rsidRPr="00E13436">
              <w:rPr>
                <w:rStyle w:val="Hypertextovodkaz"/>
                <w:noProof/>
              </w:rPr>
              <w:t>6.3</w:t>
            </w:r>
            <w:r w:rsidR="005218D2">
              <w:rPr>
                <w:rFonts w:eastAsiaTheme="minorEastAsia" w:cstheme="minorBidi"/>
                <w:b w:val="0"/>
                <w:bCs w:val="0"/>
                <w:noProof/>
                <w:sz w:val="22"/>
                <w:szCs w:val="22"/>
              </w:rPr>
              <w:tab/>
            </w:r>
            <w:r w:rsidR="005218D2" w:rsidRPr="00E13436">
              <w:rPr>
                <w:rStyle w:val="Hypertextovodkaz"/>
                <w:noProof/>
              </w:rPr>
              <w:t>Nástroje v oblasti fiskální a daňové</w:t>
            </w:r>
            <w:r w:rsidR="005218D2">
              <w:rPr>
                <w:noProof/>
                <w:webHidden/>
              </w:rPr>
              <w:tab/>
            </w:r>
            <w:r w:rsidR="005218D2">
              <w:rPr>
                <w:noProof/>
                <w:webHidden/>
              </w:rPr>
              <w:fldChar w:fldCharType="begin"/>
            </w:r>
            <w:r w:rsidR="005218D2">
              <w:rPr>
                <w:noProof/>
                <w:webHidden/>
              </w:rPr>
              <w:instrText xml:space="preserve"> PAGEREF _Toc396923406 \h </w:instrText>
            </w:r>
            <w:r w:rsidR="005218D2">
              <w:rPr>
                <w:noProof/>
                <w:webHidden/>
              </w:rPr>
            </w:r>
            <w:r w:rsidR="005218D2">
              <w:rPr>
                <w:noProof/>
                <w:webHidden/>
              </w:rPr>
              <w:fldChar w:fldCharType="separate"/>
            </w:r>
            <w:r w:rsidR="00A72B07">
              <w:rPr>
                <w:noProof/>
                <w:webHidden/>
              </w:rPr>
              <w:t>92</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7" w:history="1">
            <w:r w:rsidR="005218D2" w:rsidRPr="00E13436">
              <w:rPr>
                <w:rStyle w:val="Hypertextovodkaz"/>
                <w:noProof/>
              </w:rPr>
              <w:t>6.4</w:t>
            </w:r>
            <w:r w:rsidR="005218D2">
              <w:rPr>
                <w:rFonts w:eastAsiaTheme="minorEastAsia" w:cstheme="minorBidi"/>
                <w:b w:val="0"/>
                <w:bCs w:val="0"/>
                <w:noProof/>
                <w:sz w:val="22"/>
                <w:szCs w:val="22"/>
              </w:rPr>
              <w:tab/>
            </w:r>
            <w:r w:rsidR="005218D2" w:rsidRPr="00E13436">
              <w:rPr>
                <w:rStyle w:val="Hypertextovodkaz"/>
                <w:noProof/>
              </w:rPr>
              <w:t>Zahraniční politika</w:t>
            </w:r>
            <w:r w:rsidR="005218D2">
              <w:rPr>
                <w:noProof/>
                <w:webHidden/>
              </w:rPr>
              <w:tab/>
            </w:r>
            <w:r w:rsidR="005218D2">
              <w:rPr>
                <w:noProof/>
                <w:webHidden/>
              </w:rPr>
              <w:fldChar w:fldCharType="begin"/>
            </w:r>
            <w:r w:rsidR="005218D2">
              <w:rPr>
                <w:noProof/>
                <w:webHidden/>
              </w:rPr>
              <w:instrText xml:space="preserve"> PAGEREF _Toc396923407 \h </w:instrText>
            </w:r>
            <w:r w:rsidR="005218D2">
              <w:rPr>
                <w:noProof/>
                <w:webHidden/>
              </w:rPr>
            </w:r>
            <w:r w:rsidR="005218D2">
              <w:rPr>
                <w:noProof/>
                <w:webHidden/>
              </w:rPr>
              <w:fldChar w:fldCharType="separate"/>
            </w:r>
            <w:r w:rsidR="00A72B07">
              <w:rPr>
                <w:noProof/>
                <w:webHidden/>
              </w:rPr>
              <w:t>93</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8" w:history="1">
            <w:r w:rsidR="005218D2" w:rsidRPr="00E13436">
              <w:rPr>
                <w:rStyle w:val="Hypertextovodkaz"/>
                <w:noProof/>
              </w:rPr>
              <w:t>6.5</w:t>
            </w:r>
            <w:r w:rsidR="005218D2">
              <w:rPr>
                <w:rFonts w:eastAsiaTheme="minorEastAsia" w:cstheme="minorBidi"/>
                <w:b w:val="0"/>
                <w:bCs w:val="0"/>
                <w:noProof/>
                <w:sz w:val="22"/>
                <w:szCs w:val="22"/>
              </w:rPr>
              <w:tab/>
            </w:r>
            <w:r w:rsidR="005218D2" w:rsidRPr="00E13436">
              <w:rPr>
                <w:rStyle w:val="Hypertextovodkaz"/>
                <w:noProof/>
              </w:rPr>
              <w:t>Nástroje v oblasti vzdělávání a podpory vědy a výzkumu</w:t>
            </w:r>
            <w:r w:rsidR="005218D2">
              <w:rPr>
                <w:noProof/>
                <w:webHidden/>
              </w:rPr>
              <w:tab/>
            </w:r>
            <w:r w:rsidR="005218D2">
              <w:rPr>
                <w:noProof/>
                <w:webHidden/>
              </w:rPr>
              <w:fldChar w:fldCharType="begin"/>
            </w:r>
            <w:r w:rsidR="005218D2">
              <w:rPr>
                <w:noProof/>
                <w:webHidden/>
              </w:rPr>
              <w:instrText xml:space="preserve"> PAGEREF _Toc396923408 \h </w:instrText>
            </w:r>
            <w:r w:rsidR="005218D2">
              <w:rPr>
                <w:noProof/>
                <w:webHidden/>
              </w:rPr>
            </w:r>
            <w:r w:rsidR="005218D2">
              <w:rPr>
                <w:noProof/>
                <w:webHidden/>
              </w:rPr>
              <w:fldChar w:fldCharType="separate"/>
            </w:r>
            <w:r w:rsidR="00A72B07">
              <w:rPr>
                <w:noProof/>
                <w:webHidden/>
              </w:rPr>
              <w:t>95</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09" w:history="1">
            <w:r w:rsidR="005218D2" w:rsidRPr="00E13436">
              <w:rPr>
                <w:rStyle w:val="Hypertextovodkaz"/>
                <w:noProof/>
              </w:rPr>
              <w:t>6.6</w:t>
            </w:r>
            <w:r w:rsidR="005218D2">
              <w:rPr>
                <w:rFonts w:eastAsiaTheme="minorEastAsia" w:cstheme="minorBidi"/>
                <w:b w:val="0"/>
                <w:bCs w:val="0"/>
                <w:noProof/>
                <w:sz w:val="22"/>
                <w:szCs w:val="22"/>
              </w:rPr>
              <w:tab/>
            </w:r>
            <w:r w:rsidR="005218D2" w:rsidRPr="00E13436">
              <w:rPr>
                <w:rStyle w:val="Hypertextovodkaz"/>
                <w:noProof/>
              </w:rPr>
              <w:t>Výkon vlastnických práv státu k energetickým společnostem s majetkovou účastí České republiky</w:t>
            </w:r>
            <w:r w:rsidR="005218D2">
              <w:rPr>
                <w:noProof/>
                <w:webHidden/>
              </w:rPr>
              <w:tab/>
            </w:r>
            <w:r w:rsidR="005218D2">
              <w:rPr>
                <w:noProof/>
                <w:webHidden/>
              </w:rPr>
              <w:fldChar w:fldCharType="begin"/>
            </w:r>
            <w:r w:rsidR="005218D2">
              <w:rPr>
                <w:noProof/>
                <w:webHidden/>
              </w:rPr>
              <w:instrText xml:space="preserve"> PAGEREF _Toc396923409 \h </w:instrText>
            </w:r>
            <w:r w:rsidR="005218D2">
              <w:rPr>
                <w:noProof/>
                <w:webHidden/>
              </w:rPr>
            </w:r>
            <w:r w:rsidR="005218D2">
              <w:rPr>
                <w:noProof/>
                <w:webHidden/>
              </w:rPr>
              <w:fldChar w:fldCharType="separate"/>
            </w:r>
            <w:r w:rsidR="00A72B07">
              <w:rPr>
                <w:noProof/>
                <w:webHidden/>
              </w:rPr>
              <w:t>96</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10" w:history="1">
            <w:r w:rsidR="005218D2" w:rsidRPr="00E13436">
              <w:rPr>
                <w:rStyle w:val="Hypertextovodkaz"/>
                <w:noProof/>
              </w:rPr>
              <w:t>6.7</w:t>
            </w:r>
            <w:r w:rsidR="005218D2">
              <w:rPr>
                <w:rFonts w:eastAsiaTheme="minorEastAsia" w:cstheme="minorBidi"/>
                <w:b w:val="0"/>
                <w:bCs w:val="0"/>
                <w:noProof/>
                <w:sz w:val="22"/>
                <w:szCs w:val="22"/>
              </w:rPr>
              <w:tab/>
            </w:r>
            <w:r w:rsidR="005218D2" w:rsidRPr="00E13436">
              <w:rPr>
                <w:rStyle w:val="Hypertextovodkaz"/>
                <w:noProof/>
              </w:rPr>
              <w:t>Komunikace a medializace</w:t>
            </w:r>
            <w:r w:rsidR="005218D2">
              <w:rPr>
                <w:noProof/>
                <w:webHidden/>
              </w:rPr>
              <w:tab/>
            </w:r>
            <w:r w:rsidR="005218D2">
              <w:rPr>
                <w:noProof/>
                <w:webHidden/>
              </w:rPr>
              <w:fldChar w:fldCharType="begin"/>
            </w:r>
            <w:r w:rsidR="005218D2">
              <w:rPr>
                <w:noProof/>
                <w:webHidden/>
              </w:rPr>
              <w:instrText xml:space="preserve"> PAGEREF _Toc396923410 \h </w:instrText>
            </w:r>
            <w:r w:rsidR="005218D2">
              <w:rPr>
                <w:noProof/>
                <w:webHidden/>
              </w:rPr>
            </w:r>
            <w:r w:rsidR="005218D2">
              <w:rPr>
                <w:noProof/>
                <w:webHidden/>
              </w:rPr>
              <w:fldChar w:fldCharType="separate"/>
            </w:r>
            <w:r w:rsidR="00A72B07">
              <w:rPr>
                <w:noProof/>
                <w:webHidden/>
              </w:rPr>
              <w:t>97</w:t>
            </w:r>
            <w:r w:rsidR="005218D2">
              <w:rPr>
                <w:noProof/>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411" w:history="1">
            <w:r w:rsidR="005218D2" w:rsidRPr="00E13436">
              <w:rPr>
                <w:rStyle w:val="Hypertextovodkaz"/>
              </w:rPr>
              <w:t>7</w:t>
            </w:r>
            <w:r w:rsidR="005218D2">
              <w:rPr>
                <w:rFonts w:asciiTheme="minorHAnsi" w:eastAsiaTheme="minorEastAsia" w:hAnsiTheme="minorHAnsi" w:cstheme="minorBidi"/>
                <w:b w:val="0"/>
                <w:bCs w:val="0"/>
                <w:caps w:val="0"/>
                <w:sz w:val="22"/>
                <w:szCs w:val="22"/>
              </w:rPr>
              <w:tab/>
            </w:r>
            <w:r w:rsidR="005218D2" w:rsidRPr="00E13436">
              <w:rPr>
                <w:rStyle w:val="Hypertextovodkaz"/>
              </w:rPr>
              <w:t>Očekávaný vývoj energetiky ČR do roku 2040 dle optimalizovaného scénáře</w:t>
            </w:r>
            <w:r w:rsidR="005218D2">
              <w:rPr>
                <w:webHidden/>
              </w:rPr>
              <w:tab/>
            </w:r>
            <w:r w:rsidR="005218D2">
              <w:rPr>
                <w:webHidden/>
              </w:rPr>
              <w:fldChar w:fldCharType="begin"/>
            </w:r>
            <w:r w:rsidR="005218D2">
              <w:rPr>
                <w:webHidden/>
              </w:rPr>
              <w:instrText xml:space="preserve"> PAGEREF _Toc396923411 \h </w:instrText>
            </w:r>
            <w:r w:rsidR="005218D2">
              <w:rPr>
                <w:webHidden/>
              </w:rPr>
            </w:r>
            <w:r w:rsidR="005218D2">
              <w:rPr>
                <w:webHidden/>
              </w:rPr>
              <w:fldChar w:fldCharType="separate"/>
            </w:r>
            <w:r w:rsidR="00A72B07">
              <w:rPr>
                <w:webHidden/>
              </w:rPr>
              <w:t>98</w:t>
            </w:r>
            <w:r w:rsidR="005218D2">
              <w:rPr>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12" w:history="1">
            <w:r w:rsidR="005218D2" w:rsidRPr="00E13436">
              <w:rPr>
                <w:rStyle w:val="Hypertextovodkaz"/>
                <w:noProof/>
              </w:rPr>
              <w:t>7.1</w:t>
            </w:r>
            <w:r w:rsidR="005218D2">
              <w:rPr>
                <w:rFonts w:eastAsiaTheme="minorEastAsia" w:cstheme="minorBidi"/>
                <w:b w:val="0"/>
                <w:bCs w:val="0"/>
                <w:noProof/>
                <w:sz w:val="22"/>
                <w:szCs w:val="22"/>
              </w:rPr>
              <w:tab/>
            </w:r>
            <w:r w:rsidR="005218D2" w:rsidRPr="00E13436">
              <w:rPr>
                <w:rStyle w:val="Hypertextovodkaz"/>
                <w:noProof/>
              </w:rPr>
              <w:t>Základní vstupy do modelu</w:t>
            </w:r>
            <w:r w:rsidR="005218D2">
              <w:rPr>
                <w:noProof/>
                <w:webHidden/>
              </w:rPr>
              <w:tab/>
            </w:r>
            <w:r w:rsidR="005218D2">
              <w:rPr>
                <w:noProof/>
                <w:webHidden/>
              </w:rPr>
              <w:fldChar w:fldCharType="begin"/>
            </w:r>
            <w:r w:rsidR="005218D2">
              <w:rPr>
                <w:noProof/>
                <w:webHidden/>
              </w:rPr>
              <w:instrText xml:space="preserve"> PAGEREF _Toc396923412 \h </w:instrText>
            </w:r>
            <w:r w:rsidR="005218D2">
              <w:rPr>
                <w:noProof/>
                <w:webHidden/>
              </w:rPr>
            </w:r>
            <w:r w:rsidR="005218D2">
              <w:rPr>
                <w:noProof/>
                <w:webHidden/>
              </w:rPr>
              <w:fldChar w:fldCharType="separate"/>
            </w:r>
            <w:r w:rsidR="00A72B07">
              <w:rPr>
                <w:noProof/>
                <w:webHidden/>
              </w:rPr>
              <w:t>98</w:t>
            </w:r>
            <w:r w:rsidR="005218D2">
              <w:rPr>
                <w:noProof/>
                <w:webHidden/>
              </w:rPr>
              <w:fldChar w:fldCharType="end"/>
            </w:r>
          </w:hyperlink>
        </w:p>
        <w:p w:rsidR="005218D2" w:rsidRDefault="00D76A86">
          <w:pPr>
            <w:pStyle w:val="Obsah2"/>
            <w:tabs>
              <w:tab w:val="left" w:pos="720"/>
              <w:tab w:val="right" w:leader="dot" w:pos="9062"/>
            </w:tabs>
            <w:rPr>
              <w:rFonts w:eastAsiaTheme="minorEastAsia" w:cstheme="minorBidi"/>
              <w:b w:val="0"/>
              <w:bCs w:val="0"/>
              <w:noProof/>
              <w:sz w:val="22"/>
              <w:szCs w:val="22"/>
            </w:rPr>
          </w:pPr>
          <w:hyperlink w:anchor="_Toc396923413" w:history="1">
            <w:r w:rsidR="005218D2" w:rsidRPr="00E13436">
              <w:rPr>
                <w:rStyle w:val="Hypertextovodkaz"/>
                <w:noProof/>
              </w:rPr>
              <w:t>7.2</w:t>
            </w:r>
            <w:r w:rsidR="005218D2">
              <w:rPr>
                <w:rFonts w:eastAsiaTheme="minorEastAsia" w:cstheme="minorBidi"/>
                <w:b w:val="0"/>
                <w:bCs w:val="0"/>
                <w:noProof/>
                <w:sz w:val="22"/>
                <w:szCs w:val="22"/>
              </w:rPr>
              <w:tab/>
            </w:r>
            <w:r w:rsidR="005218D2" w:rsidRPr="00E13436">
              <w:rPr>
                <w:rStyle w:val="Hypertextovodkaz"/>
                <w:noProof/>
              </w:rPr>
              <w:t>Optimalizovaný scénář vývoje energetiky do roku 2040</w:t>
            </w:r>
            <w:r w:rsidR="005218D2">
              <w:rPr>
                <w:noProof/>
                <w:webHidden/>
              </w:rPr>
              <w:tab/>
            </w:r>
            <w:r w:rsidR="005218D2">
              <w:rPr>
                <w:noProof/>
                <w:webHidden/>
              </w:rPr>
              <w:fldChar w:fldCharType="begin"/>
            </w:r>
            <w:r w:rsidR="005218D2">
              <w:rPr>
                <w:noProof/>
                <w:webHidden/>
              </w:rPr>
              <w:instrText xml:space="preserve"> PAGEREF _Toc396923413 \h </w:instrText>
            </w:r>
            <w:r w:rsidR="005218D2">
              <w:rPr>
                <w:noProof/>
                <w:webHidden/>
              </w:rPr>
            </w:r>
            <w:r w:rsidR="005218D2">
              <w:rPr>
                <w:noProof/>
                <w:webHidden/>
              </w:rPr>
              <w:fldChar w:fldCharType="separate"/>
            </w:r>
            <w:r w:rsidR="00A72B07">
              <w:rPr>
                <w:noProof/>
                <w:webHidden/>
              </w:rPr>
              <w:t>101</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14" w:history="1">
            <w:r w:rsidR="005218D2" w:rsidRPr="00E13436">
              <w:rPr>
                <w:rStyle w:val="Hypertextovodkaz"/>
                <w:noProof/>
              </w:rPr>
              <w:t>7.2.1</w:t>
            </w:r>
            <w:r w:rsidR="005218D2">
              <w:rPr>
                <w:rFonts w:eastAsiaTheme="minorEastAsia" w:cstheme="minorBidi"/>
                <w:noProof/>
                <w:sz w:val="22"/>
                <w:szCs w:val="22"/>
              </w:rPr>
              <w:tab/>
            </w:r>
            <w:r w:rsidR="005218D2" w:rsidRPr="00E13436">
              <w:rPr>
                <w:rStyle w:val="Hypertextovodkaz"/>
                <w:noProof/>
              </w:rPr>
              <w:t>Vývoj a struktura konečné spotřeby energie</w:t>
            </w:r>
            <w:r w:rsidR="005218D2">
              <w:rPr>
                <w:noProof/>
                <w:webHidden/>
              </w:rPr>
              <w:tab/>
            </w:r>
            <w:r w:rsidR="005218D2">
              <w:rPr>
                <w:noProof/>
                <w:webHidden/>
              </w:rPr>
              <w:fldChar w:fldCharType="begin"/>
            </w:r>
            <w:r w:rsidR="005218D2">
              <w:rPr>
                <w:noProof/>
                <w:webHidden/>
              </w:rPr>
              <w:instrText xml:space="preserve"> PAGEREF _Toc396923414 \h </w:instrText>
            </w:r>
            <w:r w:rsidR="005218D2">
              <w:rPr>
                <w:noProof/>
                <w:webHidden/>
              </w:rPr>
            </w:r>
            <w:r w:rsidR="005218D2">
              <w:rPr>
                <w:noProof/>
                <w:webHidden/>
              </w:rPr>
              <w:fldChar w:fldCharType="separate"/>
            </w:r>
            <w:r w:rsidR="00A72B07">
              <w:rPr>
                <w:noProof/>
                <w:webHidden/>
              </w:rPr>
              <w:t>101</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15" w:history="1">
            <w:r w:rsidR="005218D2" w:rsidRPr="00E13436">
              <w:rPr>
                <w:rStyle w:val="Hypertextovodkaz"/>
                <w:noProof/>
              </w:rPr>
              <w:t>7.2.2</w:t>
            </w:r>
            <w:r w:rsidR="005218D2">
              <w:rPr>
                <w:rFonts w:eastAsiaTheme="minorEastAsia" w:cstheme="minorBidi"/>
                <w:noProof/>
                <w:sz w:val="22"/>
                <w:szCs w:val="22"/>
              </w:rPr>
              <w:tab/>
            </w:r>
            <w:r w:rsidR="005218D2" w:rsidRPr="00E13436">
              <w:rPr>
                <w:rStyle w:val="Hypertextovodkaz"/>
                <w:noProof/>
              </w:rPr>
              <w:t>Vývoj a struktura konečné spotřeby energie v domácnostech</w:t>
            </w:r>
            <w:r w:rsidR="005218D2">
              <w:rPr>
                <w:noProof/>
                <w:webHidden/>
              </w:rPr>
              <w:tab/>
            </w:r>
            <w:r w:rsidR="005218D2">
              <w:rPr>
                <w:noProof/>
                <w:webHidden/>
              </w:rPr>
              <w:fldChar w:fldCharType="begin"/>
            </w:r>
            <w:r w:rsidR="005218D2">
              <w:rPr>
                <w:noProof/>
                <w:webHidden/>
              </w:rPr>
              <w:instrText xml:space="preserve"> PAGEREF _Toc396923415 \h </w:instrText>
            </w:r>
            <w:r w:rsidR="005218D2">
              <w:rPr>
                <w:noProof/>
                <w:webHidden/>
              </w:rPr>
            </w:r>
            <w:r w:rsidR="005218D2">
              <w:rPr>
                <w:noProof/>
                <w:webHidden/>
              </w:rPr>
              <w:fldChar w:fldCharType="separate"/>
            </w:r>
            <w:r w:rsidR="00A72B07">
              <w:rPr>
                <w:noProof/>
                <w:webHidden/>
              </w:rPr>
              <w:t>102</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16" w:history="1">
            <w:r w:rsidR="005218D2" w:rsidRPr="00E13436">
              <w:rPr>
                <w:rStyle w:val="Hypertextovodkaz"/>
                <w:noProof/>
              </w:rPr>
              <w:t>7.2.3</w:t>
            </w:r>
            <w:r w:rsidR="005218D2">
              <w:rPr>
                <w:rFonts w:eastAsiaTheme="minorEastAsia" w:cstheme="minorBidi"/>
                <w:noProof/>
                <w:sz w:val="22"/>
                <w:szCs w:val="22"/>
              </w:rPr>
              <w:tab/>
            </w:r>
            <w:r w:rsidR="005218D2" w:rsidRPr="00E13436">
              <w:rPr>
                <w:rStyle w:val="Hypertextovodkaz"/>
                <w:noProof/>
              </w:rPr>
              <w:t>Vývoj a struktura konečné spotřeby energie v dopravě</w:t>
            </w:r>
            <w:r w:rsidR="005218D2">
              <w:rPr>
                <w:noProof/>
                <w:webHidden/>
              </w:rPr>
              <w:tab/>
            </w:r>
            <w:r w:rsidR="005218D2">
              <w:rPr>
                <w:noProof/>
                <w:webHidden/>
              </w:rPr>
              <w:fldChar w:fldCharType="begin"/>
            </w:r>
            <w:r w:rsidR="005218D2">
              <w:rPr>
                <w:noProof/>
                <w:webHidden/>
              </w:rPr>
              <w:instrText xml:space="preserve"> PAGEREF _Toc396923416 \h </w:instrText>
            </w:r>
            <w:r w:rsidR="005218D2">
              <w:rPr>
                <w:noProof/>
                <w:webHidden/>
              </w:rPr>
            </w:r>
            <w:r w:rsidR="005218D2">
              <w:rPr>
                <w:noProof/>
                <w:webHidden/>
              </w:rPr>
              <w:fldChar w:fldCharType="separate"/>
            </w:r>
            <w:r w:rsidR="00A72B07">
              <w:rPr>
                <w:noProof/>
                <w:webHidden/>
              </w:rPr>
              <w:t>104</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17" w:history="1">
            <w:r w:rsidR="005218D2" w:rsidRPr="00E13436">
              <w:rPr>
                <w:rStyle w:val="Hypertextovodkaz"/>
                <w:noProof/>
              </w:rPr>
              <w:t>7.2.4</w:t>
            </w:r>
            <w:r w:rsidR="005218D2">
              <w:rPr>
                <w:rFonts w:eastAsiaTheme="minorEastAsia" w:cstheme="minorBidi"/>
                <w:noProof/>
                <w:sz w:val="22"/>
                <w:szCs w:val="22"/>
              </w:rPr>
              <w:tab/>
            </w:r>
            <w:r w:rsidR="005218D2" w:rsidRPr="00E13436">
              <w:rPr>
                <w:rStyle w:val="Hypertextovodkaz"/>
                <w:noProof/>
              </w:rPr>
              <w:t>Vývoj a struktura primárních energetických zdrojů (PEZ)</w:t>
            </w:r>
            <w:r w:rsidR="005218D2">
              <w:rPr>
                <w:noProof/>
                <w:webHidden/>
              </w:rPr>
              <w:tab/>
            </w:r>
            <w:r w:rsidR="005218D2">
              <w:rPr>
                <w:noProof/>
                <w:webHidden/>
              </w:rPr>
              <w:fldChar w:fldCharType="begin"/>
            </w:r>
            <w:r w:rsidR="005218D2">
              <w:rPr>
                <w:noProof/>
                <w:webHidden/>
              </w:rPr>
              <w:instrText xml:space="preserve"> PAGEREF _Toc396923417 \h </w:instrText>
            </w:r>
            <w:r w:rsidR="005218D2">
              <w:rPr>
                <w:noProof/>
                <w:webHidden/>
              </w:rPr>
            </w:r>
            <w:r w:rsidR="005218D2">
              <w:rPr>
                <w:noProof/>
                <w:webHidden/>
              </w:rPr>
              <w:fldChar w:fldCharType="separate"/>
            </w:r>
            <w:r w:rsidR="00A72B07">
              <w:rPr>
                <w:noProof/>
                <w:webHidden/>
              </w:rPr>
              <w:t>105</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18" w:history="1">
            <w:r w:rsidR="005218D2" w:rsidRPr="00E13436">
              <w:rPr>
                <w:rStyle w:val="Hypertextovodkaz"/>
                <w:noProof/>
              </w:rPr>
              <w:t>7.2.5</w:t>
            </w:r>
            <w:r w:rsidR="005218D2">
              <w:rPr>
                <w:rFonts w:eastAsiaTheme="minorEastAsia" w:cstheme="minorBidi"/>
                <w:noProof/>
                <w:sz w:val="22"/>
                <w:szCs w:val="22"/>
              </w:rPr>
              <w:tab/>
            </w:r>
            <w:r w:rsidR="005218D2" w:rsidRPr="00E13436">
              <w:rPr>
                <w:rStyle w:val="Hypertextovodkaz"/>
                <w:noProof/>
              </w:rPr>
              <w:t>Vývoj a struktura OZE na primárních energetických zdrojích</w:t>
            </w:r>
            <w:r w:rsidR="005218D2">
              <w:rPr>
                <w:noProof/>
                <w:webHidden/>
              </w:rPr>
              <w:tab/>
            </w:r>
            <w:r w:rsidR="005218D2">
              <w:rPr>
                <w:noProof/>
                <w:webHidden/>
              </w:rPr>
              <w:fldChar w:fldCharType="begin"/>
            </w:r>
            <w:r w:rsidR="005218D2">
              <w:rPr>
                <w:noProof/>
                <w:webHidden/>
              </w:rPr>
              <w:instrText xml:space="preserve"> PAGEREF _Toc396923418 \h </w:instrText>
            </w:r>
            <w:r w:rsidR="005218D2">
              <w:rPr>
                <w:noProof/>
                <w:webHidden/>
              </w:rPr>
            </w:r>
            <w:r w:rsidR="005218D2">
              <w:rPr>
                <w:noProof/>
                <w:webHidden/>
              </w:rPr>
              <w:fldChar w:fldCharType="separate"/>
            </w:r>
            <w:r w:rsidR="00A72B07">
              <w:rPr>
                <w:noProof/>
                <w:webHidden/>
              </w:rPr>
              <w:t>107</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19" w:history="1">
            <w:r w:rsidR="005218D2" w:rsidRPr="00E13436">
              <w:rPr>
                <w:rStyle w:val="Hypertextovodkaz"/>
                <w:noProof/>
              </w:rPr>
              <w:t>7.2.6</w:t>
            </w:r>
            <w:r w:rsidR="005218D2">
              <w:rPr>
                <w:rFonts w:eastAsiaTheme="minorEastAsia" w:cstheme="minorBidi"/>
                <w:noProof/>
                <w:sz w:val="22"/>
                <w:szCs w:val="22"/>
              </w:rPr>
              <w:tab/>
            </w:r>
            <w:r w:rsidR="005218D2" w:rsidRPr="00E13436">
              <w:rPr>
                <w:rStyle w:val="Hypertextovodkaz"/>
                <w:noProof/>
              </w:rPr>
              <w:t>Primární energetické zdroje vs. konečná spotřeba energie</w:t>
            </w:r>
            <w:r w:rsidR="005218D2">
              <w:rPr>
                <w:noProof/>
                <w:webHidden/>
              </w:rPr>
              <w:tab/>
            </w:r>
            <w:r w:rsidR="005218D2">
              <w:rPr>
                <w:noProof/>
                <w:webHidden/>
              </w:rPr>
              <w:fldChar w:fldCharType="begin"/>
            </w:r>
            <w:r w:rsidR="005218D2">
              <w:rPr>
                <w:noProof/>
                <w:webHidden/>
              </w:rPr>
              <w:instrText xml:space="preserve"> PAGEREF _Toc396923419 \h </w:instrText>
            </w:r>
            <w:r w:rsidR="005218D2">
              <w:rPr>
                <w:noProof/>
                <w:webHidden/>
              </w:rPr>
            </w:r>
            <w:r w:rsidR="005218D2">
              <w:rPr>
                <w:noProof/>
                <w:webHidden/>
              </w:rPr>
              <w:fldChar w:fldCharType="separate"/>
            </w:r>
            <w:r w:rsidR="00A72B07">
              <w:rPr>
                <w:noProof/>
                <w:webHidden/>
              </w:rPr>
              <w:t>109</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20" w:history="1">
            <w:r w:rsidR="005218D2" w:rsidRPr="00E13436">
              <w:rPr>
                <w:rStyle w:val="Hypertextovodkaz"/>
                <w:noProof/>
              </w:rPr>
              <w:t>7.2.7</w:t>
            </w:r>
            <w:r w:rsidR="005218D2">
              <w:rPr>
                <w:rFonts w:eastAsiaTheme="minorEastAsia" w:cstheme="minorBidi"/>
                <w:noProof/>
                <w:sz w:val="22"/>
                <w:szCs w:val="22"/>
              </w:rPr>
              <w:tab/>
            </w:r>
            <w:r w:rsidR="005218D2" w:rsidRPr="00E13436">
              <w:rPr>
                <w:rStyle w:val="Hypertextovodkaz"/>
                <w:noProof/>
              </w:rPr>
              <w:t>Vývoj a struktura hrubé výroby elektřiny</w:t>
            </w:r>
            <w:r w:rsidR="005218D2">
              <w:rPr>
                <w:noProof/>
                <w:webHidden/>
              </w:rPr>
              <w:tab/>
            </w:r>
            <w:r w:rsidR="005218D2">
              <w:rPr>
                <w:noProof/>
                <w:webHidden/>
              </w:rPr>
              <w:fldChar w:fldCharType="begin"/>
            </w:r>
            <w:r w:rsidR="005218D2">
              <w:rPr>
                <w:noProof/>
                <w:webHidden/>
              </w:rPr>
              <w:instrText xml:space="preserve"> PAGEREF _Toc396923420 \h </w:instrText>
            </w:r>
            <w:r w:rsidR="005218D2">
              <w:rPr>
                <w:noProof/>
                <w:webHidden/>
              </w:rPr>
            </w:r>
            <w:r w:rsidR="005218D2">
              <w:rPr>
                <w:noProof/>
                <w:webHidden/>
              </w:rPr>
              <w:fldChar w:fldCharType="separate"/>
            </w:r>
            <w:r w:rsidR="00A72B07">
              <w:rPr>
                <w:noProof/>
                <w:webHidden/>
              </w:rPr>
              <w:t>111</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21" w:history="1">
            <w:r w:rsidR="005218D2" w:rsidRPr="00E13436">
              <w:rPr>
                <w:rStyle w:val="Hypertextovodkaz"/>
                <w:noProof/>
              </w:rPr>
              <w:t>7.2.8</w:t>
            </w:r>
            <w:r w:rsidR="005218D2">
              <w:rPr>
                <w:rFonts w:eastAsiaTheme="minorEastAsia" w:cstheme="minorBidi"/>
                <w:noProof/>
                <w:sz w:val="22"/>
                <w:szCs w:val="22"/>
              </w:rPr>
              <w:tab/>
            </w:r>
            <w:r w:rsidR="005218D2" w:rsidRPr="00E13436">
              <w:rPr>
                <w:rStyle w:val="Hypertextovodkaz"/>
                <w:noProof/>
              </w:rPr>
              <w:t>Vývoj a struktura hrubé výroby elektřiny z OZE</w:t>
            </w:r>
            <w:r w:rsidR="005218D2">
              <w:rPr>
                <w:noProof/>
                <w:webHidden/>
              </w:rPr>
              <w:tab/>
            </w:r>
            <w:r w:rsidR="005218D2">
              <w:rPr>
                <w:noProof/>
                <w:webHidden/>
              </w:rPr>
              <w:fldChar w:fldCharType="begin"/>
            </w:r>
            <w:r w:rsidR="005218D2">
              <w:rPr>
                <w:noProof/>
                <w:webHidden/>
              </w:rPr>
              <w:instrText xml:space="preserve"> PAGEREF _Toc396923421 \h </w:instrText>
            </w:r>
            <w:r w:rsidR="005218D2">
              <w:rPr>
                <w:noProof/>
                <w:webHidden/>
              </w:rPr>
            </w:r>
            <w:r w:rsidR="005218D2">
              <w:rPr>
                <w:noProof/>
                <w:webHidden/>
              </w:rPr>
              <w:fldChar w:fldCharType="separate"/>
            </w:r>
            <w:r w:rsidR="00A72B07">
              <w:rPr>
                <w:noProof/>
                <w:webHidden/>
              </w:rPr>
              <w:t>114</w:t>
            </w:r>
            <w:r w:rsidR="005218D2">
              <w:rPr>
                <w:noProof/>
                <w:webHidden/>
              </w:rPr>
              <w:fldChar w:fldCharType="end"/>
            </w:r>
          </w:hyperlink>
        </w:p>
        <w:p w:rsidR="005218D2" w:rsidRDefault="00D76A86">
          <w:pPr>
            <w:pStyle w:val="Obsah3"/>
            <w:tabs>
              <w:tab w:val="left" w:pos="960"/>
              <w:tab w:val="right" w:leader="dot" w:pos="9062"/>
            </w:tabs>
            <w:rPr>
              <w:rFonts w:eastAsiaTheme="minorEastAsia" w:cstheme="minorBidi"/>
              <w:noProof/>
              <w:sz w:val="22"/>
              <w:szCs w:val="22"/>
            </w:rPr>
          </w:pPr>
          <w:hyperlink w:anchor="_Toc396923422" w:history="1">
            <w:r w:rsidR="005218D2" w:rsidRPr="00E13436">
              <w:rPr>
                <w:rStyle w:val="Hypertextovodkaz"/>
                <w:noProof/>
              </w:rPr>
              <w:t>7.2.9</w:t>
            </w:r>
            <w:r w:rsidR="005218D2">
              <w:rPr>
                <w:rFonts w:eastAsiaTheme="minorEastAsia" w:cstheme="minorBidi"/>
                <w:noProof/>
                <w:sz w:val="22"/>
                <w:szCs w:val="22"/>
              </w:rPr>
              <w:tab/>
            </w:r>
            <w:r w:rsidR="005218D2" w:rsidRPr="00E13436">
              <w:rPr>
                <w:rStyle w:val="Hypertextovodkaz"/>
                <w:noProof/>
              </w:rPr>
              <w:t>Vývoj a struktura spotřeby elektřiny</w:t>
            </w:r>
            <w:r w:rsidR="005218D2">
              <w:rPr>
                <w:noProof/>
                <w:webHidden/>
              </w:rPr>
              <w:tab/>
            </w:r>
            <w:r w:rsidR="005218D2">
              <w:rPr>
                <w:noProof/>
                <w:webHidden/>
              </w:rPr>
              <w:fldChar w:fldCharType="begin"/>
            </w:r>
            <w:r w:rsidR="005218D2">
              <w:rPr>
                <w:noProof/>
                <w:webHidden/>
              </w:rPr>
              <w:instrText xml:space="preserve"> PAGEREF _Toc396923422 \h </w:instrText>
            </w:r>
            <w:r w:rsidR="005218D2">
              <w:rPr>
                <w:noProof/>
                <w:webHidden/>
              </w:rPr>
            </w:r>
            <w:r w:rsidR="005218D2">
              <w:rPr>
                <w:noProof/>
                <w:webHidden/>
              </w:rPr>
              <w:fldChar w:fldCharType="separate"/>
            </w:r>
            <w:r w:rsidR="00A72B07">
              <w:rPr>
                <w:noProof/>
                <w:webHidden/>
              </w:rPr>
              <w:t>115</w:t>
            </w:r>
            <w:r w:rsidR="005218D2">
              <w:rPr>
                <w:noProof/>
                <w:webHidden/>
              </w:rPr>
              <w:fldChar w:fldCharType="end"/>
            </w:r>
          </w:hyperlink>
        </w:p>
        <w:p w:rsidR="005218D2" w:rsidRDefault="00D76A86">
          <w:pPr>
            <w:pStyle w:val="Obsah3"/>
            <w:tabs>
              <w:tab w:val="left" w:pos="1200"/>
              <w:tab w:val="right" w:leader="dot" w:pos="9062"/>
            </w:tabs>
            <w:rPr>
              <w:rFonts w:eastAsiaTheme="minorEastAsia" w:cstheme="minorBidi"/>
              <w:noProof/>
              <w:sz w:val="22"/>
              <w:szCs w:val="22"/>
            </w:rPr>
          </w:pPr>
          <w:hyperlink w:anchor="_Toc396923423" w:history="1">
            <w:r w:rsidR="005218D2" w:rsidRPr="00E13436">
              <w:rPr>
                <w:rStyle w:val="Hypertextovodkaz"/>
                <w:noProof/>
              </w:rPr>
              <w:t>7.2.10</w:t>
            </w:r>
            <w:r w:rsidR="005218D2">
              <w:rPr>
                <w:rFonts w:eastAsiaTheme="minorEastAsia" w:cstheme="minorBidi"/>
                <w:noProof/>
                <w:sz w:val="22"/>
                <w:szCs w:val="22"/>
              </w:rPr>
              <w:tab/>
            </w:r>
            <w:r w:rsidR="005218D2" w:rsidRPr="00E13436">
              <w:rPr>
                <w:rStyle w:val="Hypertextovodkaz"/>
                <w:noProof/>
              </w:rPr>
              <w:t>Vývoj a struktura dodávek tepla ze soustav zásobování teplem</w:t>
            </w:r>
            <w:r w:rsidR="005218D2">
              <w:rPr>
                <w:noProof/>
                <w:webHidden/>
              </w:rPr>
              <w:tab/>
            </w:r>
            <w:r w:rsidR="005218D2">
              <w:rPr>
                <w:noProof/>
                <w:webHidden/>
              </w:rPr>
              <w:fldChar w:fldCharType="begin"/>
            </w:r>
            <w:r w:rsidR="005218D2">
              <w:rPr>
                <w:noProof/>
                <w:webHidden/>
              </w:rPr>
              <w:instrText xml:space="preserve"> PAGEREF _Toc396923423 \h </w:instrText>
            </w:r>
            <w:r w:rsidR="005218D2">
              <w:rPr>
                <w:noProof/>
                <w:webHidden/>
              </w:rPr>
            </w:r>
            <w:r w:rsidR="005218D2">
              <w:rPr>
                <w:noProof/>
                <w:webHidden/>
              </w:rPr>
              <w:fldChar w:fldCharType="separate"/>
            </w:r>
            <w:r w:rsidR="00A72B07">
              <w:rPr>
                <w:noProof/>
                <w:webHidden/>
              </w:rPr>
              <w:t>116</w:t>
            </w:r>
            <w:r w:rsidR="005218D2">
              <w:rPr>
                <w:noProof/>
                <w:webHidden/>
              </w:rPr>
              <w:fldChar w:fldCharType="end"/>
            </w:r>
          </w:hyperlink>
        </w:p>
        <w:p w:rsidR="005218D2" w:rsidRDefault="00D76A86">
          <w:pPr>
            <w:pStyle w:val="Obsah3"/>
            <w:tabs>
              <w:tab w:val="left" w:pos="1200"/>
              <w:tab w:val="right" w:leader="dot" w:pos="9062"/>
            </w:tabs>
            <w:rPr>
              <w:rFonts w:eastAsiaTheme="minorEastAsia" w:cstheme="minorBidi"/>
              <w:noProof/>
              <w:sz w:val="22"/>
              <w:szCs w:val="22"/>
            </w:rPr>
          </w:pPr>
          <w:hyperlink w:anchor="_Toc396923424" w:history="1">
            <w:r w:rsidR="005218D2" w:rsidRPr="00E13436">
              <w:rPr>
                <w:rStyle w:val="Hypertextovodkaz"/>
                <w:noProof/>
              </w:rPr>
              <w:t>7.2.11</w:t>
            </w:r>
            <w:r w:rsidR="005218D2">
              <w:rPr>
                <w:rFonts w:eastAsiaTheme="minorEastAsia" w:cstheme="minorBidi"/>
                <w:noProof/>
                <w:sz w:val="22"/>
                <w:szCs w:val="22"/>
              </w:rPr>
              <w:tab/>
            </w:r>
            <w:r w:rsidR="005218D2" w:rsidRPr="00E13436">
              <w:rPr>
                <w:rStyle w:val="Hypertextovodkaz"/>
                <w:noProof/>
              </w:rPr>
              <w:t>Ukazatele bezpečnosti</w:t>
            </w:r>
            <w:r w:rsidR="005218D2">
              <w:rPr>
                <w:noProof/>
                <w:webHidden/>
              </w:rPr>
              <w:tab/>
            </w:r>
            <w:r w:rsidR="005218D2">
              <w:rPr>
                <w:noProof/>
                <w:webHidden/>
              </w:rPr>
              <w:fldChar w:fldCharType="begin"/>
            </w:r>
            <w:r w:rsidR="005218D2">
              <w:rPr>
                <w:noProof/>
                <w:webHidden/>
              </w:rPr>
              <w:instrText xml:space="preserve"> PAGEREF _Toc396923424 \h </w:instrText>
            </w:r>
            <w:r w:rsidR="005218D2">
              <w:rPr>
                <w:noProof/>
                <w:webHidden/>
              </w:rPr>
            </w:r>
            <w:r w:rsidR="005218D2">
              <w:rPr>
                <w:noProof/>
                <w:webHidden/>
              </w:rPr>
              <w:fldChar w:fldCharType="separate"/>
            </w:r>
            <w:r w:rsidR="00A72B07">
              <w:rPr>
                <w:noProof/>
                <w:webHidden/>
              </w:rPr>
              <w:t>118</w:t>
            </w:r>
            <w:r w:rsidR="005218D2">
              <w:rPr>
                <w:noProof/>
                <w:webHidden/>
              </w:rPr>
              <w:fldChar w:fldCharType="end"/>
            </w:r>
          </w:hyperlink>
        </w:p>
        <w:p w:rsidR="005218D2" w:rsidRDefault="00D76A86">
          <w:pPr>
            <w:pStyle w:val="Obsah3"/>
            <w:tabs>
              <w:tab w:val="left" w:pos="1200"/>
              <w:tab w:val="right" w:leader="dot" w:pos="9062"/>
            </w:tabs>
            <w:rPr>
              <w:rFonts w:eastAsiaTheme="minorEastAsia" w:cstheme="minorBidi"/>
              <w:noProof/>
              <w:sz w:val="22"/>
              <w:szCs w:val="22"/>
            </w:rPr>
          </w:pPr>
          <w:hyperlink w:anchor="_Toc396923425" w:history="1">
            <w:r w:rsidR="005218D2" w:rsidRPr="00E13436">
              <w:rPr>
                <w:rStyle w:val="Hypertextovodkaz"/>
                <w:noProof/>
              </w:rPr>
              <w:t>7.2.12</w:t>
            </w:r>
            <w:r w:rsidR="005218D2">
              <w:rPr>
                <w:rFonts w:eastAsiaTheme="minorEastAsia" w:cstheme="minorBidi"/>
                <w:noProof/>
                <w:sz w:val="22"/>
                <w:szCs w:val="22"/>
              </w:rPr>
              <w:tab/>
            </w:r>
            <w:r w:rsidR="005218D2" w:rsidRPr="00E13436">
              <w:rPr>
                <w:rStyle w:val="Hypertextovodkaz"/>
                <w:noProof/>
              </w:rPr>
              <w:t>Ukazatele konkurenceschopnosti</w:t>
            </w:r>
            <w:r w:rsidR="005218D2">
              <w:rPr>
                <w:noProof/>
                <w:webHidden/>
              </w:rPr>
              <w:tab/>
            </w:r>
            <w:r w:rsidR="005218D2">
              <w:rPr>
                <w:noProof/>
                <w:webHidden/>
              </w:rPr>
              <w:fldChar w:fldCharType="begin"/>
            </w:r>
            <w:r w:rsidR="005218D2">
              <w:rPr>
                <w:noProof/>
                <w:webHidden/>
              </w:rPr>
              <w:instrText xml:space="preserve"> PAGEREF _Toc396923425 \h </w:instrText>
            </w:r>
            <w:r w:rsidR="005218D2">
              <w:rPr>
                <w:noProof/>
                <w:webHidden/>
              </w:rPr>
            </w:r>
            <w:r w:rsidR="005218D2">
              <w:rPr>
                <w:noProof/>
                <w:webHidden/>
              </w:rPr>
              <w:fldChar w:fldCharType="separate"/>
            </w:r>
            <w:r w:rsidR="00A72B07">
              <w:rPr>
                <w:noProof/>
                <w:webHidden/>
              </w:rPr>
              <w:t>124</w:t>
            </w:r>
            <w:r w:rsidR="005218D2">
              <w:rPr>
                <w:noProof/>
                <w:webHidden/>
              </w:rPr>
              <w:fldChar w:fldCharType="end"/>
            </w:r>
          </w:hyperlink>
        </w:p>
        <w:p w:rsidR="005218D2" w:rsidRDefault="00D76A86">
          <w:pPr>
            <w:pStyle w:val="Obsah3"/>
            <w:tabs>
              <w:tab w:val="left" w:pos="1200"/>
              <w:tab w:val="right" w:leader="dot" w:pos="9062"/>
            </w:tabs>
            <w:rPr>
              <w:rFonts w:eastAsiaTheme="minorEastAsia" w:cstheme="minorBidi"/>
              <w:noProof/>
              <w:sz w:val="22"/>
              <w:szCs w:val="22"/>
            </w:rPr>
          </w:pPr>
          <w:hyperlink w:anchor="_Toc396923426" w:history="1">
            <w:r w:rsidR="005218D2" w:rsidRPr="00E13436">
              <w:rPr>
                <w:rStyle w:val="Hypertextovodkaz"/>
                <w:noProof/>
              </w:rPr>
              <w:t>7.2.13</w:t>
            </w:r>
            <w:r w:rsidR="005218D2">
              <w:rPr>
                <w:rFonts w:eastAsiaTheme="minorEastAsia" w:cstheme="minorBidi"/>
                <w:noProof/>
                <w:sz w:val="22"/>
                <w:szCs w:val="22"/>
              </w:rPr>
              <w:tab/>
            </w:r>
            <w:r w:rsidR="005218D2" w:rsidRPr="00E13436">
              <w:rPr>
                <w:rStyle w:val="Hypertextovodkaz"/>
                <w:noProof/>
              </w:rPr>
              <w:t>Ukazatele udržitelnosti</w:t>
            </w:r>
            <w:r w:rsidR="005218D2">
              <w:rPr>
                <w:noProof/>
                <w:webHidden/>
              </w:rPr>
              <w:tab/>
            </w:r>
            <w:r w:rsidR="005218D2">
              <w:rPr>
                <w:noProof/>
                <w:webHidden/>
              </w:rPr>
              <w:fldChar w:fldCharType="begin"/>
            </w:r>
            <w:r w:rsidR="005218D2">
              <w:rPr>
                <w:noProof/>
                <w:webHidden/>
              </w:rPr>
              <w:instrText xml:space="preserve"> PAGEREF _Toc396923426 \h </w:instrText>
            </w:r>
            <w:r w:rsidR="005218D2">
              <w:rPr>
                <w:noProof/>
                <w:webHidden/>
              </w:rPr>
            </w:r>
            <w:r w:rsidR="005218D2">
              <w:rPr>
                <w:noProof/>
                <w:webHidden/>
              </w:rPr>
              <w:fldChar w:fldCharType="separate"/>
            </w:r>
            <w:r w:rsidR="00A72B07">
              <w:rPr>
                <w:noProof/>
                <w:webHidden/>
              </w:rPr>
              <w:t>130</w:t>
            </w:r>
            <w:r w:rsidR="005218D2">
              <w:rPr>
                <w:noProof/>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427" w:history="1">
            <w:r w:rsidR="005218D2" w:rsidRPr="00E13436">
              <w:rPr>
                <w:rStyle w:val="Hypertextovodkaz"/>
              </w:rPr>
              <w:t>8</w:t>
            </w:r>
            <w:r w:rsidR="005218D2">
              <w:rPr>
                <w:rFonts w:asciiTheme="minorHAnsi" w:eastAsiaTheme="minorEastAsia" w:hAnsiTheme="minorHAnsi" w:cstheme="minorBidi"/>
                <w:b w:val="0"/>
                <w:bCs w:val="0"/>
                <w:caps w:val="0"/>
                <w:sz w:val="22"/>
                <w:szCs w:val="22"/>
              </w:rPr>
              <w:tab/>
            </w:r>
            <w:r w:rsidR="005218D2" w:rsidRPr="00E13436">
              <w:rPr>
                <w:rStyle w:val="Hypertextovodkaz"/>
              </w:rPr>
              <w:t>Seznam značek a zkratek</w:t>
            </w:r>
            <w:r w:rsidR="005218D2">
              <w:rPr>
                <w:webHidden/>
              </w:rPr>
              <w:tab/>
            </w:r>
            <w:r w:rsidR="005218D2">
              <w:rPr>
                <w:webHidden/>
              </w:rPr>
              <w:fldChar w:fldCharType="begin"/>
            </w:r>
            <w:r w:rsidR="005218D2">
              <w:rPr>
                <w:webHidden/>
              </w:rPr>
              <w:instrText xml:space="preserve"> PAGEREF _Toc396923427 \h </w:instrText>
            </w:r>
            <w:r w:rsidR="005218D2">
              <w:rPr>
                <w:webHidden/>
              </w:rPr>
            </w:r>
            <w:r w:rsidR="005218D2">
              <w:rPr>
                <w:webHidden/>
              </w:rPr>
              <w:fldChar w:fldCharType="separate"/>
            </w:r>
            <w:r w:rsidR="00A72B07">
              <w:rPr>
                <w:webHidden/>
              </w:rPr>
              <w:t>141</w:t>
            </w:r>
            <w:r w:rsidR="005218D2">
              <w:rPr>
                <w:webHidden/>
              </w:rPr>
              <w:fldChar w:fldCharType="end"/>
            </w:r>
          </w:hyperlink>
        </w:p>
        <w:p w:rsidR="005218D2" w:rsidRDefault="00D76A86">
          <w:pPr>
            <w:pStyle w:val="Obsah1"/>
            <w:rPr>
              <w:rFonts w:asciiTheme="minorHAnsi" w:eastAsiaTheme="minorEastAsia" w:hAnsiTheme="minorHAnsi" w:cstheme="minorBidi"/>
              <w:b w:val="0"/>
              <w:bCs w:val="0"/>
              <w:caps w:val="0"/>
              <w:sz w:val="22"/>
              <w:szCs w:val="22"/>
            </w:rPr>
          </w:pPr>
          <w:hyperlink w:anchor="_Toc396923428" w:history="1">
            <w:r w:rsidR="005218D2" w:rsidRPr="00E13436">
              <w:rPr>
                <w:rStyle w:val="Hypertextovodkaz"/>
              </w:rPr>
              <w:t>9</w:t>
            </w:r>
            <w:r w:rsidR="005218D2">
              <w:rPr>
                <w:rFonts w:asciiTheme="minorHAnsi" w:eastAsiaTheme="minorEastAsia" w:hAnsiTheme="minorHAnsi" w:cstheme="minorBidi"/>
                <w:b w:val="0"/>
                <w:bCs w:val="0"/>
                <w:caps w:val="0"/>
                <w:sz w:val="22"/>
                <w:szCs w:val="22"/>
              </w:rPr>
              <w:tab/>
            </w:r>
            <w:r w:rsidR="005218D2" w:rsidRPr="00E13436">
              <w:rPr>
                <w:rStyle w:val="Hypertextovodkaz"/>
              </w:rPr>
              <w:t>Seznam grafů, tabulek a obrázků</w:t>
            </w:r>
            <w:r w:rsidR="005218D2">
              <w:rPr>
                <w:webHidden/>
              </w:rPr>
              <w:tab/>
            </w:r>
            <w:r w:rsidR="005218D2">
              <w:rPr>
                <w:webHidden/>
              </w:rPr>
              <w:fldChar w:fldCharType="begin"/>
            </w:r>
            <w:r w:rsidR="005218D2">
              <w:rPr>
                <w:webHidden/>
              </w:rPr>
              <w:instrText xml:space="preserve"> PAGEREF _Toc396923428 \h </w:instrText>
            </w:r>
            <w:r w:rsidR="005218D2">
              <w:rPr>
                <w:webHidden/>
              </w:rPr>
            </w:r>
            <w:r w:rsidR="005218D2">
              <w:rPr>
                <w:webHidden/>
              </w:rPr>
              <w:fldChar w:fldCharType="separate"/>
            </w:r>
            <w:r w:rsidR="00A72B07">
              <w:rPr>
                <w:webHidden/>
              </w:rPr>
              <w:t>144</w:t>
            </w:r>
            <w:r w:rsidR="005218D2">
              <w:rPr>
                <w:webHidden/>
              </w:rPr>
              <w:fldChar w:fldCharType="end"/>
            </w:r>
          </w:hyperlink>
        </w:p>
        <w:p w:rsidR="00A66B41" w:rsidRPr="0092047B" w:rsidRDefault="00587E53" w:rsidP="00680B99">
          <w:pPr>
            <w:ind w:left="-142"/>
            <w:rPr>
              <w:rFonts w:cstheme="minorHAnsi"/>
              <w:sz w:val="22"/>
            </w:rPr>
          </w:pPr>
          <w:r w:rsidRPr="0092047B">
            <w:rPr>
              <w:rFonts w:ascii="Arial" w:hAnsi="Arial" w:cstheme="minorHAnsi"/>
              <w:noProof/>
              <w:sz w:val="20"/>
              <w:szCs w:val="32"/>
            </w:rPr>
            <w:fldChar w:fldCharType="end"/>
          </w:r>
        </w:p>
      </w:sdtContent>
    </w:sdt>
    <w:p w:rsidR="006243EB" w:rsidRPr="0092047B" w:rsidRDefault="006243EB">
      <w:r w:rsidRPr="0092047B">
        <w:br w:type="page"/>
      </w:r>
    </w:p>
    <w:p w:rsidR="00100C3E" w:rsidRPr="0092047B" w:rsidRDefault="00D6434D" w:rsidP="00184DC1">
      <w:pPr>
        <w:pStyle w:val="Nadpis1"/>
        <w:rPr>
          <w:rFonts w:eastAsiaTheme="majorEastAsia"/>
        </w:rPr>
      </w:pPr>
      <w:bookmarkStart w:id="5" w:name="_Toc361039046"/>
      <w:bookmarkStart w:id="6" w:name="_Toc396923378"/>
      <w:r w:rsidRPr="0092047B">
        <w:rPr>
          <w:rFonts w:eastAsiaTheme="majorEastAsia"/>
        </w:rPr>
        <w:lastRenderedPageBreak/>
        <w:t>Poslání a</w:t>
      </w:r>
      <w:r w:rsidR="00491BAB" w:rsidRPr="0092047B">
        <w:rPr>
          <w:rFonts w:eastAsiaTheme="majorEastAsia"/>
        </w:rPr>
        <w:t> </w:t>
      </w:r>
      <w:r w:rsidRPr="0092047B">
        <w:rPr>
          <w:rFonts w:eastAsiaTheme="majorEastAsia"/>
        </w:rPr>
        <w:t xml:space="preserve">rámec </w:t>
      </w:r>
      <w:r w:rsidR="00E9311C" w:rsidRPr="0092047B">
        <w:rPr>
          <w:rFonts w:eastAsiaTheme="majorEastAsia"/>
        </w:rPr>
        <w:t xml:space="preserve">Státní </w:t>
      </w:r>
      <w:r w:rsidRPr="0092047B">
        <w:rPr>
          <w:rFonts w:eastAsiaTheme="majorEastAsia"/>
        </w:rPr>
        <w:t>energetické koncepce</w:t>
      </w:r>
      <w:bookmarkEnd w:id="1"/>
      <w:bookmarkEnd w:id="5"/>
      <w:bookmarkEnd w:id="6"/>
    </w:p>
    <w:p w:rsidR="006E3CE4" w:rsidRPr="0092047B" w:rsidRDefault="006E3CE4" w:rsidP="00184DC1">
      <w:pPr>
        <w:rPr>
          <w:rFonts w:cstheme="minorHAnsi"/>
          <w:bCs/>
          <w:szCs w:val="28"/>
        </w:rPr>
      </w:pPr>
      <w:r w:rsidRPr="0092047B">
        <w:rPr>
          <w:rFonts w:cstheme="minorHAnsi"/>
          <w:bCs/>
          <w:szCs w:val="28"/>
        </w:rPr>
        <w:t xml:space="preserve">Hlavním </w:t>
      </w:r>
      <w:r w:rsidR="00E9311C" w:rsidRPr="0092047B">
        <w:rPr>
          <w:rFonts w:cstheme="minorHAnsi"/>
          <w:bCs/>
          <w:szCs w:val="28"/>
        </w:rPr>
        <w:t xml:space="preserve">posláním Státní </w:t>
      </w:r>
      <w:r w:rsidRPr="0092047B">
        <w:rPr>
          <w:rFonts w:cstheme="minorHAnsi"/>
          <w:bCs/>
          <w:szCs w:val="28"/>
        </w:rPr>
        <w:t xml:space="preserve">energetické koncepce </w:t>
      </w:r>
      <w:r w:rsidR="00E9311C" w:rsidRPr="0092047B">
        <w:rPr>
          <w:rFonts w:cstheme="minorHAnsi"/>
          <w:bCs/>
          <w:szCs w:val="28"/>
        </w:rPr>
        <w:t xml:space="preserve">(dále též SEK) </w:t>
      </w:r>
      <w:r w:rsidRPr="0092047B">
        <w:rPr>
          <w:rFonts w:cstheme="minorHAnsi"/>
          <w:bCs/>
          <w:szCs w:val="28"/>
        </w:rPr>
        <w:t>je zajistit spolehlivou, bezpečnou a</w:t>
      </w:r>
      <w:r w:rsidR="00491BAB" w:rsidRPr="0092047B">
        <w:rPr>
          <w:rFonts w:cstheme="minorHAnsi"/>
          <w:bCs/>
          <w:szCs w:val="28"/>
        </w:rPr>
        <w:t> </w:t>
      </w:r>
      <w:r w:rsidRPr="0092047B">
        <w:rPr>
          <w:rFonts w:cstheme="minorHAnsi"/>
          <w:bCs/>
          <w:szCs w:val="28"/>
        </w:rPr>
        <w:t>k životnímu prostředí šetrnou dodávku energie pro potřeby</w:t>
      </w:r>
      <w:r w:rsidR="00494E43" w:rsidRPr="0092047B">
        <w:rPr>
          <w:rFonts w:cstheme="minorHAnsi"/>
          <w:bCs/>
          <w:szCs w:val="28"/>
        </w:rPr>
        <w:t xml:space="preserve"> obyvatelstva a</w:t>
      </w:r>
      <w:r w:rsidR="00491BAB" w:rsidRPr="0092047B">
        <w:rPr>
          <w:rFonts w:cstheme="minorHAnsi"/>
          <w:bCs/>
          <w:szCs w:val="28"/>
        </w:rPr>
        <w:t> </w:t>
      </w:r>
      <w:r w:rsidR="00494E43" w:rsidRPr="0092047B">
        <w:rPr>
          <w:rFonts w:cstheme="minorHAnsi"/>
          <w:bCs/>
          <w:szCs w:val="28"/>
        </w:rPr>
        <w:t>ekonomiky ČR</w:t>
      </w:r>
      <w:r w:rsidR="00587F3E" w:rsidRPr="0092047B">
        <w:rPr>
          <w:rFonts w:cstheme="minorHAnsi"/>
          <w:bCs/>
          <w:szCs w:val="28"/>
        </w:rPr>
        <w:t>,</w:t>
      </w:r>
      <w:r w:rsidR="00494E43" w:rsidRPr="0092047B">
        <w:rPr>
          <w:rFonts w:cstheme="minorHAnsi"/>
          <w:bCs/>
          <w:szCs w:val="28"/>
        </w:rPr>
        <w:t xml:space="preserve"> </w:t>
      </w:r>
      <w:r w:rsidR="00587F3E" w:rsidRPr="0092047B">
        <w:rPr>
          <w:rFonts w:cstheme="minorHAnsi"/>
          <w:bCs/>
          <w:szCs w:val="28"/>
        </w:rPr>
        <w:t>a to</w:t>
      </w:r>
      <w:r w:rsidR="00494E43" w:rsidRPr="0092047B">
        <w:rPr>
          <w:rFonts w:cstheme="minorHAnsi"/>
          <w:bCs/>
          <w:szCs w:val="28"/>
        </w:rPr>
        <w:t xml:space="preserve"> za </w:t>
      </w:r>
      <w:r w:rsidRPr="0092047B">
        <w:rPr>
          <w:rFonts w:cstheme="minorHAnsi"/>
          <w:bCs/>
          <w:szCs w:val="28"/>
        </w:rPr>
        <w:t>konkurenceschopné a</w:t>
      </w:r>
      <w:r w:rsidR="00491BAB" w:rsidRPr="0092047B">
        <w:rPr>
          <w:rFonts w:cstheme="minorHAnsi"/>
          <w:bCs/>
          <w:szCs w:val="28"/>
        </w:rPr>
        <w:t> </w:t>
      </w:r>
      <w:r w:rsidRPr="0092047B">
        <w:rPr>
          <w:rFonts w:cstheme="minorHAnsi"/>
          <w:bCs/>
          <w:szCs w:val="28"/>
        </w:rPr>
        <w:t xml:space="preserve">přijatelné ceny za </w:t>
      </w:r>
      <w:r w:rsidR="0089134C" w:rsidRPr="0092047B">
        <w:rPr>
          <w:rFonts w:cstheme="minorHAnsi"/>
          <w:bCs/>
          <w:szCs w:val="28"/>
        </w:rPr>
        <w:t xml:space="preserve">standardních </w:t>
      </w:r>
      <w:r w:rsidRPr="0092047B">
        <w:rPr>
          <w:rFonts w:cstheme="minorHAnsi"/>
          <w:bCs/>
          <w:szCs w:val="28"/>
        </w:rPr>
        <w:t xml:space="preserve">podmínek. Současně musí zabezpečit nepřerušené dodávky energie </w:t>
      </w:r>
      <w:r w:rsidRPr="0092047B">
        <w:rPr>
          <w:rFonts w:cstheme="minorHAnsi"/>
          <w:bCs/>
        </w:rPr>
        <w:t>v</w:t>
      </w:r>
      <w:r w:rsidR="00491BAB" w:rsidRPr="0092047B">
        <w:rPr>
          <w:rFonts w:cstheme="minorHAnsi"/>
          <w:bCs/>
        </w:rPr>
        <w:t> </w:t>
      </w:r>
      <w:r w:rsidRPr="0092047B">
        <w:rPr>
          <w:rFonts w:cstheme="minorHAnsi"/>
          <w:bCs/>
        </w:rPr>
        <w:t>krizových situacích</w:t>
      </w:r>
      <w:r w:rsidRPr="0092047B">
        <w:rPr>
          <w:rFonts w:cstheme="minorHAnsi"/>
          <w:bCs/>
          <w:szCs w:val="28"/>
        </w:rPr>
        <w:t xml:space="preserve"> v</w:t>
      </w:r>
      <w:r w:rsidR="00491BAB" w:rsidRPr="0092047B">
        <w:rPr>
          <w:rFonts w:cstheme="minorHAnsi"/>
          <w:bCs/>
          <w:szCs w:val="28"/>
        </w:rPr>
        <w:t> </w:t>
      </w:r>
      <w:r w:rsidRPr="0092047B">
        <w:rPr>
          <w:rFonts w:cstheme="minorHAnsi"/>
          <w:bCs/>
          <w:szCs w:val="28"/>
        </w:rPr>
        <w:t xml:space="preserve">rozsahu nezbytném pro </w:t>
      </w:r>
      <w:r w:rsidRPr="0092047B">
        <w:rPr>
          <w:rFonts w:cstheme="minorHAnsi"/>
          <w:bCs/>
        </w:rPr>
        <w:t>fungování nejdůležitějších složek státu a</w:t>
      </w:r>
      <w:r w:rsidR="00491BAB" w:rsidRPr="0092047B">
        <w:rPr>
          <w:rFonts w:cstheme="minorHAnsi"/>
          <w:bCs/>
        </w:rPr>
        <w:t> </w:t>
      </w:r>
      <w:r w:rsidRPr="0092047B">
        <w:rPr>
          <w:rFonts w:cstheme="minorHAnsi"/>
          <w:bCs/>
        </w:rPr>
        <w:t>přežití obyvatelstva.</w:t>
      </w:r>
    </w:p>
    <w:p w:rsidR="00E9311C" w:rsidRPr="0092047B" w:rsidRDefault="00AF1E90" w:rsidP="00184DC1">
      <w:pPr>
        <w:rPr>
          <w:rFonts w:cstheme="minorHAnsi"/>
        </w:rPr>
      </w:pPr>
      <w:r w:rsidRPr="0092047B">
        <w:rPr>
          <w:rFonts w:cstheme="minorHAnsi"/>
        </w:rPr>
        <w:t>D</w:t>
      </w:r>
      <w:r w:rsidR="00E9311C" w:rsidRPr="0092047B">
        <w:rPr>
          <w:rFonts w:cstheme="minorHAnsi"/>
        </w:rPr>
        <w:t>louhod</w:t>
      </w:r>
      <w:r w:rsidR="002918DA">
        <w:rPr>
          <w:rFonts w:cstheme="minorHAnsi"/>
        </w:rPr>
        <w:t>obou</w:t>
      </w:r>
      <w:r w:rsidR="00E9311C" w:rsidRPr="0092047B">
        <w:rPr>
          <w:rFonts w:cstheme="minorHAnsi"/>
        </w:rPr>
        <w:t xml:space="preserve"> </w:t>
      </w:r>
      <w:r w:rsidR="00E9311C" w:rsidRPr="0092047B">
        <w:rPr>
          <w:rFonts w:cstheme="minorHAnsi"/>
          <w:b/>
        </w:rPr>
        <w:t>viz</w:t>
      </w:r>
      <w:r w:rsidR="002918DA">
        <w:rPr>
          <w:rFonts w:cstheme="minorHAnsi"/>
          <w:b/>
        </w:rPr>
        <w:t>í</w:t>
      </w:r>
      <w:r w:rsidR="00E9311C" w:rsidRPr="0092047B">
        <w:rPr>
          <w:rFonts w:cstheme="minorHAnsi"/>
          <w:b/>
        </w:rPr>
        <w:t xml:space="preserve"> energetiky ČR</w:t>
      </w:r>
      <w:r w:rsidR="00E9311C" w:rsidRPr="0092047B">
        <w:rPr>
          <w:rFonts w:cstheme="minorHAnsi"/>
        </w:rPr>
        <w:t xml:space="preserve"> </w:t>
      </w:r>
      <w:r w:rsidRPr="0092047B">
        <w:rPr>
          <w:rFonts w:cstheme="minorHAnsi"/>
        </w:rPr>
        <w:t xml:space="preserve">je </w:t>
      </w:r>
      <w:r w:rsidR="008A6204" w:rsidRPr="0092047B">
        <w:rPr>
          <w:rFonts w:cstheme="minorHAnsi"/>
        </w:rPr>
        <w:t>s</w:t>
      </w:r>
      <w:r w:rsidRPr="0092047B">
        <w:rPr>
          <w:rFonts w:cstheme="minorHAnsi"/>
        </w:rPr>
        <w:t xml:space="preserve">polehlivé, cenově dostupné a dlouhodobě udržitelné zásobování domácností i hospodářství energií. Takto vymezená vize </w:t>
      </w:r>
      <w:r w:rsidR="00E9311C" w:rsidRPr="0092047B">
        <w:rPr>
          <w:rFonts w:cstheme="minorHAnsi"/>
        </w:rPr>
        <w:t xml:space="preserve">je shrnuta v trojici vrcholových strategických cílů energetiky ČR, těmi jsou </w:t>
      </w:r>
      <w:r w:rsidR="00E9311C" w:rsidRPr="0092047B">
        <w:rPr>
          <w:rFonts w:cstheme="minorHAnsi"/>
          <w:b/>
        </w:rPr>
        <w:t>bezpečnost – konkurenceschopnost – udržitelnost</w:t>
      </w:r>
      <w:r w:rsidR="00E9311C" w:rsidRPr="0092047B">
        <w:rPr>
          <w:rFonts w:cstheme="minorHAnsi"/>
        </w:rPr>
        <w:t>.</w:t>
      </w:r>
    </w:p>
    <w:p w:rsidR="006E3CE4" w:rsidRPr="0092047B" w:rsidRDefault="006E3CE4" w:rsidP="00184DC1">
      <w:pPr>
        <w:rPr>
          <w:rFonts w:cstheme="minorHAnsi"/>
        </w:rPr>
      </w:pPr>
      <w:r w:rsidRPr="0092047B">
        <w:rPr>
          <w:rFonts w:cstheme="minorHAnsi"/>
        </w:rPr>
        <w:t>Jednou z</w:t>
      </w:r>
      <w:r w:rsidR="00491BAB" w:rsidRPr="0092047B">
        <w:rPr>
          <w:rFonts w:cstheme="minorHAnsi"/>
        </w:rPr>
        <w:t> </w:t>
      </w:r>
      <w:r w:rsidRPr="0092047B">
        <w:rPr>
          <w:rFonts w:cstheme="minorHAnsi"/>
        </w:rPr>
        <w:t>nejvýznamnějších charakteristik současné</w:t>
      </w:r>
      <w:r w:rsidR="002922C5" w:rsidRPr="0092047B">
        <w:rPr>
          <w:rFonts w:cstheme="minorHAnsi"/>
        </w:rPr>
        <w:t>ho</w:t>
      </w:r>
      <w:r w:rsidRPr="0092047B">
        <w:rPr>
          <w:rFonts w:cstheme="minorHAnsi"/>
        </w:rPr>
        <w:t xml:space="preserve"> vývoje energetiky v</w:t>
      </w:r>
      <w:r w:rsidR="00491BAB" w:rsidRPr="0092047B">
        <w:rPr>
          <w:rFonts w:cstheme="minorHAnsi"/>
        </w:rPr>
        <w:t> </w:t>
      </w:r>
      <w:r w:rsidRPr="0092047B">
        <w:rPr>
          <w:rFonts w:cstheme="minorHAnsi"/>
        </w:rPr>
        <w:t>globálním měřítku je vysoká míra nejistot dalšího vývoje z</w:t>
      </w:r>
      <w:r w:rsidR="00491BAB" w:rsidRPr="0092047B">
        <w:rPr>
          <w:rFonts w:cstheme="minorHAnsi"/>
        </w:rPr>
        <w:t> </w:t>
      </w:r>
      <w:r w:rsidRPr="0092047B">
        <w:rPr>
          <w:rFonts w:cstheme="minorHAnsi"/>
        </w:rPr>
        <w:t>hlediska politického a</w:t>
      </w:r>
      <w:r w:rsidR="00491BAB" w:rsidRPr="0092047B">
        <w:rPr>
          <w:rFonts w:cstheme="minorHAnsi"/>
        </w:rPr>
        <w:t> </w:t>
      </w:r>
      <w:r w:rsidRPr="0092047B">
        <w:rPr>
          <w:rFonts w:cstheme="minorHAnsi"/>
        </w:rPr>
        <w:t>ekonomického, rozvoje technologií a</w:t>
      </w:r>
      <w:r w:rsidR="00491BAB" w:rsidRPr="0092047B">
        <w:rPr>
          <w:rFonts w:cstheme="minorHAnsi"/>
        </w:rPr>
        <w:t> </w:t>
      </w:r>
      <w:r w:rsidRPr="0092047B">
        <w:rPr>
          <w:rFonts w:cstheme="minorHAnsi"/>
        </w:rPr>
        <w:t>požadavků na ochranu životního prostředí a</w:t>
      </w:r>
      <w:r w:rsidR="00491BAB" w:rsidRPr="0092047B">
        <w:rPr>
          <w:rFonts w:cstheme="minorHAnsi"/>
        </w:rPr>
        <w:t> </w:t>
      </w:r>
      <w:r w:rsidRPr="0092047B">
        <w:rPr>
          <w:rFonts w:cstheme="minorHAnsi"/>
        </w:rPr>
        <w:t xml:space="preserve">klimatu. </w:t>
      </w:r>
      <w:r w:rsidR="007F2F49" w:rsidRPr="0092047B">
        <w:t xml:space="preserve"> </w:t>
      </w:r>
      <w:r w:rsidR="00BF68FD" w:rsidRPr="0092047B">
        <w:rPr>
          <w:rFonts w:cstheme="minorHAnsi"/>
        </w:rPr>
        <w:t>Strategickou odpovědí na výzvy v sektoru energetiky je</w:t>
      </w:r>
      <w:r w:rsidR="00B11FD7" w:rsidRPr="0092047B">
        <w:rPr>
          <w:rFonts w:cstheme="minorHAnsi"/>
        </w:rPr>
        <w:t xml:space="preserve"> </w:t>
      </w:r>
      <w:r w:rsidR="008A6204" w:rsidRPr="0092047B">
        <w:rPr>
          <w:rFonts w:cstheme="minorHAnsi"/>
        </w:rPr>
        <w:t xml:space="preserve">efektivní využití domácích energetických zdrojů a surovin, nutnost komplexního pohledu na dodávky všech forem energie a celý řetězec od výroby/produkce až ke spotřebě a </w:t>
      </w:r>
      <w:r w:rsidR="00B11FD7" w:rsidRPr="0092047B">
        <w:rPr>
          <w:rFonts w:cstheme="minorHAnsi"/>
        </w:rPr>
        <w:t>zajištění dostatečné diverzifikace zdrojů, surovin</w:t>
      </w:r>
      <w:r w:rsidR="008A6204" w:rsidRPr="0092047B">
        <w:rPr>
          <w:rFonts w:cstheme="minorHAnsi"/>
        </w:rPr>
        <w:t xml:space="preserve"> a</w:t>
      </w:r>
      <w:r w:rsidR="00B11FD7" w:rsidRPr="0092047B">
        <w:rPr>
          <w:rFonts w:cstheme="minorHAnsi"/>
        </w:rPr>
        <w:t xml:space="preserve"> přepravních tras</w:t>
      </w:r>
      <w:r w:rsidR="008A6204" w:rsidRPr="0092047B">
        <w:rPr>
          <w:rFonts w:cstheme="minorHAnsi"/>
        </w:rPr>
        <w:t xml:space="preserve">. Neméně důležité je aktivní zapojení ČR do formulování zásadních rozvojových </w:t>
      </w:r>
      <w:r w:rsidR="003F2C86" w:rsidRPr="0092047B">
        <w:rPr>
          <w:rFonts w:cstheme="minorHAnsi"/>
        </w:rPr>
        <w:t xml:space="preserve">energetických </w:t>
      </w:r>
      <w:r w:rsidR="008A6204" w:rsidRPr="0092047B">
        <w:rPr>
          <w:rFonts w:cstheme="minorHAnsi"/>
        </w:rPr>
        <w:t>strategií</w:t>
      </w:r>
      <w:r w:rsidR="003F2C86" w:rsidRPr="0092047B">
        <w:rPr>
          <w:rFonts w:cstheme="minorHAnsi"/>
        </w:rPr>
        <w:t xml:space="preserve"> v mezinárodní</w:t>
      </w:r>
      <w:r w:rsidR="007F505D" w:rsidRPr="0092047B">
        <w:rPr>
          <w:rFonts w:cstheme="minorHAnsi"/>
        </w:rPr>
        <w:t>m</w:t>
      </w:r>
      <w:r w:rsidR="003F2C86" w:rsidRPr="0092047B">
        <w:rPr>
          <w:rFonts w:cstheme="minorHAnsi"/>
        </w:rPr>
        <w:t xml:space="preserve"> kontextu a využívání</w:t>
      </w:r>
      <w:r w:rsidR="00B11FD7" w:rsidRPr="0092047B">
        <w:rPr>
          <w:rFonts w:cstheme="minorHAnsi"/>
        </w:rPr>
        <w:t> nástrojů pro efektivní prosazování národní energetické politiky</w:t>
      </w:r>
      <w:r w:rsidR="00BF68FD" w:rsidRPr="0092047B">
        <w:rPr>
          <w:rFonts w:cstheme="minorHAnsi"/>
        </w:rPr>
        <w:t xml:space="preserve"> a</w:t>
      </w:r>
      <w:r w:rsidR="007F2F49" w:rsidRPr="0092047B">
        <w:rPr>
          <w:rFonts w:cstheme="minorHAnsi"/>
        </w:rPr>
        <w:t xml:space="preserve"> využití mez</w:t>
      </w:r>
      <w:r w:rsidR="00161E78" w:rsidRPr="0092047B">
        <w:rPr>
          <w:rFonts w:cstheme="minorHAnsi"/>
        </w:rPr>
        <w:t>inárodních poznatků vědeckého a </w:t>
      </w:r>
      <w:r w:rsidR="007F2F49" w:rsidRPr="0092047B">
        <w:rPr>
          <w:rFonts w:cstheme="minorHAnsi"/>
        </w:rPr>
        <w:t>technologického poznání.</w:t>
      </w:r>
    </w:p>
    <w:p w:rsidR="00E9311C" w:rsidRPr="0092047B" w:rsidRDefault="00E9311C" w:rsidP="00184DC1">
      <w:pPr>
        <w:rPr>
          <w:rFonts w:ascii="Calibri" w:hAnsi="Calibri" w:cs="Calibri"/>
        </w:rPr>
      </w:pPr>
      <w:r w:rsidRPr="0092047B">
        <w:rPr>
          <w:rFonts w:ascii="Calibri" w:hAnsi="Calibri" w:cs="Calibri"/>
        </w:rPr>
        <w:t xml:space="preserve">Státní energetickou </w:t>
      </w:r>
      <w:r w:rsidR="00BA55CA" w:rsidRPr="0092047B">
        <w:rPr>
          <w:rFonts w:ascii="Calibri" w:hAnsi="Calibri" w:cs="Calibri"/>
        </w:rPr>
        <w:t>koncepc</w:t>
      </w:r>
      <w:r w:rsidR="00BA55CA">
        <w:rPr>
          <w:rFonts w:ascii="Calibri" w:hAnsi="Calibri" w:cs="Calibri"/>
        </w:rPr>
        <w:t>í</w:t>
      </w:r>
      <w:r w:rsidR="00BA55CA" w:rsidRPr="0092047B">
        <w:rPr>
          <w:rFonts w:ascii="Calibri" w:hAnsi="Calibri" w:cs="Calibri"/>
        </w:rPr>
        <w:t xml:space="preserve"> </w:t>
      </w:r>
      <w:r w:rsidRPr="0092047B">
        <w:rPr>
          <w:rFonts w:ascii="Calibri" w:hAnsi="Calibri" w:cs="Calibri"/>
        </w:rPr>
        <w:t>formuluje vláda České republiky politický, legislativní a administrativní rámec ke spolehlivému, cenově dostupnému a  dlouhodobě udržitelnému zásobování energií. Státní energetická koncepce je ve smyslu zákona</w:t>
      </w:r>
      <w:r w:rsidRPr="0092047B">
        <w:rPr>
          <w:rStyle w:val="Znakapoznpodarou"/>
          <w:rFonts w:cs="Calibri"/>
        </w:rPr>
        <w:footnoteReference w:id="2"/>
      </w:r>
      <w:r w:rsidRPr="0092047B">
        <w:rPr>
          <w:rFonts w:ascii="Calibri" w:hAnsi="Calibri" w:cs="Calibri"/>
        </w:rPr>
        <w:t xml:space="preserve"> strategickým dokumentem vyjadřujícím cíle státu v energetickém hospodářství </w:t>
      </w:r>
      <w:r w:rsidR="00161E78" w:rsidRPr="0092047B">
        <w:rPr>
          <w:rFonts w:ascii="Calibri" w:hAnsi="Calibri" w:cs="Calibri"/>
        </w:rPr>
        <w:t>v souladu s </w:t>
      </w:r>
      <w:r w:rsidRPr="0092047B">
        <w:rPr>
          <w:rFonts w:ascii="Calibri" w:hAnsi="Calibri" w:cs="Calibri"/>
        </w:rPr>
        <w:t>potřebami hospodářského a společenského rozvoje, včetně ochrany ž</w:t>
      </w:r>
      <w:r w:rsidR="00161E78" w:rsidRPr="0092047B">
        <w:rPr>
          <w:rFonts w:ascii="Calibri" w:hAnsi="Calibri" w:cs="Calibri"/>
        </w:rPr>
        <w:t>ivotního prostředí, sloužícím i </w:t>
      </w:r>
      <w:r w:rsidRPr="0092047B">
        <w:rPr>
          <w:rFonts w:ascii="Calibri" w:hAnsi="Calibri" w:cs="Calibri"/>
        </w:rPr>
        <w:t>pro vypracování územních energetických koncepcí.</w:t>
      </w:r>
    </w:p>
    <w:p w:rsidR="007E7DB7" w:rsidRPr="0092047B" w:rsidRDefault="00E9311C" w:rsidP="00184DC1">
      <w:pPr>
        <w:rPr>
          <w:rFonts w:cstheme="minorHAnsi"/>
        </w:rPr>
      </w:pPr>
      <w:r w:rsidRPr="0092047B">
        <w:rPr>
          <w:rFonts w:ascii="Calibri" w:hAnsi="Calibri" w:cs="Calibri"/>
        </w:rPr>
        <w:t xml:space="preserve">Státní energetická koncepce k naplnění dlouhodobé vize stanovuje </w:t>
      </w:r>
      <w:r w:rsidRPr="0092047B">
        <w:rPr>
          <w:rFonts w:ascii="Calibri" w:hAnsi="Calibri" w:cs="Calibri"/>
          <w:b/>
        </w:rPr>
        <w:t>strategické cíle energetiky ČR</w:t>
      </w:r>
      <w:r w:rsidRPr="0092047B">
        <w:rPr>
          <w:rFonts w:ascii="Calibri" w:hAnsi="Calibri" w:cs="Calibri"/>
        </w:rPr>
        <w:t xml:space="preserve"> a </w:t>
      </w:r>
      <w:r w:rsidRPr="0092047B">
        <w:rPr>
          <w:rFonts w:cstheme="minorHAnsi"/>
        </w:rPr>
        <w:t xml:space="preserve"> d</w:t>
      </w:r>
      <w:r w:rsidR="006E3CE4" w:rsidRPr="0092047B">
        <w:rPr>
          <w:rFonts w:cstheme="minorHAnsi"/>
        </w:rPr>
        <w:t xml:space="preserve">efinuje </w:t>
      </w:r>
      <w:r w:rsidR="006E3CE4" w:rsidRPr="0092047B">
        <w:rPr>
          <w:rFonts w:cstheme="minorHAnsi"/>
          <w:b/>
        </w:rPr>
        <w:t xml:space="preserve">strategické priority </w:t>
      </w:r>
      <w:r w:rsidR="006E3CE4" w:rsidRPr="0092047B">
        <w:rPr>
          <w:rFonts w:cstheme="minorHAnsi"/>
        </w:rPr>
        <w:t>v</w:t>
      </w:r>
      <w:r w:rsidR="00491BAB" w:rsidRPr="0092047B">
        <w:rPr>
          <w:rFonts w:cstheme="minorHAnsi"/>
        </w:rPr>
        <w:t> </w:t>
      </w:r>
      <w:r w:rsidR="006E3CE4" w:rsidRPr="0092047B">
        <w:rPr>
          <w:rFonts w:cstheme="minorHAnsi"/>
        </w:rPr>
        <w:t>horizontu stanoveném zákonem a</w:t>
      </w:r>
      <w:r w:rsidR="00E37840">
        <w:rPr>
          <w:rFonts w:cstheme="minorHAnsi"/>
        </w:rPr>
        <w:t xml:space="preserve"> </w:t>
      </w:r>
      <w:r w:rsidR="006E3CE4" w:rsidRPr="0092047B">
        <w:rPr>
          <w:rFonts w:cstheme="minorHAnsi"/>
        </w:rPr>
        <w:t xml:space="preserve">současně na období, ve kterém je obvykle zajištěna ekonomická návratnost investic do </w:t>
      </w:r>
      <w:r w:rsidR="00BA323B" w:rsidRPr="0092047B">
        <w:rPr>
          <w:rFonts w:cstheme="minorHAnsi"/>
        </w:rPr>
        <w:t xml:space="preserve">všech </w:t>
      </w:r>
      <w:r w:rsidR="007E7DB7" w:rsidRPr="0092047B">
        <w:rPr>
          <w:rFonts w:cstheme="minorHAnsi"/>
        </w:rPr>
        <w:t xml:space="preserve">typů </w:t>
      </w:r>
      <w:r w:rsidR="006E3CE4" w:rsidRPr="0092047B">
        <w:rPr>
          <w:rFonts w:cstheme="minorHAnsi"/>
        </w:rPr>
        <w:t>zdrojů a</w:t>
      </w:r>
      <w:r w:rsidR="00491BAB" w:rsidRPr="0092047B">
        <w:rPr>
          <w:rFonts w:cstheme="minorHAnsi"/>
        </w:rPr>
        <w:t> </w:t>
      </w:r>
      <w:r w:rsidR="006E3CE4" w:rsidRPr="0092047B">
        <w:rPr>
          <w:rFonts w:cstheme="minorHAnsi"/>
        </w:rPr>
        <w:t>sítí a</w:t>
      </w:r>
      <w:r w:rsidR="00491BAB" w:rsidRPr="0092047B">
        <w:rPr>
          <w:rFonts w:cstheme="minorHAnsi"/>
        </w:rPr>
        <w:t> </w:t>
      </w:r>
      <w:r w:rsidR="006E3CE4" w:rsidRPr="0092047B">
        <w:rPr>
          <w:rFonts w:cstheme="minorHAnsi"/>
        </w:rPr>
        <w:t>ve kterém lze ještě rozumně předvídat základní charakteristiky budoucího vývoje. Investice do výstavby nových zdrojů zajišťují energetické společnosti a</w:t>
      </w:r>
      <w:r w:rsidR="00491BAB" w:rsidRPr="0092047B">
        <w:rPr>
          <w:rFonts w:cstheme="minorHAnsi"/>
        </w:rPr>
        <w:t> </w:t>
      </w:r>
      <w:r w:rsidR="006E3CE4" w:rsidRPr="0092047B">
        <w:rPr>
          <w:rFonts w:cstheme="minorHAnsi"/>
        </w:rPr>
        <w:t>rozhodování plně vychází z</w:t>
      </w:r>
      <w:r w:rsidR="00491BAB" w:rsidRPr="0092047B">
        <w:rPr>
          <w:rFonts w:cstheme="minorHAnsi"/>
        </w:rPr>
        <w:t> </w:t>
      </w:r>
      <w:r w:rsidR="006E3CE4" w:rsidRPr="0092047B">
        <w:rPr>
          <w:rFonts w:cstheme="minorHAnsi"/>
        </w:rPr>
        <w:t>očekávané n</w:t>
      </w:r>
      <w:r w:rsidR="002121E5" w:rsidRPr="0092047B">
        <w:rPr>
          <w:rFonts w:cstheme="minorHAnsi"/>
        </w:rPr>
        <w:t xml:space="preserve">ávratnosti investic. </w:t>
      </w:r>
      <w:r w:rsidR="006E3CE4" w:rsidRPr="0092047B">
        <w:rPr>
          <w:rFonts w:cstheme="minorHAnsi"/>
        </w:rPr>
        <w:t>Stát může prostřednictvím svých nástrojů ovlivnit chování investorů v</w:t>
      </w:r>
      <w:r w:rsidR="00491BAB" w:rsidRPr="0092047B">
        <w:rPr>
          <w:rFonts w:cstheme="minorHAnsi"/>
        </w:rPr>
        <w:t> </w:t>
      </w:r>
      <w:r w:rsidR="006E3CE4" w:rsidRPr="0092047B">
        <w:rPr>
          <w:rFonts w:cstheme="minorHAnsi"/>
        </w:rPr>
        <w:t>omezené míře a</w:t>
      </w:r>
      <w:r w:rsidR="00491BAB" w:rsidRPr="0092047B">
        <w:rPr>
          <w:rFonts w:cstheme="minorHAnsi"/>
        </w:rPr>
        <w:t> </w:t>
      </w:r>
      <w:r w:rsidR="006E3CE4" w:rsidRPr="0092047B">
        <w:rPr>
          <w:rFonts w:cstheme="minorHAnsi"/>
        </w:rPr>
        <w:t xml:space="preserve">způsobem slučitelným se soutěžním právem. </w:t>
      </w:r>
      <w:r w:rsidRPr="0092047B">
        <w:rPr>
          <w:rFonts w:cstheme="minorHAnsi"/>
        </w:rPr>
        <w:t>Státní energetická k</w:t>
      </w:r>
      <w:r w:rsidR="006E3CE4" w:rsidRPr="0092047B">
        <w:rPr>
          <w:rFonts w:cstheme="minorHAnsi"/>
        </w:rPr>
        <w:t>oncepce musí poskytnout nejen dlouhodobou orientaci, ale i</w:t>
      </w:r>
      <w:r w:rsidR="00491BAB" w:rsidRPr="0092047B">
        <w:rPr>
          <w:rFonts w:cstheme="minorHAnsi"/>
        </w:rPr>
        <w:t> </w:t>
      </w:r>
      <w:r w:rsidR="006E3CE4" w:rsidRPr="0092047B">
        <w:rPr>
          <w:rFonts w:cstheme="minorHAnsi"/>
        </w:rPr>
        <w:t>nezbytnou flexibilitu pro nový technický a</w:t>
      </w:r>
      <w:r w:rsidR="00491BAB" w:rsidRPr="0092047B">
        <w:rPr>
          <w:rFonts w:cstheme="minorHAnsi"/>
        </w:rPr>
        <w:t> </w:t>
      </w:r>
      <w:r w:rsidR="006E3CE4" w:rsidRPr="0092047B">
        <w:rPr>
          <w:rFonts w:cstheme="minorHAnsi"/>
        </w:rPr>
        <w:t>ekonomický vývoj.</w:t>
      </w:r>
    </w:p>
    <w:p w:rsidR="00D57749" w:rsidRPr="0092047B" w:rsidRDefault="004008E1" w:rsidP="00184DC1">
      <w:pPr>
        <w:rPr>
          <w:rFonts w:cstheme="minorHAnsi"/>
        </w:rPr>
      </w:pPr>
      <w:r w:rsidRPr="0092047B">
        <w:rPr>
          <w:rFonts w:cstheme="minorHAnsi"/>
        </w:rPr>
        <w:lastRenderedPageBreak/>
        <w:t>Zásobování energií je v</w:t>
      </w:r>
      <w:r w:rsidR="00491BAB" w:rsidRPr="0092047B">
        <w:rPr>
          <w:rFonts w:cstheme="minorHAnsi"/>
        </w:rPr>
        <w:t> </w:t>
      </w:r>
      <w:r w:rsidRPr="0092047B">
        <w:rPr>
          <w:rFonts w:cstheme="minorHAnsi"/>
        </w:rPr>
        <w:t xml:space="preserve">současné době založeno na tržních principech. </w:t>
      </w:r>
      <w:r w:rsidR="006E3CE4" w:rsidRPr="0092047B">
        <w:rPr>
          <w:rFonts w:cstheme="minorHAnsi"/>
        </w:rPr>
        <w:t>Zásadním problémem trhu s</w:t>
      </w:r>
      <w:r w:rsidR="00491BAB" w:rsidRPr="0092047B">
        <w:rPr>
          <w:rFonts w:cstheme="minorHAnsi"/>
        </w:rPr>
        <w:t> </w:t>
      </w:r>
      <w:r w:rsidR="006E3CE4" w:rsidRPr="0092047B">
        <w:rPr>
          <w:rFonts w:cstheme="minorHAnsi"/>
        </w:rPr>
        <w:t>energií jsou vysoká</w:t>
      </w:r>
      <w:r w:rsidR="00CE12AF">
        <w:rPr>
          <w:rFonts w:cstheme="minorHAnsi"/>
        </w:rPr>
        <w:t xml:space="preserve"> </w:t>
      </w:r>
      <w:r w:rsidR="006E3CE4" w:rsidRPr="0092047B">
        <w:rPr>
          <w:rFonts w:cstheme="minorHAnsi"/>
        </w:rPr>
        <w:t>rizika spojená s</w:t>
      </w:r>
      <w:r w:rsidR="00491BAB" w:rsidRPr="0092047B">
        <w:rPr>
          <w:rFonts w:cstheme="minorHAnsi"/>
        </w:rPr>
        <w:t> </w:t>
      </w:r>
      <w:r w:rsidR="006E3CE4" w:rsidRPr="0092047B">
        <w:rPr>
          <w:rFonts w:cstheme="minorHAnsi"/>
        </w:rPr>
        <w:t>rychlými změnami evropské legislativy a</w:t>
      </w:r>
      <w:r w:rsidR="00491BAB" w:rsidRPr="0092047B">
        <w:rPr>
          <w:rFonts w:cstheme="minorHAnsi"/>
        </w:rPr>
        <w:t> </w:t>
      </w:r>
      <w:r w:rsidR="006E3CE4" w:rsidRPr="0092047B">
        <w:rPr>
          <w:rFonts w:cstheme="minorHAnsi"/>
        </w:rPr>
        <w:t>nestabilní tržní signály vyvolané řadou tržních deformací a</w:t>
      </w:r>
      <w:r w:rsidR="00491BAB" w:rsidRPr="0092047B">
        <w:rPr>
          <w:rFonts w:cstheme="minorHAnsi"/>
        </w:rPr>
        <w:t> </w:t>
      </w:r>
      <w:r w:rsidR="006E3CE4" w:rsidRPr="0092047B">
        <w:rPr>
          <w:rFonts w:cstheme="minorHAnsi"/>
        </w:rPr>
        <w:t>prosazováním politických cílů. Dosavadní vývoj vede až k</w:t>
      </w:r>
      <w:r w:rsidR="00491BAB" w:rsidRPr="0092047B">
        <w:rPr>
          <w:rFonts w:cstheme="minorHAnsi"/>
        </w:rPr>
        <w:t> </w:t>
      </w:r>
      <w:r w:rsidR="006E3CE4" w:rsidRPr="0092047B">
        <w:rPr>
          <w:rFonts w:cstheme="minorHAnsi"/>
        </w:rPr>
        <w:t>situaci, kdy investoři vyhledávají pouze výstavbu zdrojů s</w:t>
      </w:r>
      <w:r w:rsidR="00491BAB" w:rsidRPr="0092047B">
        <w:rPr>
          <w:rFonts w:cstheme="minorHAnsi"/>
        </w:rPr>
        <w:t> </w:t>
      </w:r>
      <w:r w:rsidR="006E3CE4" w:rsidRPr="0092047B">
        <w:rPr>
          <w:rFonts w:cstheme="minorHAnsi"/>
        </w:rPr>
        <w:t>garantovanými (dotovanými) cenami. Investice do zdrojů i</w:t>
      </w:r>
      <w:r w:rsidR="00491BAB" w:rsidRPr="0092047B">
        <w:rPr>
          <w:rFonts w:cstheme="minorHAnsi"/>
        </w:rPr>
        <w:t> </w:t>
      </w:r>
      <w:r w:rsidR="006E3CE4" w:rsidRPr="0092047B">
        <w:rPr>
          <w:rFonts w:cstheme="minorHAnsi"/>
        </w:rPr>
        <w:t xml:space="preserve">sítí tak de facto řídí státní </w:t>
      </w:r>
      <w:r w:rsidR="00FF7AAE">
        <w:rPr>
          <w:rFonts w:cstheme="minorHAnsi"/>
        </w:rPr>
        <w:t>pobídky</w:t>
      </w:r>
      <w:r w:rsidR="00FF7AAE" w:rsidRPr="0092047B">
        <w:rPr>
          <w:rFonts w:cstheme="minorHAnsi"/>
        </w:rPr>
        <w:t xml:space="preserve"> </w:t>
      </w:r>
      <w:r w:rsidR="006E3CE4" w:rsidRPr="0092047B">
        <w:rPr>
          <w:rFonts w:cstheme="minorHAnsi"/>
        </w:rPr>
        <w:t>a</w:t>
      </w:r>
      <w:r w:rsidR="00491BAB" w:rsidRPr="0092047B">
        <w:rPr>
          <w:rFonts w:cstheme="minorHAnsi"/>
        </w:rPr>
        <w:t> </w:t>
      </w:r>
      <w:r w:rsidR="006E3CE4" w:rsidRPr="0092047B">
        <w:rPr>
          <w:rFonts w:cstheme="minorHAnsi"/>
        </w:rPr>
        <w:t xml:space="preserve">nikoliv trh. Tržní vývoj </w:t>
      </w:r>
      <w:r w:rsidRPr="0092047B">
        <w:rPr>
          <w:rFonts w:cstheme="minorHAnsi"/>
        </w:rPr>
        <w:t xml:space="preserve">bez </w:t>
      </w:r>
      <w:r w:rsidR="00350FBF" w:rsidRPr="0092047B">
        <w:rPr>
          <w:rFonts w:cstheme="minorHAnsi"/>
        </w:rPr>
        <w:t xml:space="preserve">korekcí </w:t>
      </w:r>
      <w:r w:rsidRPr="0092047B">
        <w:rPr>
          <w:rFonts w:cstheme="minorHAnsi"/>
        </w:rPr>
        <w:t xml:space="preserve">ze strany státu </w:t>
      </w:r>
      <w:r w:rsidR="006E3CE4" w:rsidRPr="0092047B">
        <w:rPr>
          <w:rFonts w:cstheme="minorHAnsi"/>
        </w:rPr>
        <w:t>za těchto podmínek směřuje k</w:t>
      </w:r>
      <w:r w:rsidR="00491BAB" w:rsidRPr="0092047B">
        <w:rPr>
          <w:rFonts w:cstheme="minorHAnsi"/>
        </w:rPr>
        <w:t> </w:t>
      </w:r>
      <w:r w:rsidR="006E3CE4" w:rsidRPr="0092047B">
        <w:rPr>
          <w:rFonts w:cstheme="minorHAnsi"/>
        </w:rPr>
        <w:t>nevyrovnanému zdrojovému mixu s</w:t>
      </w:r>
      <w:r w:rsidR="00491BAB" w:rsidRPr="0092047B">
        <w:rPr>
          <w:rFonts w:cstheme="minorHAnsi"/>
        </w:rPr>
        <w:t> </w:t>
      </w:r>
      <w:r w:rsidR="006E3CE4" w:rsidRPr="0092047B">
        <w:rPr>
          <w:rFonts w:cstheme="minorHAnsi"/>
        </w:rPr>
        <w:t>řadou strategick</w:t>
      </w:r>
      <w:r w:rsidR="00494E43" w:rsidRPr="0092047B">
        <w:rPr>
          <w:rFonts w:cstheme="minorHAnsi"/>
        </w:rPr>
        <w:t>ých a</w:t>
      </w:r>
      <w:r w:rsidR="00491BAB" w:rsidRPr="0092047B">
        <w:rPr>
          <w:rFonts w:cstheme="minorHAnsi"/>
        </w:rPr>
        <w:t> </w:t>
      </w:r>
      <w:r w:rsidR="00494E43" w:rsidRPr="0092047B">
        <w:rPr>
          <w:rFonts w:cstheme="minorHAnsi"/>
        </w:rPr>
        <w:t>systémových rizik pro budoucnost.</w:t>
      </w:r>
      <w:r w:rsidR="00C2458D">
        <w:rPr>
          <w:rFonts w:cstheme="minorHAnsi"/>
        </w:rPr>
        <w:t xml:space="preserve"> Z tohoto důvodu řada států v EU přistupuje k různým intervencionistickým opatřením zaměřeným na zajištění dostatečných regulačních výkonů nebo pro zajištění výstavby nových zdrojů pro pokrytí spotřeby. Tyto intervence, především ve formě kapacitních mechanismů vztažených na nabízenou kapacitu (MW)</w:t>
      </w:r>
      <w:r w:rsidR="00F90462">
        <w:rPr>
          <w:rFonts w:cstheme="minorHAnsi"/>
        </w:rPr>
        <w:t>, by doplňovaly velkoobchodní trh (MWh). V</w:t>
      </w:r>
      <w:r w:rsidR="00C2458D">
        <w:rPr>
          <w:rFonts w:cstheme="minorHAnsi"/>
        </w:rPr>
        <w:t> případě, že budou zaváděny jednostranně na národní úrovni bez regionální nebo celounijní koordinace, povedou k dalšímu naru</w:t>
      </w:r>
      <w:r w:rsidR="00F90462">
        <w:rPr>
          <w:rFonts w:cstheme="minorHAnsi"/>
        </w:rPr>
        <w:t>š</w:t>
      </w:r>
      <w:r w:rsidR="00C2458D">
        <w:rPr>
          <w:rFonts w:cstheme="minorHAnsi"/>
        </w:rPr>
        <w:t>ení fungování vnitřního trhu a mohou mít závažné důsledky pro propojené nár</w:t>
      </w:r>
      <w:r w:rsidR="00F90462">
        <w:rPr>
          <w:rFonts w:cstheme="minorHAnsi"/>
        </w:rPr>
        <w:t>odní trhy bez těchto podpor.</w:t>
      </w:r>
    </w:p>
    <w:p w:rsidR="00D57749" w:rsidRPr="0092047B" w:rsidRDefault="0088571E" w:rsidP="00184DC1">
      <w:pPr>
        <w:rPr>
          <w:rFonts w:cstheme="minorHAnsi"/>
        </w:rPr>
      </w:pPr>
      <w:r w:rsidRPr="0092047B">
        <w:rPr>
          <w:rFonts w:cstheme="minorHAnsi"/>
        </w:rPr>
        <w:t>Evropský trh s elektřinou je v současné době na rozcestí. Stávající model trhu „energy only market“ předpokládá, že trh zajistí jak krátkodobou optimalizaci (efektivní alokaci potřebné produkce mezi existující kapacity), tak i dlouhodobé investiční signály</w:t>
      </w:r>
      <w:r w:rsidR="007537AF" w:rsidRPr="0092047B">
        <w:rPr>
          <w:rFonts w:cstheme="minorHAnsi"/>
        </w:rPr>
        <w:t xml:space="preserve"> pro výstavbu nových kapacit</w:t>
      </w:r>
      <w:r w:rsidRPr="0092047B">
        <w:rPr>
          <w:rFonts w:cstheme="minorHAnsi"/>
        </w:rPr>
        <w:t xml:space="preserve">. </w:t>
      </w:r>
      <w:r w:rsidR="007537AF" w:rsidRPr="0092047B">
        <w:rPr>
          <w:rFonts w:cstheme="minorHAnsi"/>
        </w:rPr>
        <w:t xml:space="preserve">Tento model byl finálně nastaven před cca 10 lety v roce 2003, kdy došlo ke kodifikaci modelu založeného na přístupu třetích stran k sítím – TPA (předchozí rámec z roku 1996 umožňoval ještě model jediného kupujícího). </w:t>
      </w:r>
      <w:r w:rsidR="00CE12AF">
        <w:rPr>
          <w:rFonts w:cstheme="minorHAnsi"/>
        </w:rPr>
        <w:t>Výrazná míra tržních deformací</w:t>
      </w:r>
      <w:r w:rsidR="003E68BE">
        <w:rPr>
          <w:rFonts w:cstheme="minorHAnsi"/>
        </w:rPr>
        <w:t xml:space="preserve"> </w:t>
      </w:r>
      <w:r w:rsidRPr="0092047B">
        <w:rPr>
          <w:rFonts w:cstheme="minorHAnsi"/>
        </w:rPr>
        <w:t>v odvětví ale tuto druhou funkci tržního modelu prakticky paralyzovala. V rozporu se záměrem dokončení vnitřního trhu s elektřinou založeného na tomto modelu se prosazují r</w:t>
      </w:r>
      <w:r w:rsidR="007537AF" w:rsidRPr="0092047B">
        <w:rPr>
          <w:rFonts w:cstheme="minorHAnsi"/>
        </w:rPr>
        <w:t>ůzné podoby státních intervencí</w:t>
      </w:r>
      <w:r w:rsidRPr="0092047B">
        <w:rPr>
          <w:rFonts w:cstheme="minorHAnsi"/>
        </w:rPr>
        <w:t>,</w:t>
      </w:r>
      <w:r w:rsidR="007537AF" w:rsidRPr="0092047B">
        <w:rPr>
          <w:rFonts w:cstheme="minorHAnsi"/>
        </w:rPr>
        <w:t xml:space="preserve"> které mají na jedné</w:t>
      </w:r>
      <w:r w:rsidRPr="0092047B">
        <w:rPr>
          <w:rFonts w:cstheme="minorHAnsi"/>
        </w:rPr>
        <w:t xml:space="preserve"> straně prosadit politické a strategické záměry (podpora OZE</w:t>
      </w:r>
      <w:r w:rsidR="007537AF" w:rsidRPr="0092047B">
        <w:rPr>
          <w:rFonts w:cstheme="minorHAnsi"/>
        </w:rPr>
        <w:t>, regulace cen elek</w:t>
      </w:r>
      <w:r w:rsidR="00FF1B59" w:rsidRPr="0092047B">
        <w:rPr>
          <w:rFonts w:cstheme="minorHAnsi"/>
        </w:rPr>
        <w:t>třiny</w:t>
      </w:r>
      <w:r w:rsidR="007537AF" w:rsidRPr="0092047B">
        <w:rPr>
          <w:rFonts w:cstheme="minorHAnsi"/>
        </w:rPr>
        <w:t xml:space="preserve">, přednostní práva přístupu, zákazy některých typů zdrojů apod.), na straně druhé pak řešit důsledky těchto tržních deformací (kapacitní platby, </w:t>
      </w:r>
      <w:r w:rsidR="0092047B" w:rsidRPr="0092047B">
        <w:rPr>
          <w:rFonts w:cstheme="minorHAnsi"/>
        </w:rPr>
        <w:t>C</w:t>
      </w:r>
      <w:r w:rsidR="00BA55CA">
        <w:rPr>
          <w:rFonts w:cstheme="minorHAnsi"/>
        </w:rPr>
        <w:t xml:space="preserve">ontract for </w:t>
      </w:r>
      <w:r w:rsidR="0092047B" w:rsidRPr="0092047B">
        <w:rPr>
          <w:rFonts w:cstheme="minorHAnsi"/>
        </w:rPr>
        <w:t>D</w:t>
      </w:r>
      <w:r w:rsidR="00BA55CA">
        <w:rPr>
          <w:rFonts w:cstheme="minorHAnsi"/>
        </w:rPr>
        <w:t>ifference</w:t>
      </w:r>
      <w:r w:rsidR="0092047B" w:rsidRPr="0092047B">
        <w:rPr>
          <w:rFonts w:cstheme="minorHAnsi"/>
        </w:rPr>
        <w:t>, strategické</w:t>
      </w:r>
      <w:r w:rsidR="002918DA">
        <w:rPr>
          <w:rFonts w:cstheme="minorHAnsi"/>
        </w:rPr>
        <w:t xml:space="preserve"> rezervy apod</w:t>
      </w:r>
      <w:r w:rsidR="00BA55CA">
        <w:rPr>
          <w:rFonts w:cstheme="minorHAnsi"/>
        </w:rPr>
        <w:t>.).</w:t>
      </w:r>
    </w:p>
    <w:p w:rsidR="006E3CE4" w:rsidRPr="0092047B" w:rsidRDefault="007537AF" w:rsidP="00184DC1">
      <w:pPr>
        <w:rPr>
          <w:rFonts w:cstheme="minorHAnsi"/>
        </w:rPr>
      </w:pPr>
      <w:r w:rsidRPr="0092047B">
        <w:rPr>
          <w:rFonts w:cstheme="minorHAnsi"/>
        </w:rPr>
        <w:t>Evropská komise tedy prosazuje dokončení modelu, kterému kroky členských států brání.  Další vývoj bude směřovat buď k dokončení vnitřního trhu a návratu k „</w:t>
      </w:r>
      <w:r w:rsidR="00CE12AF">
        <w:rPr>
          <w:rFonts w:cstheme="minorHAnsi"/>
        </w:rPr>
        <w:t>E</w:t>
      </w:r>
      <w:r w:rsidRPr="0092047B">
        <w:rPr>
          <w:rFonts w:cstheme="minorHAnsi"/>
        </w:rPr>
        <w:t xml:space="preserve">nergy </w:t>
      </w:r>
      <w:r w:rsidR="00CE12AF">
        <w:rPr>
          <w:rFonts w:cstheme="minorHAnsi"/>
        </w:rPr>
        <w:t>O</w:t>
      </w:r>
      <w:r w:rsidRPr="0092047B">
        <w:rPr>
          <w:rFonts w:cstheme="minorHAnsi"/>
        </w:rPr>
        <w:t xml:space="preserve">nly </w:t>
      </w:r>
      <w:r w:rsidR="00CE12AF">
        <w:rPr>
          <w:rFonts w:cstheme="minorHAnsi"/>
        </w:rPr>
        <w:t>M</w:t>
      </w:r>
      <w:r w:rsidRPr="0092047B">
        <w:rPr>
          <w:rFonts w:cstheme="minorHAnsi"/>
        </w:rPr>
        <w:t xml:space="preserve">arket“ odstraněním tržních deformací, nebo k oddělení trhu s energií a kapacitami a vytvoření samostatného </w:t>
      </w:r>
      <w:r w:rsidR="00C423BE" w:rsidRPr="0092047B">
        <w:rPr>
          <w:rFonts w:cstheme="minorHAnsi"/>
        </w:rPr>
        <w:t xml:space="preserve">mechanismu </w:t>
      </w:r>
      <w:r w:rsidRPr="0092047B">
        <w:rPr>
          <w:rFonts w:cstheme="minorHAnsi"/>
        </w:rPr>
        <w:t xml:space="preserve">poskytujícího signály pro </w:t>
      </w:r>
      <w:r w:rsidR="00C423BE" w:rsidRPr="0092047B">
        <w:rPr>
          <w:rFonts w:cstheme="minorHAnsi"/>
        </w:rPr>
        <w:t xml:space="preserve">investice. V současné době není zřejmé, jak bude budoucí model vypadat. Pokud dojde ke změně, bude to již třetí tržní model, který byl v průběhu 20 let implementován a nemusí být pro následujících 20 let konečný. Energetická strategie státu tedy musí být formulována tak, aby věcně definovala strategické cíle, dílčí strategie a žádoucí cílový stav (spotřeba, distribuce, výroba, řízení, havarijní procedury) bez ohledu na převládající tržní model. Nástroje k dosažení cílového stavu budou pak upřesňovány ve vazbě na momentální organizaci sektoru. Strategie vychází </w:t>
      </w:r>
      <w:r w:rsidR="00C8417C">
        <w:rPr>
          <w:rFonts w:cstheme="minorHAnsi"/>
        </w:rPr>
        <w:t xml:space="preserve">z </w:t>
      </w:r>
      <w:r w:rsidR="00C423BE" w:rsidRPr="0092047B">
        <w:rPr>
          <w:rFonts w:cstheme="minorHAnsi"/>
        </w:rPr>
        <w:t>konkrétních přírodních, ekonomických a sociálních podmínek České republiky v kontextu vývoje v Evropě a formuluje základní strategické cíle v souladu s dlouhodobou energetickou strategií E</w:t>
      </w:r>
      <w:r w:rsidR="00694069">
        <w:rPr>
          <w:rFonts w:cstheme="minorHAnsi"/>
        </w:rPr>
        <w:t>vropské unie</w:t>
      </w:r>
      <w:r w:rsidR="00C423BE" w:rsidRPr="0092047B">
        <w:rPr>
          <w:rFonts w:cstheme="minorHAnsi"/>
        </w:rPr>
        <w:t xml:space="preserve"> zaměřenou na dekarbonizaci, vysokou bezpečnost dodávek a </w:t>
      </w:r>
      <w:r w:rsidR="00694069">
        <w:rPr>
          <w:rFonts w:cstheme="minorHAnsi"/>
        </w:rPr>
        <w:t>konkurenceschopné ceny energie.</w:t>
      </w:r>
    </w:p>
    <w:p w:rsidR="005904CC" w:rsidRPr="0092047B" w:rsidRDefault="006E3CE4" w:rsidP="00184DC1">
      <w:pPr>
        <w:rPr>
          <w:rFonts w:cstheme="minorHAnsi"/>
        </w:rPr>
      </w:pPr>
      <w:r w:rsidRPr="0092047B">
        <w:rPr>
          <w:rFonts w:cstheme="minorHAnsi"/>
        </w:rPr>
        <w:t>Permanentní změny legislativy na evropské i</w:t>
      </w:r>
      <w:r w:rsidR="00491BAB" w:rsidRPr="0092047B">
        <w:rPr>
          <w:rFonts w:cstheme="minorHAnsi"/>
        </w:rPr>
        <w:t> </w:t>
      </w:r>
      <w:r w:rsidRPr="0092047B">
        <w:rPr>
          <w:rFonts w:cstheme="minorHAnsi"/>
        </w:rPr>
        <w:t xml:space="preserve">národní úrovni znejišťují investory, jejichž ochota investovat do energetiky je nyní malá. Pro zlepšení situace je </w:t>
      </w:r>
      <w:r w:rsidR="00000C82" w:rsidRPr="0092047B">
        <w:rPr>
          <w:rFonts w:cstheme="minorHAnsi"/>
        </w:rPr>
        <w:t xml:space="preserve">nezbytné především vymezit a odsouhlasit </w:t>
      </w:r>
      <w:r w:rsidR="00C423BE" w:rsidRPr="0092047B">
        <w:rPr>
          <w:rFonts w:cstheme="minorHAnsi"/>
        </w:rPr>
        <w:t xml:space="preserve">věcné </w:t>
      </w:r>
      <w:r w:rsidR="00000C82" w:rsidRPr="0092047B">
        <w:rPr>
          <w:rFonts w:cstheme="minorHAnsi"/>
        </w:rPr>
        <w:t>směřování dalšího rozvoje ener</w:t>
      </w:r>
      <w:r w:rsidR="00161E78" w:rsidRPr="0092047B">
        <w:rPr>
          <w:rFonts w:cstheme="minorHAnsi"/>
        </w:rPr>
        <w:t>getiky</w:t>
      </w:r>
      <w:r w:rsidR="007763CD" w:rsidRPr="0092047B">
        <w:rPr>
          <w:rFonts w:cstheme="minorHAnsi"/>
        </w:rPr>
        <w:t>,</w:t>
      </w:r>
      <w:r w:rsidR="00161E78" w:rsidRPr="0092047B">
        <w:rPr>
          <w:rFonts w:cstheme="minorHAnsi"/>
        </w:rPr>
        <w:t xml:space="preserve"> schválit střednědobé </w:t>
      </w:r>
      <w:r w:rsidR="00161E78" w:rsidRPr="0092047B">
        <w:rPr>
          <w:rFonts w:cstheme="minorHAnsi"/>
        </w:rPr>
        <w:lastRenderedPageBreak/>
        <w:t>a </w:t>
      </w:r>
      <w:r w:rsidR="00000C82" w:rsidRPr="0092047B">
        <w:rPr>
          <w:rFonts w:cstheme="minorHAnsi"/>
        </w:rPr>
        <w:t>dlouhodobé cíle a priority a stabilizovat systém legislativy realizující tyto cíle. A to jak na národní, tak na evropské úrovni.</w:t>
      </w:r>
      <w:r w:rsidRPr="0092047B">
        <w:rPr>
          <w:rFonts w:cstheme="minorHAnsi"/>
        </w:rPr>
        <w:t xml:space="preserve"> Hlavním cílem je zajistit stabilní a</w:t>
      </w:r>
      <w:r w:rsidR="00491BAB" w:rsidRPr="0092047B">
        <w:rPr>
          <w:rFonts w:cstheme="minorHAnsi"/>
        </w:rPr>
        <w:t> </w:t>
      </w:r>
      <w:r w:rsidRPr="0092047B">
        <w:rPr>
          <w:rFonts w:cstheme="minorHAnsi"/>
        </w:rPr>
        <w:t>předvídatelné podnikatelské prostředí, efektivní státní správu a</w:t>
      </w:r>
      <w:r w:rsidR="00491BAB" w:rsidRPr="0092047B">
        <w:rPr>
          <w:rFonts w:cstheme="minorHAnsi"/>
        </w:rPr>
        <w:t> </w:t>
      </w:r>
      <w:r w:rsidRPr="0092047B">
        <w:rPr>
          <w:rFonts w:cstheme="minorHAnsi"/>
        </w:rPr>
        <w:t>dostatečnou a</w:t>
      </w:r>
      <w:r w:rsidR="00491BAB" w:rsidRPr="0092047B">
        <w:rPr>
          <w:rFonts w:cstheme="minorHAnsi"/>
        </w:rPr>
        <w:t> </w:t>
      </w:r>
      <w:r w:rsidRPr="0092047B">
        <w:rPr>
          <w:rFonts w:cstheme="minorHAnsi"/>
        </w:rPr>
        <w:t>bezpečnou infrastrukturu. Přímé finanční podpory či další fiskální stimuly jsou pouze doplňujícím a</w:t>
      </w:r>
      <w:r w:rsidR="00491BAB" w:rsidRPr="0092047B">
        <w:rPr>
          <w:rFonts w:cstheme="minorHAnsi"/>
        </w:rPr>
        <w:t> </w:t>
      </w:r>
      <w:r w:rsidR="00BA323B" w:rsidRPr="0092047B">
        <w:rPr>
          <w:rFonts w:cstheme="minorHAnsi"/>
        </w:rPr>
        <w:t>věcně i</w:t>
      </w:r>
      <w:r w:rsidR="00491BAB" w:rsidRPr="0092047B">
        <w:rPr>
          <w:rFonts w:cstheme="minorHAnsi"/>
        </w:rPr>
        <w:t> </w:t>
      </w:r>
      <w:r w:rsidRPr="0092047B">
        <w:rPr>
          <w:rFonts w:cstheme="minorHAnsi"/>
        </w:rPr>
        <w:t>časově omezeným nástrojem, který musí být vždy hodnocen z</w:t>
      </w:r>
      <w:r w:rsidR="00491BAB" w:rsidRPr="0092047B">
        <w:rPr>
          <w:rFonts w:cstheme="minorHAnsi"/>
        </w:rPr>
        <w:t> </w:t>
      </w:r>
      <w:r w:rsidRPr="0092047B">
        <w:rPr>
          <w:rFonts w:cstheme="minorHAnsi"/>
        </w:rPr>
        <w:t>hlediska všech dopadů na ceny energie, fungování trhu</w:t>
      </w:r>
      <w:r w:rsidR="00350FBF" w:rsidRPr="0092047B">
        <w:rPr>
          <w:rFonts w:cstheme="minorHAnsi"/>
        </w:rPr>
        <w:t>,</w:t>
      </w:r>
      <w:r w:rsidR="00161E78" w:rsidRPr="0092047B">
        <w:rPr>
          <w:rFonts w:cstheme="minorHAnsi"/>
        </w:rPr>
        <w:t xml:space="preserve"> na státní rozpočet i </w:t>
      </w:r>
      <w:r w:rsidR="00350FBF" w:rsidRPr="0092047B">
        <w:rPr>
          <w:rFonts w:cstheme="minorHAnsi"/>
        </w:rPr>
        <w:t>na stabilitu celého odvětví.</w:t>
      </w:r>
    </w:p>
    <w:p w:rsidR="005904CC" w:rsidRPr="0092047B" w:rsidRDefault="005904CC" w:rsidP="00184DC1">
      <w:pPr>
        <w:rPr>
          <w:rFonts w:cstheme="minorHAnsi"/>
        </w:rPr>
      </w:pPr>
      <w:r w:rsidRPr="0092047B">
        <w:rPr>
          <w:rFonts w:cstheme="minorHAnsi"/>
          <w:bCs/>
        </w:rPr>
        <w:t>V rámci přípravy dokumentu</w:t>
      </w:r>
      <w:r w:rsidR="004B792B" w:rsidRPr="0092047B">
        <w:rPr>
          <w:rFonts w:cstheme="minorHAnsi"/>
          <w:bCs/>
        </w:rPr>
        <w:t xml:space="preserve"> bylo</w:t>
      </w:r>
      <w:r w:rsidR="007A0386" w:rsidRPr="0092047B">
        <w:rPr>
          <w:rFonts w:cstheme="minorHAnsi"/>
          <w:bCs/>
        </w:rPr>
        <w:t xml:space="preserve"> </w:t>
      </w:r>
      <w:r w:rsidR="009A0B37" w:rsidRPr="0092047B">
        <w:rPr>
          <w:rFonts w:cstheme="minorHAnsi"/>
          <w:bCs/>
        </w:rPr>
        <w:t xml:space="preserve">za účelem </w:t>
      </w:r>
      <w:r w:rsidR="007A0386" w:rsidRPr="0092047B">
        <w:rPr>
          <w:rFonts w:cstheme="minorHAnsi"/>
          <w:bCs/>
        </w:rPr>
        <w:t>vyjádření budoucího vývoje energetického sektoru v</w:t>
      </w:r>
      <w:r w:rsidR="001E7B9D" w:rsidRPr="0092047B">
        <w:rPr>
          <w:rFonts w:cstheme="minorHAnsi"/>
          <w:bCs/>
        </w:rPr>
        <w:t> </w:t>
      </w:r>
      <w:r w:rsidR="007A0386" w:rsidRPr="0092047B">
        <w:rPr>
          <w:rFonts w:cstheme="minorHAnsi"/>
          <w:bCs/>
        </w:rPr>
        <w:t>ČR</w:t>
      </w:r>
      <w:r w:rsidR="001E7B9D" w:rsidRPr="0092047B">
        <w:rPr>
          <w:rFonts w:cstheme="minorHAnsi"/>
          <w:bCs/>
        </w:rPr>
        <w:t xml:space="preserve"> </w:t>
      </w:r>
      <w:r w:rsidR="004B792B" w:rsidRPr="0092047B">
        <w:rPr>
          <w:rFonts w:cstheme="minorHAnsi"/>
          <w:bCs/>
        </w:rPr>
        <w:t xml:space="preserve">zkoumáno </w:t>
      </w:r>
      <w:r w:rsidR="00CC2AB2" w:rsidRPr="0092047B">
        <w:rPr>
          <w:rFonts w:cstheme="minorHAnsi"/>
          <w:bCs/>
        </w:rPr>
        <w:t xml:space="preserve">na základě bilančního modelu </w:t>
      </w:r>
      <w:r w:rsidR="004B792B" w:rsidRPr="0092047B">
        <w:rPr>
          <w:rFonts w:cstheme="minorHAnsi"/>
          <w:bCs/>
        </w:rPr>
        <w:t>spektrum možných alternativních scénářů</w:t>
      </w:r>
      <w:r w:rsidR="007A0386" w:rsidRPr="0092047B">
        <w:rPr>
          <w:rFonts w:cstheme="minorHAnsi"/>
          <w:bCs/>
        </w:rPr>
        <w:t xml:space="preserve">. </w:t>
      </w:r>
      <w:r w:rsidR="00903149" w:rsidRPr="0092047B">
        <w:rPr>
          <w:rFonts w:cstheme="minorHAnsi"/>
          <w:bCs/>
        </w:rPr>
        <w:t>Ty</w:t>
      </w:r>
      <w:r w:rsidR="007A0386" w:rsidRPr="0092047B">
        <w:rPr>
          <w:rFonts w:cstheme="minorHAnsi"/>
          <w:bCs/>
        </w:rPr>
        <w:t xml:space="preserve"> vycházely z</w:t>
      </w:r>
      <w:r w:rsidR="001E7B9D" w:rsidRPr="0092047B">
        <w:rPr>
          <w:rFonts w:cstheme="minorHAnsi"/>
          <w:bCs/>
        </w:rPr>
        <w:t>e změny vstupních parametrů</w:t>
      </w:r>
      <w:r w:rsidR="009A0B37" w:rsidRPr="0092047B">
        <w:rPr>
          <w:rFonts w:cstheme="minorHAnsi"/>
          <w:bCs/>
        </w:rPr>
        <w:t xml:space="preserve"> (nikoli však axiomů)</w:t>
      </w:r>
      <w:r w:rsidR="00DF1AE3" w:rsidRPr="0092047B">
        <w:rPr>
          <w:rFonts w:cstheme="minorHAnsi"/>
          <w:bCs/>
        </w:rPr>
        <w:t xml:space="preserve"> bilančního modelu</w:t>
      </w:r>
      <w:r w:rsidR="001E7B9D" w:rsidRPr="0092047B">
        <w:rPr>
          <w:rFonts w:cstheme="minorHAnsi"/>
          <w:bCs/>
        </w:rPr>
        <w:t>, plynoucí</w:t>
      </w:r>
      <w:r w:rsidR="007763CD" w:rsidRPr="0092047B">
        <w:rPr>
          <w:rFonts w:cstheme="minorHAnsi"/>
          <w:bCs/>
        </w:rPr>
        <w:t>ch</w:t>
      </w:r>
      <w:r w:rsidR="001E7B9D" w:rsidRPr="0092047B">
        <w:rPr>
          <w:rFonts w:cstheme="minorHAnsi"/>
          <w:bCs/>
        </w:rPr>
        <w:t xml:space="preserve"> z</w:t>
      </w:r>
      <w:r w:rsidR="007A0386" w:rsidRPr="0092047B">
        <w:rPr>
          <w:rFonts w:cstheme="minorHAnsi"/>
          <w:bCs/>
        </w:rPr>
        <w:t> hierarchizace vrcholových strategických priorit: bezpečnost – udržitelnost – konkurenceschopnost</w:t>
      </w:r>
      <w:r w:rsidRPr="0092047B">
        <w:rPr>
          <w:rFonts w:cstheme="minorHAnsi"/>
          <w:bCs/>
        </w:rPr>
        <w:t xml:space="preserve">. Výsledkem je </w:t>
      </w:r>
      <w:r w:rsidRPr="0092047B">
        <w:rPr>
          <w:rFonts w:cstheme="minorHAnsi"/>
          <w:b/>
          <w:bCs/>
        </w:rPr>
        <w:t>stanovení koridorů</w:t>
      </w:r>
      <w:r w:rsidRPr="0092047B">
        <w:rPr>
          <w:rFonts w:cstheme="minorHAnsi"/>
          <w:bCs/>
        </w:rPr>
        <w:t xml:space="preserve">, které vymezují </w:t>
      </w:r>
      <w:r w:rsidR="00DF1AE3" w:rsidRPr="0092047B">
        <w:rPr>
          <w:rFonts w:cstheme="minorHAnsi"/>
          <w:bCs/>
        </w:rPr>
        <w:t xml:space="preserve">přijatelný </w:t>
      </w:r>
      <w:r w:rsidR="001E7B9D" w:rsidRPr="0092047B">
        <w:rPr>
          <w:rFonts w:cstheme="minorHAnsi"/>
          <w:bCs/>
        </w:rPr>
        <w:t xml:space="preserve">směr vývoje mixu primárních energetických zdrojů a </w:t>
      </w:r>
      <w:r w:rsidR="00491FC0" w:rsidRPr="0092047B">
        <w:rPr>
          <w:rFonts w:cstheme="minorHAnsi"/>
          <w:bCs/>
        </w:rPr>
        <w:t xml:space="preserve">hrubé </w:t>
      </w:r>
      <w:r w:rsidR="001E7B9D" w:rsidRPr="0092047B">
        <w:rPr>
          <w:rFonts w:cstheme="minorHAnsi"/>
          <w:bCs/>
        </w:rPr>
        <w:t>výroby elektřiny v ČR.</w:t>
      </w:r>
      <w:r w:rsidR="00896797" w:rsidRPr="0092047B">
        <w:rPr>
          <w:rFonts w:cstheme="minorHAnsi"/>
          <w:bCs/>
        </w:rPr>
        <w:t xml:space="preserve"> </w:t>
      </w:r>
      <w:r w:rsidR="001E7B9D" w:rsidRPr="0092047B">
        <w:rPr>
          <w:rFonts w:cstheme="minorHAnsi"/>
          <w:bCs/>
        </w:rPr>
        <w:t xml:space="preserve">Koridorové vymezení koncepce </w:t>
      </w:r>
      <w:r w:rsidR="00491FC0" w:rsidRPr="0092047B">
        <w:rPr>
          <w:rFonts w:cstheme="minorHAnsi"/>
          <w:bCs/>
        </w:rPr>
        <w:t xml:space="preserve">je tedy nástrojem pro kvantifikaci </w:t>
      </w:r>
      <w:r w:rsidR="00D124B0" w:rsidRPr="0092047B">
        <w:rPr>
          <w:rFonts w:cstheme="minorHAnsi"/>
          <w:bCs/>
        </w:rPr>
        <w:t xml:space="preserve">možné </w:t>
      </w:r>
      <w:r w:rsidR="00491FC0" w:rsidRPr="0092047B">
        <w:rPr>
          <w:rFonts w:cstheme="minorHAnsi"/>
          <w:bCs/>
        </w:rPr>
        <w:t>variability výsledků modelu (tedy především struktury a výše</w:t>
      </w:r>
      <w:r w:rsidR="004A1F7A">
        <w:rPr>
          <w:rFonts w:cstheme="minorHAnsi"/>
          <w:bCs/>
        </w:rPr>
        <w:t xml:space="preserve"> primárních energetických zdrojů</w:t>
      </w:r>
      <w:r w:rsidR="00491FC0" w:rsidRPr="0092047B">
        <w:rPr>
          <w:rFonts w:cstheme="minorHAnsi"/>
          <w:bCs/>
        </w:rPr>
        <w:t xml:space="preserve"> </w:t>
      </w:r>
      <w:r w:rsidR="004A1F7A">
        <w:rPr>
          <w:rFonts w:cstheme="minorHAnsi"/>
          <w:bCs/>
        </w:rPr>
        <w:t>(</w:t>
      </w:r>
      <w:r w:rsidR="00491FC0" w:rsidRPr="0092047B">
        <w:rPr>
          <w:rFonts w:cstheme="minorHAnsi"/>
          <w:bCs/>
        </w:rPr>
        <w:t>PEZ</w:t>
      </w:r>
      <w:r w:rsidR="004A1F7A">
        <w:rPr>
          <w:rFonts w:cstheme="minorHAnsi"/>
          <w:bCs/>
        </w:rPr>
        <w:t>)</w:t>
      </w:r>
      <w:r w:rsidR="00491FC0" w:rsidRPr="0092047B">
        <w:rPr>
          <w:rFonts w:cstheme="minorHAnsi"/>
          <w:bCs/>
        </w:rPr>
        <w:t xml:space="preserve"> a hrubé výroby elektřiny), </w:t>
      </w:r>
      <w:r w:rsidR="00765771" w:rsidRPr="0092047B">
        <w:rPr>
          <w:rFonts w:cstheme="minorHAnsi"/>
          <w:bCs/>
        </w:rPr>
        <w:t xml:space="preserve">v závislosti na předem stanované </w:t>
      </w:r>
      <w:r w:rsidR="00905737" w:rsidRPr="0092047B">
        <w:rPr>
          <w:rFonts w:cstheme="minorHAnsi"/>
          <w:bCs/>
        </w:rPr>
        <w:t>hodnotě</w:t>
      </w:r>
      <w:r w:rsidR="00765771" w:rsidRPr="0092047B">
        <w:rPr>
          <w:rFonts w:cstheme="minorHAnsi"/>
          <w:bCs/>
        </w:rPr>
        <w:t xml:space="preserve"> vstupních parametrů ve variantním vyjádření.</w:t>
      </w:r>
    </w:p>
    <w:p w:rsidR="00FE1E3B" w:rsidRPr="0092047B" w:rsidRDefault="00FE1E3B" w:rsidP="00184DC1">
      <w:pPr>
        <w:rPr>
          <w:rFonts w:cstheme="minorHAnsi"/>
          <w:bCs/>
        </w:rPr>
      </w:pPr>
      <w:r w:rsidRPr="0092047B">
        <w:rPr>
          <w:rFonts w:cstheme="minorHAnsi"/>
          <w:bCs/>
        </w:rPr>
        <w:br w:type="page"/>
      </w:r>
    </w:p>
    <w:p w:rsidR="00C17BFE" w:rsidRPr="0092047B" w:rsidRDefault="0094019D" w:rsidP="00184DC1">
      <w:pPr>
        <w:pStyle w:val="Nadpis1"/>
      </w:pPr>
      <w:bookmarkStart w:id="7" w:name="_Toc362276633"/>
      <w:bookmarkStart w:id="8" w:name="_Toc362281674"/>
      <w:bookmarkStart w:id="9" w:name="_Toc362775779"/>
      <w:bookmarkStart w:id="10" w:name="_Toc362775863"/>
      <w:bookmarkStart w:id="11" w:name="_Toc366046015"/>
      <w:bookmarkStart w:id="12" w:name="_Toc362276634"/>
      <w:bookmarkStart w:id="13" w:name="_Toc362281675"/>
      <w:bookmarkStart w:id="14" w:name="_Toc362775780"/>
      <w:bookmarkStart w:id="15" w:name="_Toc362775864"/>
      <w:bookmarkStart w:id="16" w:name="_Toc366046016"/>
      <w:bookmarkStart w:id="17" w:name="_Toc362276635"/>
      <w:bookmarkStart w:id="18" w:name="_Toc362281676"/>
      <w:bookmarkStart w:id="19" w:name="_Toc362775781"/>
      <w:bookmarkStart w:id="20" w:name="_Toc362775865"/>
      <w:bookmarkStart w:id="21" w:name="_Toc366046017"/>
      <w:bookmarkStart w:id="22" w:name="_Toc361039047"/>
      <w:bookmarkStart w:id="23" w:name="_Toc39692337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2047B">
        <w:lastRenderedPageBreak/>
        <w:t>M</w:t>
      </w:r>
      <w:r w:rsidR="00C17BFE" w:rsidRPr="0092047B">
        <w:t>etodi</w:t>
      </w:r>
      <w:r w:rsidRPr="0092047B">
        <w:t>ka</w:t>
      </w:r>
      <w:r w:rsidR="00C17BFE" w:rsidRPr="0092047B">
        <w:t xml:space="preserve"> tvorby </w:t>
      </w:r>
      <w:r w:rsidR="004A6A4B" w:rsidRPr="0092047B">
        <w:t xml:space="preserve">a realizace </w:t>
      </w:r>
      <w:r w:rsidR="00C17BFE" w:rsidRPr="0092047B">
        <w:t>SEK</w:t>
      </w:r>
      <w:bookmarkEnd w:id="22"/>
      <w:bookmarkEnd w:id="23"/>
    </w:p>
    <w:p w:rsidR="00C02952" w:rsidRPr="0092047B" w:rsidRDefault="00C02952" w:rsidP="00184DC1">
      <w:pPr>
        <w:rPr>
          <w:rFonts w:cstheme="minorHAnsi"/>
          <w:bCs/>
        </w:rPr>
      </w:pPr>
      <w:r w:rsidRPr="0092047B">
        <w:rPr>
          <w:rFonts w:cstheme="minorHAnsi"/>
          <w:bCs/>
          <w:u w:val="single"/>
        </w:rPr>
        <w:t>V první fázi</w:t>
      </w:r>
      <w:r w:rsidRPr="0092047B">
        <w:rPr>
          <w:rFonts w:cstheme="minorHAnsi"/>
          <w:bCs/>
        </w:rPr>
        <w:t xml:space="preserve"> </w:t>
      </w:r>
      <w:r w:rsidR="004A6A4B" w:rsidRPr="0092047B">
        <w:rPr>
          <w:rFonts w:cstheme="minorHAnsi"/>
          <w:bCs/>
        </w:rPr>
        <w:t xml:space="preserve">tvorby SEK </w:t>
      </w:r>
      <w:r w:rsidRPr="0092047B">
        <w:rPr>
          <w:rFonts w:cstheme="minorHAnsi"/>
          <w:bCs/>
        </w:rPr>
        <w:t xml:space="preserve">byla provedena </w:t>
      </w:r>
      <w:r w:rsidRPr="0092047B">
        <w:rPr>
          <w:rFonts w:cstheme="minorHAnsi"/>
          <w:b/>
          <w:bCs/>
        </w:rPr>
        <w:t>analýza stávajícího energetického systému</w:t>
      </w:r>
      <w:r w:rsidR="00E64D09" w:rsidRPr="0092047B">
        <w:rPr>
          <w:rFonts w:cstheme="minorHAnsi"/>
          <w:bCs/>
        </w:rPr>
        <w:t xml:space="preserve"> a</w:t>
      </w:r>
      <w:r w:rsidR="00161E78" w:rsidRPr="0092047B">
        <w:rPr>
          <w:rFonts w:cstheme="minorHAnsi"/>
          <w:bCs/>
        </w:rPr>
        <w:t> </w:t>
      </w:r>
      <w:r w:rsidR="002918DA">
        <w:rPr>
          <w:rFonts w:cstheme="minorHAnsi"/>
          <w:bCs/>
        </w:rPr>
        <w:t xml:space="preserve">byly </w:t>
      </w:r>
      <w:r w:rsidR="00593FE6" w:rsidRPr="0092047B">
        <w:rPr>
          <w:rFonts w:cstheme="minorHAnsi"/>
          <w:bCs/>
        </w:rPr>
        <w:t>stanoven</w:t>
      </w:r>
      <w:r w:rsidR="00E64D09" w:rsidRPr="0092047B">
        <w:rPr>
          <w:rFonts w:cstheme="minorHAnsi"/>
          <w:bCs/>
        </w:rPr>
        <w:t>y</w:t>
      </w:r>
      <w:r w:rsidR="00593FE6" w:rsidRPr="0092047B">
        <w:rPr>
          <w:rFonts w:cstheme="minorHAnsi"/>
          <w:bCs/>
        </w:rPr>
        <w:t xml:space="preserve"> hlavní trend</w:t>
      </w:r>
      <w:r w:rsidR="00E64D09" w:rsidRPr="0092047B">
        <w:rPr>
          <w:rFonts w:cstheme="minorHAnsi"/>
          <w:bCs/>
        </w:rPr>
        <w:t>y</w:t>
      </w:r>
      <w:r w:rsidR="00593FE6" w:rsidRPr="0092047B">
        <w:rPr>
          <w:rFonts w:cstheme="minorHAnsi"/>
          <w:bCs/>
        </w:rPr>
        <w:t xml:space="preserve"> vývoje energetiky</w:t>
      </w:r>
      <w:r w:rsidR="007F505D" w:rsidRPr="0092047B">
        <w:rPr>
          <w:rFonts w:cstheme="minorHAnsi"/>
          <w:bCs/>
        </w:rPr>
        <w:t>,</w:t>
      </w:r>
      <w:r w:rsidR="00824F1D" w:rsidRPr="0092047B">
        <w:rPr>
          <w:rFonts w:cstheme="minorHAnsi"/>
          <w:bCs/>
        </w:rPr>
        <w:t xml:space="preserve"> </w:t>
      </w:r>
      <w:r w:rsidR="00593FE6" w:rsidRPr="0092047B">
        <w:rPr>
          <w:rFonts w:cstheme="minorHAnsi"/>
          <w:bCs/>
        </w:rPr>
        <w:t>poptávky</w:t>
      </w:r>
      <w:r w:rsidR="00E74A43" w:rsidRPr="0092047B">
        <w:rPr>
          <w:rFonts w:cstheme="minorHAnsi"/>
          <w:bCs/>
        </w:rPr>
        <w:t xml:space="preserve"> po energii</w:t>
      </w:r>
      <w:r w:rsidR="00593FE6" w:rsidRPr="0092047B">
        <w:rPr>
          <w:rFonts w:cstheme="minorHAnsi"/>
          <w:bCs/>
        </w:rPr>
        <w:t>,</w:t>
      </w:r>
      <w:r w:rsidR="00905737" w:rsidRPr="0092047B">
        <w:rPr>
          <w:rFonts w:cstheme="minorHAnsi"/>
          <w:bCs/>
        </w:rPr>
        <w:t xml:space="preserve"> </w:t>
      </w:r>
      <w:r w:rsidR="00593FE6" w:rsidRPr="0092047B">
        <w:rPr>
          <w:rFonts w:cstheme="minorHAnsi"/>
          <w:bCs/>
        </w:rPr>
        <w:t>disponibility</w:t>
      </w:r>
      <w:r w:rsidR="00824F1D" w:rsidRPr="0092047B">
        <w:rPr>
          <w:rFonts w:cstheme="minorHAnsi"/>
          <w:bCs/>
        </w:rPr>
        <w:t xml:space="preserve"> jednotlivých</w:t>
      </w:r>
      <w:r w:rsidR="00593FE6" w:rsidRPr="0092047B">
        <w:rPr>
          <w:rFonts w:cstheme="minorHAnsi"/>
          <w:bCs/>
        </w:rPr>
        <w:t xml:space="preserve"> </w:t>
      </w:r>
      <w:r w:rsidR="00611FD7" w:rsidRPr="0092047B">
        <w:rPr>
          <w:rFonts w:cstheme="minorHAnsi"/>
          <w:bCs/>
        </w:rPr>
        <w:t>PEZ</w:t>
      </w:r>
      <w:r w:rsidR="00824F1D" w:rsidRPr="0092047B">
        <w:rPr>
          <w:rFonts w:cstheme="minorHAnsi"/>
          <w:bCs/>
        </w:rPr>
        <w:t>,</w:t>
      </w:r>
      <w:r w:rsidR="0092047B">
        <w:rPr>
          <w:rFonts w:cstheme="minorHAnsi"/>
          <w:bCs/>
        </w:rPr>
        <w:t xml:space="preserve"> </w:t>
      </w:r>
      <w:r w:rsidR="00824F1D" w:rsidRPr="0092047B">
        <w:rPr>
          <w:rFonts w:cstheme="minorHAnsi"/>
          <w:bCs/>
        </w:rPr>
        <w:t>ener</w:t>
      </w:r>
      <w:r w:rsidR="00611FD7" w:rsidRPr="0092047B">
        <w:rPr>
          <w:rFonts w:cstheme="minorHAnsi"/>
          <w:bCs/>
        </w:rPr>
        <w:t>g</w:t>
      </w:r>
      <w:r w:rsidR="00824F1D" w:rsidRPr="0092047B">
        <w:rPr>
          <w:rFonts w:cstheme="minorHAnsi"/>
          <w:bCs/>
        </w:rPr>
        <w:t>etického mixu</w:t>
      </w:r>
      <w:r w:rsidR="00593FE6" w:rsidRPr="0092047B">
        <w:rPr>
          <w:rFonts w:cstheme="minorHAnsi"/>
          <w:bCs/>
        </w:rPr>
        <w:t xml:space="preserve"> a </w:t>
      </w:r>
      <w:r w:rsidR="00824F1D" w:rsidRPr="0092047B">
        <w:rPr>
          <w:rFonts w:cstheme="minorHAnsi"/>
          <w:bCs/>
        </w:rPr>
        <w:t>potenciálu jeho vývoje do budoucnosti</w:t>
      </w:r>
      <w:r w:rsidR="00E64D09" w:rsidRPr="0092047B">
        <w:rPr>
          <w:rFonts w:cstheme="minorHAnsi"/>
          <w:bCs/>
        </w:rPr>
        <w:t xml:space="preserve"> a problematika</w:t>
      </w:r>
      <w:r w:rsidR="0092047B">
        <w:rPr>
          <w:rFonts w:cstheme="minorHAnsi"/>
          <w:bCs/>
        </w:rPr>
        <w:t xml:space="preserve"> </w:t>
      </w:r>
      <w:r w:rsidR="00E64D09" w:rsidRPr="0092047B">
        <w:rPr>
          <w:rFonts w:cstheme="minorHAnsi"/>
          <w:bCs/>
        </w:rPr>
        <w:t>energetické infrastruktury</w:t>
      </w:r>
      <w:r w:rsidR="004A6A4B" w:rsidRPr="0092047B">
        <w:rPr>
          <w:rFonts w:cstheme="minorHAnsi"/>
          <w:bCs/>
        </w:rPr>
        <w:t>.</w:t>
      </w:r>
      <w:r w:rsidR="00593FE6" w:rsidRPr="0092047B">
        <w:rPr>
          <w:rFonts w:cstheme="minorHAnsi"/>
          <w:bCs/>
        </w:rPr>
        <w:t xml:space="preserve"> </w:t>
      </w:r>
      <w:r w:rsidR="00C44BB4" w:rsidRPr="0092047B">
        <w:rPr>
          <w:rFonts w:cstheme="minorHAnsi"/>
          <w:bCs/>
        </w:rPr>
        <w:t xml:space="preserve">Metodologicky </w:t>
      </w:r>
      <w:r w:rsidR="00075A49" w:rsidRPr="0092047B">
        <w:rPr>
          <w:rFonts w:cstheme="minorHAnsi"/>
          <w:bCs/>
        </w:rPr>
        <w:t>s</w:t>
      </w:r>
      <w:r w:rsidR="00C44BB4" w:rsidRPr="0092047B">
        <w:rPr>
          <w:rFonts w:cstheme="minorHAnsi"/>
          <w:bCs/>
        </w:rPr>
        <w:t xml:space="preserve">e jedná o klasickou </w:t>
      </w:r>
      <w:r w:rsidR="00C44BB4" w:rsidRPr="0092047B">
        <w:rPr>
          <w:rFonts w:cstheme="minorHAnsi"/>
          <w:b/>
          <w:bCs/>
        </w:rPr>
        <w:t>SWOT analýzu</w:t>
      </w:r>
      <w:r w:rsidR="00161E78" w:rsidRPr="0092047B">
        <w:rPr>
          <w:rFonts w:cstheme="minorHAnsi"/>
          <w:bCs/>
        </w:rPr>
        <w:t xml:space="preserve"> silných a </w:t>
      </w:r>
      <w:r w:rsidR="00C44BB4" w:rsidRPr="0092047B">
        <w:rPr>
          <w:rFonts w:cstheme="minorHAnsi"/>
          <w:bCs/>
        </w:rPr>
        <w:t>slabých stránek české energetiky</w:t>
      </w:r>
      <w:r w:rsidR="002918DA">
        <w:rPr>
          <w:rFonts w:cstheme="minorHAnsi"/>
          <w:bCs/>
        </w:rPr>
        <w:t>,</w:t>
      </w:r>
      <w:r w:rsidR="00C44BB4" w:rsidRPr="0092047B">
        <w:rPr>
          <w:rFonts w:cstheme="minorHAnsi"/>
          <w:bCs/>
        </w:rPr>
        <w:t xml:space="preserve"> včetně důsledků historických rozhodnutí v rámci energetické politiky (kapitola </w:t>
      </w:r>
      <w:r w:rsidR="00BE7FA1" w:rsidRPr="0092047B">
        <w:rPr>
          <w:rFonts w:cstheme="minorHAnsi"/>
          <w:bCs/>
        </w:rPr>
        <w:t>3.1</w:t>
      </w:r>
      <w:r w:rsidR="00D54B72" w:rsidRPr="0092047B">
        <w:rPr>
          <w:rFonts w:cstheme="minorHAnsi"/>
          <w:bCs/>
        </w:rPr>
        <w:t>),</w:t>
      </w:r>
      <w:r w:rsidR="00C44BB4" w:rsidRPr="0092047B">
        <w:rPr>
          <w:rFonts w:cstheme="minorHAnsi"/>
          <w:bCs/>
        </w:rPr>
        <w:t xml:space="preserve"> i o identifikaci potenciálních příležitostí a hrozeb plynoucích </w:t>
      </w:r>
      <w:r w:rsidR="001014E4" w:rsidRPr="0092047B">
        <w:rPr>
          <w:rFonts w:cstheme="minorHAnsi"/>
          <w:bCs/>
        </w:rPr>
        <w:t xml:space="preserve">z </w:t>
      </w:r>
      <w:r w:rsidR="00C44BB4" w:rsidRPr="0092047B">
        <w:rPr>
          <w:rFonts w:cstheme="minorHAnsi"/>
          <w:bCs/>
        </w:rPr>
        <w:t>predikce vývoje vnitřních a vnějších podmínek ovlivňuj</w:t>
      </w:r>
      <w:r w:rsidR="0053212D">
        <w:rPr>
          <w:rFonts w:cstheme="minorHAnsi"/>
          <w:bCs/>
        </w:rPr>
        <w:t>ících energetický sektor v České republice</w:t>
      </w:r>
      <w:r w:rsidR="00161E78" w:rsidRPr="0092047B">
        <w:rPr>
          <w:rFonts w:cstheme="minorHAnsi"/>
          <w:bCs/>
        </w:rPr>
        <w:t>.</w:t>
      </w:r>
    </w:p>
    <w:p w:rsidR="00C44BB4" w:rsidRPr="0092047B" w:rsidRDefault="00C44BB4" w:rsidP="00184DC1">
      <w:pPr>
        <w:rPr>
          <w:rFonts w:cstheme="minorHAnsi"/>
          <w:bCs/>
        </w:rPr>
      </w:pPr>
      <w:r w:rsidRPr="0092047B">
        <w:rPr>
          <w:rFonts w:cstheme="minorHAnsi"/>
          <w:bCs/>
        </w:rPr>
        <w:t>K</w:t>
      </w:r>
      <w:r w:rsidR="000B41EA" w:rsidRPr="0092047B">
        <w:rPr>
          <w:rFonts w:cstheme="minorHAnsi"/>
          <w:bCs/>
        </w:rPr>
        <w:t>omplexn</w:t>
      </w:r>
      <w:r w:rsidRPr="0092047B">
        <w:rPr>
          <w:rFonts w:cstheme="minorHAnsi"/>
          <w:bCs/>
        </w:rPr>
        <w:t>í</w:t>
      </w:r>
      <w:r w:rsidR="000B41EA" w:rsidRPr="0092047B">
        <w:rPr>
          <w:rFonts w:cstheme="minorHAnsi"/>
          <w:bCs/>
        </w:rPr>
        <w:t xml:space="preserve"> </w:t>
      </w:r>
      <w:r w:rsidRPr="0092047B">
        <w:rPr>
          <w:rFonts w:cstheme="minorHAnsi"/>
          <w:bCs/>
        </w:rPr>
        <w:t>rozbor</w:t>
      </w:r>
      <w:r w:rsidR="00231594" w:rsidRPr="0092047B">
        <w:rPr>
          <w:rFonts w:cstheme="minorHAnsi"/>
          <w:bCs/>
        </w:rPr>
        <w:t xml:space="preserve"> </w:t>
      </w:r>
      <w:r w:rsidR="00804310" w:rsidRPr="0092047B">
        <w:rPr>
          <w:rFonts w:cstheme="minorHAnsi"/>
          <w:b/>
          <w:bCs/>
        </w:rPr>
        <w:t>vnější</w:t>
      </w:r>
      <w:r w:rsidRPr="0092047B">
        <w:rPr>
          <w:rFonts w:cstheme="minorHAnsi"/>
          <w:b/>
          <w:bCs/>
        </w:rPr>
        <w:t>ch</w:t>
      </w:r>
      <w:r w:rsidR="00804310" w:rsidRPr="0092047B">
        <w:rPr>
          <w:rFonts w:cstheme="minorHAnsi"/>
          <w:b/>
          <w:bCs/>
        </w:rPr>
        <w:t xml:space="preserve"> a vnitřní</w:t>
      </w:r>
      <w:r w:rsidRPr="0092047B">
        <w:rPr>
          <w:rFonts w:cstheme="minorHAnsi"/>
          <w:b/>
          <w:bCs/>
        </w:rPr>
        <w:t>ch</w:t>
      </w:r>
      <w:r w:rsidR="00804310" w:rsidRPr="0092047B">
        <w:rPr>
          <w:rFonts w:cstheme="minorHAnsi"/>
          <w:b/>
          <w:bCs/>
        </w:rPr>
        <w:t xml:space="preserve"> podmín</w:t>
      </w:r>
      <w:r w:rsidRPr="0092047B">
        <w:rPr>
          <w:rFonts w:cstheme="minorHAnsi"/>
          <w:b/>
          <w:bCs/>
        </w:rPr>
        <w:t>ek</w:t>
      </w:r>
      <w:r w:rsidR="00804310" w:rsidRPr="0092047B">
        <w:rPr>
          <w:rFonts w:cstheme="minorHAnsi"/>
          <w:b/>
          <w:bCs/>
        </w:rPr>
        <w:t xml:space="preserve"> ovlivňující</w:t>
      </w:r>
      <w:r w:rsidR="00EA49C7" w:rsidRPr="0092047B">
        <w:rPr>
          <w:rFonts w:cstheme="minorHAnsi"/>
          <w:b/>
          <w:bCs/>
        </w:rPr>
        <w:t>ch</w:t>
      </w:r>
      <w:r w:rsidR="00804310" w:rsidRPr="0092047B">
        <w:rPr>
          <w:rFonts w:cstheme="minorHAnsi"/>
          <w:b/>
          <w:bCs/>
        </w:rPr>
        <w:t xml:space="preserve"> českou energetiku </w:t>
      </w:r>
      <w:r w:rsidR="000B41EA" w:rsidRPr="0092047B">
        <w:rPr>
          <w:rFonts w:cstheme="minorHAnsi"/>
          <w:bCs/>
        </w:rPr>
        <w:t>v dlouhodobém časovém horizontu</w:t>
      </w:r>
      <w:r w:rsidR="00E64D09" w:rsidRPr="0092047B">
        <w:rPr>
          <w:rFonts w:cstheme="minorHAnsi"/>
          <w:bCs/>
        </w:rPr>
        <w:t>, které bylo možné v současnosti identifikovat</w:t>
      </w:r>
      <w:r w:rsidR="00231594" w:rsidRPr="0092047B">
        <w:rPr>
          <w:rFonts w:cstheme="minorHAnsi"/>
          <w:bCs/>
        </w:rPr>
        <w:t>,</w:t>
      </w:r>
      <w:r w:rsidR="000B41EA" w:rsidRPr="0092047B">
        <w:rPr>
          <w:rFonts w:cstheme="minorHAnsi"/>
          <w:bCs/>
        </w:rPr>
        <w:t xml:space="preserve"> </w:t>
      </w:r>
      <w:r w:rsidRPr="0092047B">
        <w:rPr>
          <w:rFonts w:cstheme="minorHAnsi"/>
          <w:bCs/>
        </w:rPr>
        <w:t>obsahuje kapitola</w:t>
      </w:r>
      <w:r w:rsidR="000B41EA" w:rsidRPr="0092047B">
        <w:rPr>
          <w:rFonts w:cstheme="minorHAnsi"/>
          <w:bCs/>
        </w:rPr>
        <w:t xml:space="preserve"> </w:t>
      </w:r>
      <w:r w:rsidR="00BE7FA1" w:rsidRPr="0092047B">
        <w:rPr>
          <w:rFonts w:cstheme="minorHAnsi"/>
          <w:bCs/>
        </w:rPr>
        <w:t>3.2</w:t>
      </w:r>
      <w:r w:rsidR="003B20AA" w:rsidRPr="0092047B">
        <w:rPr>
          <w:rFonts w:cstheme="minorHAnsi"/>
          <w:bCs/>
        </w:rPr>
        <w:t>. Z vnějších podmínek jsou to zejména globální soupeření o primární zdroje energie, l</w:t>
      </w:r>
      <w:r w:rsidR="00715DF0" w:rsidRPr="0092047B">
        <w:rPr>
          <w:rFonts w:cstheme="minorHAnsi"/>
          <w:bCs/>
        </w:rPr>
        <w:t>iberalizace</w:t>
      </w:r>
      <w:r w:rsidR="003B20AA" w:rsidRPr="0092047B">
        <w:rPr>
          <w:rFonts w:cstheme="minorHAnsi"/>
          <w:bCs/>
        </w:rPr>
        <w:t xml:space="preserve"> trhu s energií v EU a vytvoření jednotného trhu, postupný přesun kompetencí z členských států na </w:t>
      </w:r>
      <w:r w:rsidR="00EA49C7" w:rsidRPr="0092047B">
        <w:rPr>
          <w:rFonts w:cstheme="minorHAnsi"/>
          <w:bCs/>
        </w:rPr>
        <w:t>e</w:t>
      </w:r>
      <w:r w:rsidR="003B20AA" w:rsidRPr="0092047B">
        <w:rPr>
          <w:rFonts w:cstheme="minorHAnsi"/>
          <w:bCs/>
        </w:rPr>
        <w:t>vropskou</w:t>
      </w:r>
      <w:r w:rsidR="00EA49C7" w:rsidRPr="0092047B">
        <w:rPr>
          <w:rFonts w:cstheme="minorHAnsi"/>
          <w:bCs/>
        </w:rPr>
        <w:t xml:space="preserve"> úroveň</w:t>
      </w:r>
      <w:r w:rsidR="003B20AA" w:rsidRPr="0092047B">
        <w:rPr>
          <w:rFonts w:cstheme="minorHAnsi"/>
          <w:bCs/>
        </w:rPr>
        <w:t xml:space="preserve">, </w:t>
      </w:r>
      <w:r w:rsidR="00715DF0" w:rsidRPr="0092047B">
        <w:rPr>
          <w:rFonts w:cstheme="minorHAnsi"/>
          <w:bCs/>
        </w:rPr>
        <w:t>globalizace</w:t>
      </w:r>
      <w:r w:rsidR="003B20AA" w:rsidRPr="0092047B">
        <w:rPr>
          <w:rFonts w:cstheme="minorHAnsi"/>
          <w:bCs/>
        </w:rPr>
        <w:t xml:space="preserve"> propojující národní energetické trhy s evropskými a světovými</w:t>
      </w:r>
      <w:r w:rsidR="00715DF0" w:rsidRPr="0092047B">
        <w:rPr>
          <w:rFonts w:cstheme="minorHAnsi"/>
          <w:bCs/>
        </w:rPr>
        <w:t>, energetická a klimatická politika EU, tlak na snižování emisí, integrace trhů s energií napříč Evropou</w:t>
      </w:r>
      <w:r w:rsidR="00B77626" w:rsidRPr="0092047B">
        <w:rPr>
          <w:rFonts w:cstheme="minorHAnsi"/>
          <w:bCs/>
        </w:rPr>
        <w:t xml:space="preserve"> a</w:t>
      </w:r>
      <w:r w:rsidR="00715DF0" w:rsidRPr="0092047B">
        <w:rPr>
          <w:rFonts w:cstheme="minorHAnsi"/>
          <w:bCs/>
        </w:rPr>
        <w:t xml:space="preserve"> </w:t>
      </w:r>
      <w:r w:rsidR="00EA49C7" w:rsidRPr="0092047B">
        <w:rPr>
          <w:rFonts w:cstheme="minorHAnsi"/>
          <w:bCs/>
        </w:rPr>
        <w:t>vědecko-</w:t>
      </w:r>
      <w:r w:rsidR="00715DF0" w:rsidRPr="0092047B">
        <w:rPr>
          <w:rFonts w:cstheme="minorHAnsi"/>
          <w:bCs/>
        </w:rPr>
        <w:t>technologický vývoj. Z vnitřních podmínek j</w:t>
      </w:r>
      <w:r w:rsidR="002918DA">
        <w:rPr>
          <w:rFonts w:cstheme="minorHAnsi"/>
          <w:bCs/>
        </w:rPr>
        <w:t>sou</w:t>
      </w:r>
      <w:r w:rsidR="00715DF0" w:rsidRPr="0092047B">
        <w:rPr>
          <w:rFonts w:cstheme="minorHAnsi"/>
          <w:bCs/>
        </w:rPr>
        <w:t xml:space="preserve"> to zajištění spolehlivosti dodávek energií, obnova zastaralé a budování nové síťové infrastruktury, významná role a tradice energetiky, dominantní role</w:t>
      </w:r>
      <w:r w:rsidR="00905737" w:rsidRPr="0092047B">
        <w:rPr>
          <w:rFonts w:cstheme="minorHAnsi"/>
          <w:bCs/>
        </w:rPr>
        <w:t xml:space="preserve"> </w:t>
      </w:r>
      <w:r w:rsidR="00715DF0" w:rsidRPr="0092047B">
        <w:rPr>
          <w:rFonts w:cstheme="minorHAnsi"/>
          <w:bCs/>
        </w:rPr>
        <w:t>průmyslu v</w:t>
      </w:r>
      <w:r w:rsidR="00161E78" w:rsidRPr="0092047B">
        <w:rPr>
          <w:rFonts w:cstheme="minorHAnsi"/>
          <w:bCs/>
        </w:rPr>
        <w:t> </w:t>
      </w:r>
      <w:r w:rsidR="00715DF0" w:rsidRPr="0092047B">
        <w:rPr>
          <w:rFonts w:cstheme="minorHAnsi"/>
          <w:bCs/>
        </w:rPr>
        <w:t xml:space="preserve">domácím hospodářství, snižující se zásoby </w:t>
      </w:r>
      <w:r w:rsidR="00784A89" w:rsidRPr="0092047B">
        <w:rPr>
          <w:rFonts w:cstheme="minorHAnsi"/>
          <w:bCs/>
        </w:rPr>
        <w:t>disponibilní</w:t>
      </w:r>
      <w:r w:rsidR="00B77626" w:rsidRPr="0092047B">
        <w:rPr>
          <w:rFonts w:cstheme="minorHAnsi"/>
          <w:bCs/>
        </w:rPr>
        <w:t>h</w:t>
      </w:r>
      <w:r w:rsidR="00784A89" w:rsidRPr="0092047B">
        <w:rPr>
          <w:rFonts w:cstheme="minorHAnsi"/>
          <w:bCs/>
        </w:rPr>
        <w:t xml:space="preserve">o </w:t>
      </w:r>
      <w:r w:rsidR="00715DF0" w:rsidRPr="0092047B">
        <w:rPr>
          <w:rFonts w:cstheme="minorHAnsi"/>
          <w:bCs/>
        </w:rPr>
        <w:t xml:space="preserve">uhlí, </w:t>
      </w:r>
      <w:r w:rsidR="00EA49C7" w:rsidRPr="0092047B">
        <w:rPr>
          <w:rFonts w:cstheme="minorHAnsi"/>
          <w:bCs/>
        </w:rPr>
        <w:t>převážně pozitivní vnímání</w:t>
      </w:r>
      <w:r w:rsidR="00BB4722" w:rsidRPr="0092047B">
        <w:rPr>
          <w:rFonts w:cstheme="minorHAnsi"/>
          <w:bCs/>
        </w:rPr>
        <w:t xml:space="preserve"> jaderné energetiky</w:t>
      </w:r>
      <w:r w:rsidR="00EA49C7" w:rsidRPr="0092047B">
        <w:rPr>
          <w:rFonts w:cstheme="minorHAnsi"/>
          <w:bCs/>
        </w:rPr>
        <w:t xml:space="preserve"> ze strany veřejnosti</w:t>
      </w:r>
      <w:r w:rsidR="00BB4722" w:rsidRPr="0092047B">
        <w:rPr>
          <w:rFonts w:cstheme="minorHAnsi"/>
          <w:bCs/>
        </w:rPr>
        <w:t>, omezen</w:t>
      </w:r>
      <w:r w:rsidR="00EA49C7" w:rsidRPr="0092047B">
        <w:rPr>
          <w:rFonts w:cstheme="minorHAnsi"/>
          <w:bCs/>
        </w:rPr>
        <w:t>ý</w:t>
      </w:r>
      <w:r w:rsidR="00BB4722" w:rsidRPr="0092047B">
        <w:rPr>
          <w:rFonts w:cstheme="minorHAnsi"/>
          <w:bCs/>
        </w:rPr>
        <w:t xml:space="preserve"> </w:t>
      </w:r>
      <w:r w:rsidR="00EA49C7" w:rsidRPr="0092047B">
        <w:rPr>
          <w:rFonts w:cstheme="minorHAnsi"/>
          <w:bCs/>
        </w:rPr>
        <w:t>potenciál</w:t>
      </w:r>
      <w:r w:rsidR="00BB4722" w:rsidRPr="0092047B">
        <w:rPr>
          <w:rFonts w:cstheme="minorHAnsi"/>
          <w:bCs/>
        </w:rPr>
        <w:t xml:space="preserve"> </w:t>
      </w:r>
      <w:r w:rsidR="00784A89" w:rsidRPr="0092047B">
        <w:rPr>
          <w:rFonts w:cstheme="minorHAnsi"/>
          <w:bCs/>
        </w:rPr>
        <w:t>obnovitelných zdrojů</w:t>
      </w:r>
      <w:r w:rsidR="00BB4722" w:rsidRPr="0092047B">
        <w:rPr>
          <w:rFonts w:cstheme="minorHAnsi"/>
          <w:bCs/>
        </w:rPr>
        <w:t xml:space="preserve"> energie, rozvinuté soustavy </w:t>
      </w:r>
      <w:r w:rsidR="005667D0" w:rsidRPr="0092047B">
        <w:rPr>
          <w:rFonts w:cstheme="minorHAnsi"/>
          <w:bCs/>
        </w:rPr>
        <w:t xml:space="preserve">zásobování </w:t>
      </w:r>
      <w:r w:rsidR="00445AD1" w:rsidRPr="0092047B">
        <w:rPr>
          <w:rFonts w:cstheme="minorHAnsi"/>
          <w:bCs/>
        </w:rPr>
        <w:t>tepelnou</w:t>
      </w:r>
      <w:r w:rsidR="005667D0" w:rsidRPr="0092047B">
        <w:rPr>
          <w:rFonts w:cstheme="minorHAnsi"/>
          <w:bCs/>
        </w:rPr>
        <w:t xml:space="preserve"> energií</w:t>
      </w:r>
      <w:r w:rsidR="00BB4722" w:rsidRPr="0092047B">
        <w:rPr>
          <w:rFonts w:cstheme="minorHAnsi"/>
          <w:bCs/>
        </w:rPr>
        <w:t xml:space="preserve">, </w:t>
      </w:r>
      <w:r w:rsidR="00784A89" w:rsidRPr="0092047B">
        <w:rPr>
          <w:rFonts w:cstheme="minorHAnsi"/>
          <w:bCs/>
        </w:rPr>
        <w:t>nutnost splnit závazky ČR v ob</w:t>
      </w:r>
      <w:r w:rsidR="00B77626" w:rsidRPr="0092047B">
        <w:rPr>
          <w:rFonts w:cstheme="minorHAnsi"/>
          <w:bCs/>
        </w:rPr>
        <w:t>l</w:t>
      </w:r>
      <w:r w:rsidR="00784A89" w:rsidRPr="0092047B">
        <w:rPr>
          <w:rFonts w:cstheme="minorHAnsi"/>
          <w:bCs/>
        </w:rPr>
        <w:t>asti s</w:t>
      </w:r>
      <w:r w:rsidR="00B77626" w:rsidRPr="0092047B">
        <w:rPr>
          <w:rFonts w:cstheme="minorHAnsi"/>
          <w:bCs/>
        </w:rPr>
        <w:t>n</w:t>
      </w:r>
      <w:r w:rsidR="00784A89" w:rsidRPr="0092047B">
        <w:rPr>
          <w:rFonts w:cstheme="minorHAnsi"/>
          <w:bCs/>
        </w:rPr>
        <w:t>ižování emisí skleníkových plynů</w:t>
      </w:r>
      <w:r w:rsidR="00BB4722" w:rsidRPr="0092047B">
        <w:rPr>
          <w:rFonts w:cstheme="minorHAnsi"/>
          <w:bCs/>
        </w:rPr>
        <w:t xml:space="preserve">, </w:t>
      </w:r>
      <w:r w:rsidR="00784A89" w:rsidRPr="0092047B">
        <w:rPr>
          <w:rFonts w:cstheme="minorHAnsi"/>
          <w:bCs/>
        </w:rPr>
        <w:t xml:space="preserve">unikátní </w:t>
      </w:r>
      <w:r w:rsidR="00BB4722" w:rsidRPr="0092047B">
        <w:rPr>
          <w:rFonts w:cstheme="minorHAnsi"/>
          <w:bCs/>
        </w:rPr>
        <w:t xml:space="preserve">tranzitní poloha země, stárnutí </w:t>
      </w:r>
      <w:r w:rsidR="00784A89" w:rsidRPr="0092047B">
        <w:rPr>
          <w:rFonts w:cstheme="minorHAnsi"/>
          <w:bCs/>
        </w:rPr>
        <w:t>zdrojové základny</w:t>
      </w:r>
      <w:r w:rsidR="00B77626" w:rsidRPr="0092047B">
        <w:rPr>
          <w:rFonts w:cstheme="minorHAnsi"/>
          <w:bCs/>
        </w:rPr>
        <w:t xml:space="preserve"> a</w:t>
      </w:r>
      <w:r w:rsidR="00784A89" w:rsidRPr="0092047B">
        <w:rPr>
          <w:rFonts w:cstheme="minorHAnsi"/>
          <w:bCs/>
        </w:rPr>
        <w:t xml:space="preserve"> energetické </w:t>
      </w:r>
      <w:r w:rsidR="00231594" w:rsidRPr="0092047B">
        <w:rPr>
          <w:rFonts w:cstheme="minorHAnsi"/>
          <w:bCs/>
        </w:rPr>
        <w:t>infrastruktury i technické</w:t>
      </w:r>
      <w:r w:rsidR="00BB4722" w:rsidRPr="0092047B">
        <w:rPr>
          <w:rFonts w:cstheme="minorHAnsi"/>
          <w:bCs/>
        </w:rPr>
        <w:t xml:space="preserve"> inteligence.</w:t>
      </w:r>
      <w:r w:rsidR="00240A5D" w:rsidRPr="0092047B">
        <w:rPr>
          <w:rFonts w:cstheme="minorHAnsi"/>
          <w:bCs/>
        </w:rPr>
        <w:t xml:space="preserve"> </w:t>
      </w:r>
      <w:r w:rsidRPr="0092047B">
        <w:rPr>
          <w:rFonts w:cstheme="minorHAnsi"/>
          <w:bCs/>
        </w:rPr>
        <w:t xml:space="preserve">Kapitola </w:t>
      </w:r>
      <w:r w:rsidR="00BE7FA1" w:rsidRPr="0092047B">
        <w:rPr>
          <w:rFonts w:cstheme="minorHAnsi"/>
          <w:bCs/>
        </w:rPr>
        <w:t>3.3</w:t>
      </w:r>
      <w:r w:rsidRPr="0092047B">
        <w:rPr>
          <w:rFonts w:cstheme="minorHAnsi"/>
          <w:bCs/>
        </w:rPr>
        <w:t xml:space="preserve"> pak představuje souhrnný přehled výstupů ze SWOT ana</w:t>
      </w:r>
      <w:r w:rsidR="007C14C1">
        <w:rPr>
          <w:rFonts w:cstheme="minorHAnsi"/>
          <w:bCs/>
        </w:rPr>
        <w:t>lýzy.</w:t>
      </w:r>
    </w:p>
    <w:p w:rsidR="00D119DD" w:rsidRPr="0092047B" w:rsidRDefault="00967C17" w:rsidP="00184DC1">
      <w:pPr>
        <w:rPr>
          <w:rFonts w:cstheme="minorHAnsi"/>
          <w:bCs/>
          <w:i/>
        </w:rPr>
      </w:pPr>
      <w:r w:rsidRPr="0092047B">
        <w:rPr>
          <w:rFonts w:cstheme="minorHAnsi"/>
          <w:bCs/>
          <w:u w:val="single"/>
        </w:rPr>
        <w:t xml:space="preserve">Ve </w:t>
      </w:r>
      <w:r w:rsidR="00804310" w:rsidRPr="0092047B">
        <w:rPr>
          <w:rFonts w:cstheme="minorHAnsi"/>
          <w:bCs/>
          <w:u w:val="single"/>
        </w:rPr>
        <w:t>druhé fázi</w:t>
      </w:r>
      <w:r w:rsidRPr="004D04A7">
        <w:rPr>
          <w:rFonts w:cstheme="minorHAnsi"/>
          <w:bCs/>
        </w:rPr>
        <w:t xml:space="preserve"> </w:t>
      </w:r>
      <w:r w:rsidRPr="0092047B">
        <w:rPr>
          <w:rFonts w:cstheme="minorHAnsi"/>
          <w:bCs/>
        </w:rPr>
        <w:t xml:space="preserve">tvorby </w:t>
      </w:r>
      <w:r w:rsidR="000C3715" w:rsidRPr="0092047B">
        <w:rPr>
          <w:rFonts w:cstheme="minorHAnsi"/>
          <w:bCs/>
        </w:rPr>
        <w:t xml:space="preserve">SEK </w:t>
      </w:r>
      <w:r w:rsidRPr="0092047B">
        <w:rPr>
          <w:rFonts w:cstheme="minorHAnsi"/>
          <w:bCs/>
        </w:rPr>
        <w:t xml:space="preserve">bylo </w:t>
      </w:r>
      <w:r w:rsidR="00EE39D5" w:rsidRPr="0092047B">
        <w:rPr>
          <w:rFonts w:cstheme="minorHAnsi"/>
          <w:bCs/>
        </w:rPr>
        <w:t>na bázi široké diskuse</w:t>
      </w:r>
      <w:r w:rsidR="00C423BE" w:rsidRPr="0092047B">
        <w:rPr>
          <w:rFonts w:cstheme="minorHAnsi"/>
          <w:bCs/>
        </w:rPr>
        <w:t> </w:t>
      </w:r>
      <w:r w:rsidR="00EE39D5" w:rsidRPr="0092047B">
        <w:rPr>
          <w:rFonts w:cstheme="minorHAnsi"/>
          <w:bCs/>
        </w:rPr>
        <w:t>odborník</w:t>
      </w:r>
      <w:r w:rsidR="00C423BE" w:rsidRPr="0092047B">
        <w:rPr>
          <w:rFonts w:cstheme="minorHAnsi"/>
          <w:bCs/>
        </w:rPr>
        <w:t>ů, která probíhala od roku 2007</w:t>
      </w:r>
      <w:r w:rsidR="00EE39D5" w:rsidRPr="0092047B">
        <w:rPr>
          <w:rFonts w:cstheme="minorHAnsi"/>
          <w:bCs/>
        </w:rPr>
        <w:t xml:space="preserve"> </w:t>
      </w:r>
      <w:r w:rsidR="00C423BE" w:rsidRPr="0092047B">
        <w:rPr>
          <w:rFonts w:cstheme="minorHAnsi"/>
          <w:bCs/>
        </w:rPr>
        <w:t>ustavením tzv. „Pačesovy“ komise</w:t>
      </w:r>
      <w:r w:rsidR="002918DA">
        <w:rPr>
          <w:rFonts w:cstheme="minorHAnsi"/>
          <w:bCs/>
        </w:rPr>
        <w:t>,</w:t>
      </w:r>
      <w:r w:rsidR="00C423BE" w:rsidRPr="0092047B">
        <w:rPr>
          <w:rFonts w:cstheme="minorHAnsi"/>
          <w:bCs/>
        </w:rPr>
        <w:t xml:space="preserve"> </w:t>
      </w:r>
      <w:r w:rsidR="00804310" w:rsidRPr="0092047B">
        <w:rPr>
          <w:rFonts w:cstheme="minorHAnsi"/>
          <w:b/>
          <w:bCs/>
        </w:rPr>
        <w:t>definováno státní zadání pro oblast energetiky</w:t>
      </w:r>
      <w:r w:rsidR="002918DA" w:rsidRPr="002918DA">
        <w:rPr>
          <w:rFonts w:cstheme="minorHAnsi"/>
          <w:bCs/>
        </w:rPr>
        <w:t>, které je</w:t>
      </w:r>
      <w:r w:rsidR="002918DA">
        <w:rPr>
          <w:rFonts w:cstheme="minorHAnsi"/>
          <w:bCs/>
        </w:rPr>
        <w:t xml:space="preserve"> </w:t>
      </w:r>
      <w:r w:rsidR="00D119DD" w:rsidRPr="0092047B">
        <w:rPr>
          <w:rFonts w:cstheme="minorHAnsi"/>
          <w:bCs/>
        </w:rPr>
        <w:t>obsaženo v kapitole 4</w:t>
      </w:r>
      <w:r w:rsidR="00AB3FB4" w:rsidRPr="0092047B">
        <w:rPr>
          <w:rFonts w:cstheme="minorHAnsi"/>
          <w:bCs/>
        </w:rPr>
        <w:t xml:space="preserve"> </w:t>
      </w:r>
      <w:r w:rsidR="00D119DD" w:rsidRPr="0092047B">
        <w:rPr>
          <w:rFonts w:cstheme="minorHAnsi"/>
          <w:bCs/>
        </w:rPr>
        <w:t>–</w:t>
      </w:r>
      <w:r w:rsidR="00D119DD" w:rsidRPr="0092047B">
        <w:rPr>
          <w:rFonts w:cstheme="minorHAnsi"/>
          <w:bCs/>
          <w:i/>
        </w:rPr>
        <w:t xml:space="preserve"> Koncepce energetiky ČR do roku 2040</w:t>
      </w:r>
      <w:r w:rsidRPr="0092047B">
        <w:rPr>
          <w:rFonts w:cstheme="minorHAnsi"/>
          <w:bCs/>
        </w:rPr>
        <w:t xml:space="preserve">, tj. </w:t>
      </w:r>
      <w:r w:rsidR="00EE39D5" w:rsidRPr="0092047B">
        <w:rPr>
          <w:rFonts w:cstheme="minorHAnsi"/>
          <w:bCs/>
        </w:rPr>
        <w:t>vrcholové</w:t>
      </w:r>
      <w:r w:rsidRPr="0092047B">
        <w:rPr>
          <w:rFonts w:cstheme="minorHAnsi"/>
          <w:bCs/>
        </w:rPr>
        <w:t xml:space="preserve"> </w:t>
      </w:r>
      <w:r w:rsidR="000C3715" w:rsidRPr="0092047B">
        <w:rPr>
          <w:rFonts w:cstheme="minorHAnsi"/>
          <w:bCs/>
        </w:rPr>
        <w:t>strategické cíle pro celý energetický sektor</w:t>
      </w:r>
      <w:r w:rsidR="00EA49C7" w:rsidRPr="0092047B">
        <w:rPr>
          <w:rFonts w:cstheme="minorHAnsi"/>
          <w:bCs/>
        </w:rPr>
        <w:t>,</w:t>
      </w:r>
      <w:r w:rsidR="00161E78" w:rsidRPr="0092047B">
        <w:rPr>
          <w:rFonts w:cstheme="minorHAnsi"/>
          <w:bCs/>
        </w:rPr>
        <w:t xml:space="preserve"> metriky a </w:t>
      </w:r>
      <w:r w:rsidR="00EE39D5" w:rsidRPr="0092047B">
        <w:rPr>
          <w:rFonts w:cstheme="minorHAnsi"/>
          <w:bCs/>
        </w:rPr>
        <w:t>cílové hodnoty pro jejich vyhodnocování (kap</w:t>
      </w:r>
      <w:r w:rsidR="000D4ABA" w:rsidRPr="0092047B">
        <w:rPr>
          <w:rFonts w:cstheme="minorHAnsi"/>
          <w:bCs/>
        </w:rPr>
        <w:t>itola</w:t>
      </w:r>
      <w:r w:rsidR="00EE39D5" w:rsidRPr="0092047B">
        <w:rPr>
          <w:rFonts w:cstheme="minorHAnsi"/>
          <w:bCs/>
        </w:rPr>
        <w:t xml:space="preserve"> </w:t>
      </w:r>
      <w:r w:rsidR="00BE7FA1" w:rsidRPr="0092047B">
        <w:rPr>
          <w:rFonts w:cstheme="minorHAnsi"/>
          <w:bCs/>
        </w:rPr>
        <w:t>4.1</w:t>
      </w:r>
      <w:r w:rsidR="00D119DD" w:rsidRPr="0092047B">
        <w:rPr>
          <w:rFonts w:cstheme="minorHAnsi"/>
          <w:bCs/>
        </w:rPr>
        <w:t>)</w:t>
      </w:r>
      <w:r w:rsidR="00EA49C7" w:rsidRPr="0092047B">
        <w:rPr>
          <w:rFonts w:cstheme="minorHAnsi"/>
          <w:bCs/>
        </w:rPr>
        <w:t>.</w:t>
      </w:r>
      <w:r w:rsidR="00EE39D5" w:rsidRPr="0092047B">
        <w:rPr>
          <w:rFonts w:cstheme="minorHAnsi"/>
          <w:bCs/>
        </w:rPr>
        <w:t xml:space="preserve"> </w:t>
      </w:r>
      <w:r w:rsidR="00EA49C7" w:rsidRPr="0092047B">
        <w:rPr>
          <w:rFonts w:cstheme="minorHAnsi"/>
          <w:bCs/>
        </w:rPr>
        <w:t>Z</w:t>
      </w:r>
      <w:r w:rsidR="00EE39D5" w:rsidRPr="0092047B">
        <w:rPr>
          <w:rFonts w:cstheme="minorHAnsi"/>
          <w:bCs/>
        </w:rPr>
        <w:t xml:space="preserve"> nich </w:t>
      </w:r>
      <w:r w:rsidR="00EA49C7" w:rsidRPr="0092047B">
        <w:rPr>
          <w:rFonts w:cstheme="minorHAnsi"/>
          <w:bCs/>
        </w:rPr>
        <w:t>bylo</w:t>
      </w:r>
      <w:r w:rsidR="00EE39D5" w:rsidRPr="0092047B">
        <w:rPr>
          <w:rFonts w:cstheme="minorHAnsi"/>
          <w:bCs/>
        </w:rPr>
        <w:t xml:space="preserve"> odvozen</w:t>
      </w:r>
      <w:r w:rsidR="00EA49C7" w:rsidRPr="0092047B">
        <w:rPr>
          <w:rFonts w:cstheme="minorHAnsi"/>
          <w:bCs/>
        </w:rPr>
        <w:t>o</w:t>
      </w:r>
      <w:r w:rsidR="000C3715" w:rsidRPr="0092047B">
        <w:rPr>
          <w:rFonts w:cstheme="minorHAnsi"/>
          <w:bCs/>
        </w:rPr>
        <w:t xml:space="preserve"> pět klíčových </w:t>
      </w:r>
      <w:r w:rsidR="00EE39D5" w:rsidRPr="0092047B">
        <w:rPr>
          <w:rFonts w:cstheme="minorHAnsi"/>
          <w:bCs/>
        </w:rPr>
        <w:t xml:space="preserve">dlouhodobých </w:t>
      </w:r>
      <w:r w:rsidR="000C3715" w:rsidRPr="0092047B">
        <w:rPr>
          <w:rFonts w:cstheme="minorHAnsi"/>
          <w:bCs/>
        </w:rPr>
        <w:t xml:space="preserve">priorit (kapitola </w:t>
      </w:r>
      <w:r w:rsidR="00BE7FA1" w:rsidRPr="0092047B">
        <w:rPr>
          <w:rFonts w:cstheme="minorHAnsi"/>
          <w:bCs/>
        </w:rPr>
        <w:t>4.</w:t>
      </w:r>
      <w:r w:rsidR="00D119DD" w:rsidRPr="0092047B">
        <w:t>3)</w:t>
      </w:r>
      <w:r w:rsidR="00D119DD" w:rsidRPr="0092047B">
        <w:rPr>
          <w:rFonts w:cstheme="minorHAnsi"/>
          <w:bCs/>
        </w:rPr>
        <w:t xml:space="preserve"> a </w:t>
      </w:r>
      <w:r w:rsidR="00D119DD" w:rsidRPr="0092047B">
        <w:rPr>
          <w:rFonts w:cstheme="minorHAnsi"/>
          <w:b/>
          <w:bCs/>
        </w:rPr>
        <w:t>dílčí rozvojové strategie</w:t>
      </w:r>
      <w:r w:rsidR="00D119DD" w:rsidRPr="0092047B">
        <w:rPr>
          <w:rFonts w:cstheme="minorHAnsi"/>
          <w:bCs/>
        </w:rPr>
        <w:t xml:space="preserve"> jednotlivých oblastí sektoru energetiky a navazujících sektorů. Kapitola </w:t>
      </w:r>
      <w:r w:rsidR="00D119DD" w:rsidRPr="0092047B">
        <w:t>5</w:t>
      </w:r>
      <w:r w:rsidR="00D119DD" w:rsidRPr="0092047B">
        <w:rPr>
          <w:rFonts w:cstheme="minorHAnsi"/>
          <w:bCs/>
          <w:i/>
        </w:rPr>
        <w:t xml:space="preserve"> – </w:t>
      </w:r>
      <w:r w:rsidR="00D119DD" w:rsidRPr="0092047B">
        <w:rPr>
          <w:i/>
        </w:rPr>
        <w:t>Koncepce rozvoje významných oblastí energetiky a oblastí s energetikou souvisejících</w:t>
      </w:r>
      <w:r w:rsidR="00D119DD" w:rsidRPr="0092047B">
        <w:rPr>
          <w:rFonts w:cstheme="minorHAnsi"/>
          <w:bCs/>
        </w:rPr>
        <w:t xml:space="preserve"> tak obsahuje vize, hlavní rozvojové záměry a doplňkové cíle pro celkem 8 oblastí.</w:t>
      </w:r>
    </w:p>
    <w:p w:rsidR="00742326" w:rsidRPr="0092047B" w:rsidRDefault="00124B1D" w:rsidP="00184DC1">
      <w:pPr>
        <w:rPr>
          <w:rFonts w:cstheme="minorHAnsi"/>
          <w:bCs/>
        </w:rPr>
      </w:pPr>
      <w:r w:rsidRPr="0092047B">
        <w:rPr>
          <w:rFonts w:cstheme="minorHAnsi"/>
          <w:bCs/>
        </w:rPr>
        <w:t>Primární strategické zadání</w:t>
      </w:r>
      <w:r w:rsidR="00CE109E">
        <w:rPr>
          <w:rStyle w:val="Znakapoznpodarou"/>
          <w:rFonts w:cstheme="minorHAnsi"/>
          <w:bCs/>
        </w:rPr>
        <w:footnoteReference w:id="3"/>
      </w:r>
      <w:r w:rsidRPr="0092047B">
        <w:rPr>
          <w:rFonts w:cstheme="minorHAnsi"/>
          <w:bCs/>
        </w:rPr>
        <w:t xml:space="preserve"> pro</w:t>
      </w:r>
      <w:r w:rsidR="00231594" w:rsidRPr="0092047B">
        <w:rPr>
          <w:rFonts w:cstheme="minorHAnsi"/>
          <w:bCs/>
        </w:rPr>
        <w:t xml:space="preserve"> SEK</w:t>
      </w:r>
      <w:r w:rsidRPr="0092047B">
        <w:rPr>
          <w:rFonts w:cstheme="minorHAnsi"/>
          <w:bCs/>
        </w:rPr>
        <w:t xml:space="preserve"> vychází z dokumentu</w:t>
      </w:r>
      <w:r w:rsidRPr="0092047B">
        <w:rPr>
          <w:rFonts w:cstheme="minorHAnsi"/>
          <w:bCs/>
          <w:i/>
        </w:rPr>
        <w:t xml:space="preserve"> Strategický rámec udržitelného rozvoje ČR</w:t>
      </w:r>
      <w:r w:rsidR="00B77626" w:rsidRPr="0092047B">
        <w:rPr>
          <w:rFonts w:cstheme="minorHAnsi"/>
          <w:bCs/>
          <w:i/>
        </w:rPr>
        <w:t>,</w:t>
      </w:r>
      <w:r w:rsidRPr="0092047B">
        <w:rPr>
          <w:rFonts w:cstheme="minorHAnsi"/>
          <w:bCs/>
          <w:i/>
        </w:rPr>
        <w:t xml:space="preserve"> </w:t>
      </w:r>
      <w:r w:rsidRPr="0092047B">
        <w:rPr>
          <w:rFonts w:cstheme="minorHAnsi"/>
          <w:bCs/>
        </w:rPr>
        <w:t xml:space="preserve">zpracovaného Radou vlády pro udržitelný rozvoj a </w:t>
      </w:r>
      <w:r w:rsidR="005B6D9E" w:rsidRPr="0092047B">
        <w:rPr>
          <w:rFonts w:cstheme="minorHAnsi"/>
          <w:bCs/>
        </w:rPr>
        <w:t>schváleného</w:t>
      </w:r>
      <w:r w:rsidRPr="0092047B">
        <w:rPr>
          <w:rFonts w:cstheme="minorHAnsi"/>
          <w:bCs/>
        </w:rPr>
        <w:t xml:space="preserve"> vládou ČR usnesením vlády č. 37 ze dne 11. ledna 2010</w:t>
      </w:r>
      <w:r w:rsidR="00EA49C7" w:rsidRPr="0092047B">
        <w:rPr>
          <w:rFonts w:cstheme="minorHAnsi"/>
          <w:bCs/>
        </w:rPr>
        <w:t>.</w:t>
      </w:r>
      <w:r w:rsidR="00C11B10" w:rsidRPr="0092047B">
        <w:rPr>
          <w:rFonts w:cstheme="minorHAnsi"/>
          <w:bCs/>
        </w:rPr>
        <w:t xml:space="preserve"> </w:t>
      </w:r>
      <w:r w:rsidR="00EA49C7" w:rsidRPr="0092047B">
        <w:rPr>
          <w:rFonts w:cstheme="minorHAnsi"/>
          <w:bCs/>
        </w:rPr>
        <w:t>J</w:t>
      </w:r>
      <w:r w:rsidR="00C11B10" w:rsidRPr="0092047B">
        <w:rPr>
          <w:rFonts w:cstheme="minorHAnsi"/>
          <w:bCs/>
        </w:rPr>
        <w:t xml:space="preserve">eho </w:t>
      </w:r>
      <w:r w:rsidR="00903149" w:rsidRPr="0092047B">
        <w:rPr>
          <w:rFonts w:cstheme="minorHAnsi"/>
          <w:bCs/>
        </w:rPr>
        <w:t>hlavním</w:t>
      </w:r>
      <w:r w:rsidR="00C11B10" w:rsidRPr="0092047B">
        <w:rPr>
          <w:rFonts w:cstheme="minorHAnsi"/>
          <w:bCs/>
        </w:rPr>
        <w:t xml:space="preserve"> cílem je „zlepšení života současné </w:t>
      </w:r>
      <w:r w:rsidR="00C11B10" w:rsidRPr="0092047B">
        <w:rPr>
          <w:rFonts w:cstheme="minorHAnsi"/>
          <w:bCs/>
        </w:rPr>
        <w:lastRenderedPageBreak/>
        <w:t>generace i generací budoucích cestou vytvoření udržitelných komunit schopných efektivně využívat zdroje a odblokovat ekologický a soc</w:t>
      </w:r>
      <w:r w:rsidR="00161E78" w:rsidRPr="0092047B">
        <w:rPr>
          <w:rFonts w:cstheme="minorHAnsi"/>
          <w:bCs/>
        </w:rPr>
        <w:t>iální inovační potenciál nutný k </w:t>
      </w:r>
      <w:r w:rsidR="00C11B10" w:rsidRPr="0092047B">
        <w:rPr>
          <w:rFonts w:cstheme="minorHAnsi"/>
          <w:bCs/>
        </w:rPr>
        <w:t>zajištění ekonomické prosperity, ochrany životního prostředí a sociální soudržnosti“ (s. 11)</w:t>
      </w:r>
      <w:r w:rsidR="00B77626" w:rsidRPr="0092047B">
        <w:rPr>
          <w:rFonts w:cstheme="minorHAnsi"/>
          <w:bCs/>
        </w:rPr>
        <w:t>.</w:t>
      </w:r>
      <w:r w:rsidR="00B352F9" w:rsidRPr="0092047B">
        <w:rPr>
          <w:rFonts w:cstheme="minorHAnsi"/>
          <w:bCs/>
        </w:rPr>
        <w:t xml:space="preserve"> Zadání pro SEK obsahuj</w:t>
      </w:r>
      <w:r w:rsidR="00EA49C7" w:rsidRPr="0092047B">
        <w:rPr>
          <w:rFonts w:cstheme="minorHAnsi"/>
          <w:bCs/>
        </w:rPr>
        <w:t>e</w:t>
      </w:r>
      <w:r w:rsidR="00B352F9" w:rsidRPr="0092047B">
        <w:rPr>
          <w:rFonts w:cstheme="minorHAnsi"/>
          <w:bCs/>
        </w:rPr>
        <w:t xml:space="preserve"> jednotlivé priority </w:t>
      </w:r>
      <w:r w:rsidR="00AC017B" w:rsidRPr="0092047B">
        <w:rPr>
          <w:rFonts w:cstheme="minorHAnsi"/>
          <w:bCs/>
        </w:rPr>
        <w:t xml:space="preserve">a cíle </w:t>
      </w:r>
      <w:r w:rsidR="00B352F9" w:rsidRPr="0092047B">
        <w:rPr>
          <w:rFonts w:cstheme="minorHAnsi"/>
          <w:bCs/>
        </w:rPr>
        <w:t>v prioritních osách strategické vize udržitelného rozvoje ČR</w:t>
      </w:r>
      <w:r w:rsidR="00240A5D" w:rsidRPr="0092047B">
        <w:rPr>
          <w:rFonts w:cstheme="minorHAnsi"/>
          <w:bCs/>
        </w:rPr>
        <w:t>. Jedná se mimo jiné o cíle snižování zdravotních rizik s</w:t>
      </w:r>
      <w:r w:rsidR="00903149" w:rsidRPr="0092047B">
        <w:rPr>
          <w:rFonts w:cstheme="minorHAnsi"/>
          <w:bCs/>
        </w:rPr>
        <w:t>o</w:t>
      </w:r>
      <w:r w:rsidR="00240A5D" w:rsidRPr="0092047B">
        <w:rPr>
          <w:rFonts w:cstheme="minorHAnsi"/>
          <w:bCs/>
        </w:rPr>
        <w:t xml:space="preserve">uvisejících s negativními faktory </w:t>
      </w:r>
      <w:r w:rsidR="006A230E" w:rsidRPr="0092047B">
        <w:rPr>
          <w:rFonts w:cstheme="minorHAnsi"/>
          <w:bCs/>
        </w:rPr>
        <w:t>pro</w:t>
      </w:r>
      <w:r w:rsidR="00240A5D" w:rsidRPr="0092047B">
        <w:rPr>
          <w:rFonts w:cstheme="minorHAnsi"/>
          <w:bCs/>
        </w:rPr>
        <w:t xml:space="preserve"> životní prostředí; </w:t>
      </w:r>
      <w:r w:rsidR="005E12AA" w:rsidRPr="0092047B">
        <w:rPr>
          <w:rFonts w:cstheme="minorHAnsi"/>
          <w:bCs/>
        </w:rPr>
        <w:t xml:space="preserve">podpory </w:t>
      </w:r>
      <w:r w:rsidR="000A193B" w:rsidRPr="0092047B">
        <w:rPr>
          <w:rFonts w:cstheme="minorHAnsi"/>
          <w:bCs/>
        </w:rPr>
        <w:t xml:space="preserve">podnikání a </w:t>
      </w:r>
      <w:r w:rsidR="00C97F26" w:rsidRPr="0092047B">
        <w:rPr>
          <w:rFonts w:cstheme="minorHAnsi"/>
          <w:bCs/>
        </w:rPr>
        <w:t>zvyšování</w:t>
      </w:r>
      <w:r w:rsidR="000A193B" w:rsidRPr="0092047B">
        <w:rPr>
          <w:rFonts w:cstheme="minorHAnsi"/>
          <w:bCs/>
        </w:rPr>
        <w:t xml:space="preserve"> konkurenceschopnost</w:t>
      </w:r>
      <w:r w:rsidR="00240A5D" w:rsidRPr="0092047B">
        <w:rPr>
          <w:rFonts w:cstheme="minorHAnsi"/>
          <w:bCs/>
        </w:rPr>
        <w:t xml:space="preserve">i; </w:t>
      </w:r>
      <w:r w:rsidR="00445AD1" w:rsidRPr="0092047B">
        <w:rPr>
          <w:rFonts w:cstheme="minorHAnsi"/>
          <w:bCs/>
        </w:rPr>
        <w:t>zvyšování</w:t>
      </w:r>
      <w:r w:rsidR="004F39EA" w:rsidRPr="0092047B">
        <w:rPr>
          <w:rFonts w:cstheme="minorHAnsi"/>
          <w:bCs/>
        </w:rPr>
        <w:t xml:space="preserve"> energetick</w:t>
      </w:r>
      <w:r w:rsidR="00240A5D" w:rsidRPr="0092047B">
        <w:rPr>
          <w:rFonts w:cstheme="minorHAnsi"/>
          <w:bCs/>
        </w:rPr>
        <w:t>é</w:t>
      </w:r>
      <w:r w:rsidR="004F39EA" w:rsidRPr="0092047B">
        <w:rPr>
          <w:rFonts w:cstheme="minorHAnsi"/>
          <w:bCs/>
        </w:rPr>
        <w:t xml:space="preserve"> účinnost</w:t>
      </w:r>
      <w:r w:rsidR="00240A5D" w:rsidRPr="0092047B">
        <w:rPr>
          <w:rFonts w:cstheme="minorHAnsi"/>
          <w:bCs/>
        </w:rPr>
        <w:t>i</w:t>
      </w:r>
      <w:r w:rsidR="004F39EA" w:rsidRPr="0092047B">
        <w:rPr>
          <w:rFonts w:cstheme="minorHAnsi"/>
          <w:bCs/>
        </w:rPr>
        <w:t xml:space="preserve"> a ekonomick</w:t>
      </w:r>
      <w:r w:rsidR="00240A5D" w:rsidRPr="0092047B">
        <w:rPr>
          <w:rFonts w:cstheme="minorHAnsi"/>
          <w:bCs/>
        </w:rPr>
        <w:t>é</w:t>
      </w:r>
      <w:r w:rsidR="004F39EA" w:rsidRPr="0092047B">
        <w:rPr>
          <w:rFonts w:cstheme="minorHAnsi"/>
          <w:bCs/>
        </w:rPr>
        <w:t xml:space="preserve"> efektiv</w:t>
      </w:r>
      <w:r w:rsidR="00EA49C7" w:rsidRPr="0092047B">
        <w:rPr>
          <w:rFonts w:cstheme="minorHAnsi"/>
          <w:bCs/>
        </w:rPr>
        <w:t>ity</w:t>
      </w:r>
      <w:r w:rsidR="004F39EA" w:rsidRPr="0092047B">
        <w:rPr>
          <w:rFonts w:cstheme="minorHAnsi"/>
          <w:bCs/>
        </w:rPr>
        <w:t xml:space="preserve"> dopravy, </w:t>
      </w:r>
      <w:r w:rsidR="00445AD1" w:rsidRPr="0092047B">
        <w:rPr>
          <w:rFonts w:cstheme="minorHAnsi"/>
          <w:bCs/>
        </w:rPr>
        <w:t>snižování</w:t>
      </w:r>
      <w:r w:rsidR="00905737" w:rsidRPr="0092047B">
        <w:rPr>
          <w:rFonts w:cstheme="minorHAnsi"/>
          <w:bCs/>
        </w:rPr>
        <w:t xml:space="preserve"> </w:t>
      </w:r>
      <w:r w:rsidR="00B64355" w:rsidRPr="0092047B">
        <w:rPr>
          <w:rFonts w:cstheme="minorHAnsi"/>
          <w:bCs/>
        </w:rPr>
        <w:t xml:space="preserve">rizikových emisí </w:t>
      </w:r>
      <w:r w:rsidR="004F39EA" w:rsidRPr="0092047B">
        <w:rPr>
          <w:rFonts w:cstheme="minorHAnsi"/>
          <w:bCs/>
        </w:rPr>
        <w:t>z dopravy</w:t>
      </w:r>
      <w:r w:rsidR="00240A5D" w:rsidRPr="0092047B">
        <w:rPr>
          <w:rFonts w:cstheme="minorHAnsi"/>
          <w:bCs/>
        </w:rPr>
        <w:t>; z</w:t>
      </w:r>
      <w:r w:rsidR="00B352F9" w:rsidRPr="0092047B">
        <w:rPr>
          <w:rFonts w:cstheme="minorHAnsi"/>
          <w:bCs/>
        </w:rPr>
        <w:t>ajištění energetické bezpečnosti státu a zvyšování energetické a surovinové efektivity hospodářství</w:t>
      </w:r>
      <w:r w:rsidR="00C97F26" w:rsidRPr="0092047B">
        <w:rPr>
          <w:rFonts w:cstheme="minorHAnsi"/>
          <w:bCs/>
        </w:rPr>
        <w:t>;</w:t>
      </w:r>
      <w:r w:rsidR="00B352F9" w:rsidRPr="0092047B">
        <w:rPr>
          <w:rFonts w:cstheme="minorHAnsi"/>
          <w:bCs/>
        </w:rPr>
        <w:t xml:space="preserve"> </w:t>
      </w:r>
      <w:r w:rsidR="00240A5D" w:rsidRPr="0092047B">
        <w:rPr>
          <w:rFonts w:cstheme="minorHAnsi"/>
          <w:bCs/>
        </w:rPr>
        <w:t>podpory rozvoje lid</w:t>
      </w:r>
      <w:r w:rsidR="00B352F9" w:rsidRPr="0092047B">
        <w:rPr>
          <w:rFonts w:cstheme="minorHAnsi"/>
          <w:bCs/>
        </w:rPr>
        <w:t>ských zdrojů</w:t>
      </w:r>
      <w:r w:rsidR="00C97F26" w:rsidRPr="0092047B">
        <w:rPr>
          <w:rFonts w:cstheme="minorHAnsi"/>
          <w:bCs/>
        </w:rPr>
        <w:t>;</w:t>
      </w:r>
      <w:r w:rsidR="00B352F9" w:rsidRPr="0092047B">
        <w:rPr>
          <w:rFonts w:cstheme="minorHAnsi"/>
          <w:bCs/>
        </w:rPr>
        <w:t xml:space="preserve"> podpor</w:t>
      </w:r>
      <w:r w:rsidR="00B77626" w:rsidRPr="0092047B">
        <w:rPr>
          <w:rFonts w:cstheme="minorHAnsi"/>
          <w:bCs/>
        </w:rPr>
        <w:t>y</w:t>
      </w:r>
      <w:r w:rsidR="00B352F9" w:rsidRPr="0092047B">
        <w:rPr>
          <w:rFonts w:cstheme="minorHAnsi"/>
          <w:bCs/>
        </w:rPr>
        <w:t xml:space="preserve"> vzdělávání, výzkumu a vývoje</w:t>
      </w:r>
      <w:r w:rsidR="00240A5D" w:rsidRPr="0092047B">
        <w:rPr>
          <w:rFonts w:cstheme="minorHAnsi"/>
          <w:bCs/>
        </w:rPr>
        <w:t>; účinnějšího prosazování</w:t>
      </w:r>
      <w:r w:rsidR="00B352F9" w:rsidRPr="0092047B">
        <w:rPr>
          <w:rFonts w:cstheme="minorHAnsi"/>
          <w:bCs/>
        </w:rPr>
        <w:t xml:space="preserve"> strategické</w:t>
      </w:r>
      <w:r w:rsidR="00240A5D" w:rsidRPr="0092047B">
        <w:rPr>
          <w:rFonts w:cstheme="minorHAnsi"/>
          <w:bCs/>
        </w:rPr>
        <w:t>ho</w:t>
      </w:r>
      <w:r w:rsidR="00B352F9" w:rsidRPr="0092047B">
        <w:rPr>
          <w:rFonts w:cstheme="minorHAnsi"/>
          <w:bCs/>
        </w:rPr>
        <w:t xml:space="preserve"> a územní</w:t>
      </w:r>
      <w:r w:rsidR="00240A5D" w:rsidRPr="0092047B">
        <w:rPr>
          <w:rFonts w:cstheme="minorHAnsi"/>
          <w:bCs/>
        </w:rPr>
        <w:t>ho plánování</w:t>
      </w:r>
      <w:r w:rsidR="00B64355" w:rsidRPr="0092047B">
        <w:rPr>
          <w:rFonts w:cstheme="minorHAnsi"/>
          <w:bCs/>
        </w:rPr>
        <w:t xml:space="preserve"> a o </w:t>
      </w:r>
      <w:r w:rsidR="005E12AA" w:rsidRPr="0092047B">
        <w:rPr>
          <w:rFonts w:cstheme="minorHAnsi"/>
          <w:bCs/>
        </w:rPr>
        <w:t xml:space="preserve">cíl ochrany </w:t>
      </w:r>
      <w:r w:rsidR="00B352F9" w:rsidRPr="0092047B">
        <w:rPr>
          <w:rFonts w:cstheme="minorHAnsi"/>
          <w:bCs/>
        </w:rPr>
        <w:t>krajiny jako předpoklad</w:t>
      </w:r>
      <w:r w:rsidR="00240A5D" w:rsidRPr="0092047B">
        <w:rPr>
          <w:rFonts w:cstheme="minorHAnsi"/>
          <w:bCs/>
        </w:rPr>
        <w:t>u</w:t>
      </w:r>
      <w:r w:rsidR="00B352F9" w:rsidRPr="0092047B">
        <w:rPr>
          <w:rFonts w:cstheme="minorHAnsi"/>
          <w:bCs/>
        </w:rPr>
        <w:t xml:space="preserve"> pro ochranu druhové diverzity</w:t>
      </w:r>
      <w:r w:rsidR="00B77626" w:rsidRPr="0092047B">
        <w:rPr>
          <w:rFonts w:cstheme="minorHAnsi"/>
          <w:bCs/>
        </w:rPr>
        <w:t xml:space="preserve"> a ná</w:t>
      </w:r>
      <w:r w:rsidR="00742326" w:rsidRPr="0092047B">
        <w:rPr>
          <w:rFonts w:cstheme="minorHAnsi"/>
          <w:bCs/>
        </w:rPr>
        <w:t>rodních závazků v oblasti snižování emisí skleníkových plynů (cíl 4)</w:t>
      </w:r>
      <w:r w:rsidR="00B77626" w:rsidRPr="0092047B">
        <w:rPr>
          <w:rFonts w:cstheme="minorHAnsi"/>
          <w:bCs/>
        </w:rPr>
        <w:t>.</w:t>
      </w:r>
    </w:p>
    <w:p w:rsidR="00C2707A" w:rsidRPr="0092047B" w:rsidRDefault="00124B1D" w:rsidP="00184DC1">
      <w:pPr>
        <w:rPr>
          <w:rFonts w:cstheme="minorHAnsi"/>
          <w:bCs/>
        </w:rPr>
      </w:pPr>
      <w:r w:rsidRPr="0092047B">
        <w:rPr>
          <w:rFonts w:cstheme="minorHAnsi"/>
          <w:bCs/>
        </w:rPr>
        <w:t>V</w:t>
      </w:r>
      <w:r w:rsidR="004C20CD">
        <w:rPr>
          <w:rFonts w:cstheme="minorHAnsi"/>
          <w:bCs/>
        </w:rPr>
        <w:t>e</w:t>
      </w:r>
      <w:r w:rsidRPr="0092047B">
        <w:rPr>
          <w:rFonts w:cstheme="minorHAnsi"/>
          <w:bCs/>
        </w:rPr>
        <w:t> druhém kroku vycházelo zadání</w:t>
      </w:r>
      <w:r w:rsidR="002D09AD" w:rsidRPr="0092047B">
        <w:rPr>
          <w:rFonts w:cstheme="minorHAnsi"/>
          <w:bCs/>
        </w:rPr>
        <w:t xml:space="preserve"> </w:t>
      </w:r>
      <w:r w:rsidRPr="0092047B">
        <w:rPr>
          <w:rFonts w:cstheme="minorHAnsi"/>
          <w:bCs/>
        </w:rPr>
        <w:t>z konkrétních existujících oborových strategií a koncepcí</w:t>
      </w:r>
      <w:r w:rsidR="002D09AD" w:rsidRPr="0092047B">
        <w:rPr>
          <w:rFonts w:cstheme="minorHAnsi"/>
          <w:bCs/>
        </w:rPr>
        <w:t xml:space="preserve"> – </w:t>
      </w:r>
      <w:r w:rsidR="002D09AD" w:rsidRPr="0092047B">
        <w:rPr>
          <w:rFonts w:cstheme="minorHAnsi"/>
          <w:bCs/>
          <w:i/>
        </w:rPr>
        <w:t xml:space="preserve">Národní akční plán ČR pro energii z obnovitelných zdrojů na roky 2010-2020, Strategie mezinárodní </w:t>
      </w:r>
      <w:r w:rsidR="005B6D9E" w:rsidRPr="0092047B">
        <w:rPr>
          <w:rFonts w:cstheme="minorHAnsi"/>
          <w:bCs/>
          <w:i/>
        </w:rPr>
        <w:t>konkurenceschopnosti</w:t>
      </w:r>
      <w:r w:rsidR="002D09AD" w:rsidRPr="0092047B">
        <w:rPr>
          <w:rFonts w:cstheme="minorHAnsi"/>
          <w:bCs/>
          <w:i/>
        </w:rPr>
        <w:t xml:space="preserve"> ČR (2012-2020), Exportní strategie ČR (2012-2020), </w:t>
      </w:r>
      <w:r w:rsidR="00D14BFE">
        <w:rPr>
          <w:rFonts w:cstheme="minorHAnsi"/>
          <w:bCs/>
          <w:i/>
        </w:rPr>
        <w:t xml:space="preserve">Surovinová politika v oblasti nerostných surovin a jejích zdrojů, </w:t>
      </w:r>
      <w:r w:rsidR="001D50A4">
        <w:rPr>
          <w:rFonts w:cstheme="minorHAnsi"/>
          <w:bCs/>
          <w:i/>
        </w:rPr>
        <w:t>Státní politika životního prostředí ČR (2012</w:t>
      </w:r>
      <w:r w:rsidR="002D09AD" w:rsidRPr="0092047B">
        <w:rPr>
          <w:rFonts w:cstheme="minorHAnsi"/>
          <w:bCs/>
          <w:i/>
        </w:rPr>
        <w:t xml:space="preserve">-2020), Dopravní </w:t>
      </w:r>
      <w:r w:rsidR="00B77626" w:rsidRPr="0092047B">
        <w:rPr>
          <w:rFonts w:cstheme="minorHAnsi"/>
          <w:bCs/>
          <w:i/>
        </w:rPr>
        <w:t>politika</w:t>
      </w:r>
      <w:r w:rsidR="008A4DDD" w:rsidRPr="0092047B">
        <w:rPr>
          <w:rFonts w:cstheme="minorHAnsi"/>
          <w:bCs/>
          <w:i/>
        </w:rPr>
        <w:t xml:space="preserve"> ČR pro období 2014-2020 s výhledem do roku 2050</w:t>
      </w:r>
      <w:r w:rsidR="002D09AD" w:rsidRPr="0092047B">
        <w:rPr>
          <w:rFonts w:cstheme="minorHAnsi"/>
          <w:bCs/>
        </w:rPr>
        <w:t xml:space="preserve"> a </w:t>
      </w:r>
      <w:r w:rsidR="002D09AD" w:rsidRPr="0092047B">
        <w:rPr>
          <w:rFonts w:cstheme="minorHAnsi"/>
          <w:bCs/>
          <w:i/>
        </w:rPr>
        <w:t>Bezpečnostní strategie ČR (2012-2020)</w:t>
      </w:r>
      <w:r w:rsidR="008776AA" w:rsidRPr="0092047B">
        <w:rPr>
          <w:rFonts w:cstheme="minorHAnsi"/>
          <w:bCs/>
        </w:rPr>
        <w:t xml:space="preserve">, přičemž </w:t>
      </w:r>
      <w:r w:rsidR="008A4DDD" w:rsidRPr="0092047B">
        <w:rPr>
          <w:rFonts w:cstheme="minorHAnsi"/>
          <w:bCs/>
        </w:rPr>
        <w:t>j</w:t>
      </w:r>
      <w:r w:rsidR="008776AA" w:rsidRPr="0092047B">
        <w:rPr>
          <w:rFonts w:cstheme="minorHAnsi"/>
          <w:bCs/>
        </w:rPr>
        <w:t>sou současně zohledňovány i další aktuálně připravované strategické dokumenty</w:t>
      </w:r>
      <w:r w:rsidRPr="0092047B">
        <w:rPr>
          <w:rFonts w:cstheme="minorHAnsi"/>
          <w:bCs/>
        </w:rPr>
        <w:t>.</w:t>
      </w:r>
      <w:r w:rsidRPr="0092047B">
        <w:rPr>
          <w:rFonts w:cstheme="minorHAnsi"/>
          <w:bCs/>
          <w:i/>
        </w:rPr>
        <w:t xml:space="preserve"> </w:t>
      </w:r>
      <w:r w:rsidR="002D09AD" w:rsidRPr="0092047B">
        <w:rPr>
          <w:rFonts w:cstheme="minorHAnsi"/>
          <w:bCs/>
        </w:rPr>
        <w:t>Zároveň</w:t>
      </w:r>
      <w:r w:rsidR="00B77626" w:rsidRPr="0092047B">
        <w:rPr>
          <w:rFonts w:cstheme="minorHAnsi"/>
          <w:bCs/>
        </w:rPr>
        <w:t xml:space="preserve"> by</w:t>
      </w:r>
      <w:r w:rsidRPr="0092047B">
        <w:rPr>
          <w:rFonts w:cstheme="minorHAnsi"/>
          <w:bCs/>
        </w:rPr>
        <w:t xml:space="preserve"> SEK</w:t>
      </w:r>
      <w:r w:rsidR="002D09AD" w:rsidRPr="0092047B">
        <w:rPr>
          <w:rFonts w:cstheme="minorHAnsi"/>
          <w:bCs/>
        </w:rPr>
        <w:t xml:space="preserve"> měl</w:t>
      </w:r>
      <w:r w:rsidR="007A4322" w:rsidRPr="0092047B">
        <w:rPr>
          <w:rFonts w:cstheme="minorHAnsi"/>
          <w:bCs/>
        </w:rPr>
        <w:t>a</w:t>
      </w:r>
      <w:r w:rsidR="002D09AD" w:rsidRPr="0092047B">
        <w:rPr>
          <w:rFonts w:cstheme="minorHAnsi"/>
          <w:bCs/>
        </w:rPr>
        <w:t xml:space="preserve"> </w:t>
      </w:r>
      <w:r w:rsidR="00CE12AF">
        <w:rPr>
          <w:rFonts w:cstheme="minorHAnsi"/>
          <w:bCs/>
        </w:rPr>
        <w:t>být podkladem</w:t>
      </w:r>
      <w:r w:rsidR="00DC1835">
        <w:rPr>
          <w:rFonts w:cstheme="minorHAnsi"/>
          <w:bCs/>
        </w:rPr>
        <w:t xml:space="preserve"> </w:t>
      </w:r>
      <w:r w:rsidR="002D09AD" w:rsidRPr="0092047B">
        <w:rPr>
          <w:rFonts w:cstheme="minorHAnsi"/>
          <w:bCs/>
        </w:rPr>
        <w:t xml:space="preserve">pro navazující strategické dokumenty, jako jsou </w:t>
      </w:r>
      <w:r w:rsidR="002D09AD" w:rsidRPr="0092047B">
        <w:rPr>
          <w:rFonts w:cstheme="minorHAnsi"/>
          <w:bCs/>
          <w:i/>
        </w:rPr>
        <w:t>Politika územního rozvoje</w:t>
      </w:r>
      <w:r w:rsidR="002D09AD" w:rsidRPr="0092047B">
        <w:rPr>
          <w:rFonts w:cstheme="minorHAnsi"/>
          <w:bCs/>
        </w:rPr>
        <w:t xml:space="preserve"> a </w:t>
      </w:r>
      <w:r w:rsidR="002D09AD" w:rsidRPr="0092047B">
        <w:rPr>
          <w:rFonts w:cstheme="minorHAnsi"/>
          <w:bCs/>
          <w:i/>
        </w:rPr>
        <w:t>Dopravní politika</w:t>
      </w:r>
      <w:r w:rsidR="002D09AD" w:rsidRPr="0092047B">
        <w:rPr>
          <w:rFonts w:cstheme="minorHAnsi"/>
          <w:bCs/>
        </w:rPr>
        <w:t>.</w:t>
      </w:r>
    </w:p>
    <w:p w:rsidR="00C2707A" w:rsidRPr="0092047B" w:rsidRDefault="00C2707A" w:rsidP="00184DC1">
      <w:pPr>
        <w:rPr>
          <w:rFonts w:cstheme="minorHAnsi"/>
          <w:bCs/>
        </w:rPr>
      </w:pPr>
      <w:r w:rsidRPr="0092047B">
        <w:rPr>
          <w:rFonts w:cstheme="minorHAnsi"/>
          <w:bCs/>
        </w:rPr>
        <w:t xml:space="preserve">Ze </w:t>
      </w:r>
      <w:r w:rsidRPr="0092047B">
        <w:rPr>
          <w:rFonts w:cstheme="minorHAnsi"/>
          <w:bCs/>
          <w:i/>
        </w:rPr>
        <w:t>Státní politiky životního prostředí Č</w:t>
      </w:r>
      <w:r w:rsidR="001D50A4">
        <w:rPr>
          <w:rFonts w:cstheme="minorHAnsi"/>
          <w:bCs/>
          <w:i/>
        </w:rPr>
        <w:t>R</w:t>
      </w:r>
      <w:r w:rsidRPr="0092047B">
        <w:rPr>
          <w:rFonts w:cstheme="minorHAnsi"/>
          <w:bCs/>
          <w:i/>
        </w:rPr>
        <w:t xml:space="preserve"> (2012-2020)</w:t>
      </w:r>
      <w:r w:rsidRPr="0092047B">
        <w:rPr>
          <w:rFonts w:cstheme="minorHAnsi"/>
          <w:bCs/>
        </w:rPr>
        <w:t xml:space="preserve"> vyplynulo několik strategických zadání pro SEK, především s ohledem na ochranu a udržitelné využívání zdrojů, včetně ochr</w:t>
      </w:r>
      <w:r w:rsidR="00240A5D" w:rsidRPr="0092047B">
        <w:rPr>
          <w:rFonts w:cstheme="minorHAnsi"/>
          <w:bCs/>
        </w:rPr>
        <w:t xml:space="preserve">any přírodních zdrojů, ochranu </w:t>
      </w:r>
      <w:r w:rsidRPr="0092047B">
        <w:rPr>
          <w:rFonts w:cstheme="minorHAnsi"/>
          <w:bCs/>
        </w:rPr>
        <w:t xml:space="preserve">a udržitelné </w:t>
      </w:r>
      <w:r w:rsidR="00B77626" w:rsidRPr="0092047B">
        <w:rPr>
          <w:rFonts w:cstheme="minorHAnsi"/>
          <w:bCs/>
        </w:rPr>
        <w:t xml:space="preserve">využívání </w:t>
      </w:r>
      <w:r w:rsidRPr="0092047B">
        <w:rPr>
          <w:rFonts w:cstheme="minorHAnsi"/>
          <w:bCs/>
        </w:rPr>
        <w:t>půdního a horninového prostředí; ochranu klimatu a zlepšení ovzduší, snižování emisí skleníkových plynů, podpor</w:t>
      </w:r>
      <w:r w:rsidR="00BA55CA">
        <w:rPr>
          <w:rFonts w:cstheme="minorHAnsi"/>
          <w:bCs/>
        </w:rPr>
        <w:t>u</w:t>
      </w:r>
      <w:r w:rsidRPr="0092047B">
        <w:rPr>
          <w:rFonts w:cstheme="minorHAnsi"/>
          <w:bCs/>
        </w:rPr>
        <w:t xml:space="preserve"> efektivního a vůči přírodě šetrného využívání OZE a energet</w:t>
      </w:r>
      <w:r w:rsidR="00161E78" w:rsidRPr="0092047B">
        <w:rPr>
          <w:rFonts w:cstheme="minorHAnsi"/>
          <w:bCs/>
        </w:rPr>
        <w:t>ických úspor; ochranu přírody a </w:t>
      </w:r>
      <w:r w:rsidRPr="0092047B">
        <w:rPr>
          <w:rFonts w:cstheme="minorHAnsi"/>
          <w:bCs/>
        </w:rPr>
        <w:t>krajiny s posílen</w:t>
      </w:r>
      <w:r w:rsidR="00EE41D1" w:rsidRPr="0092047B">
        <w:rPr>
          <w:rFonts w:cstheme="minorHAnsi"/>
          <w:bCs/>
        </w:rPr>
        <w:t>ím ekologických funkcí krajiny.</w:t>
      </w:r>
    </w:p>
    <w:p w:rsidR="00EF573E" w:rsidRPr="0092047B" w:rsidRDefault="00EF573E" w:rsidP="00184DC1">
      <w:pPr>
        <w:rPr>
          <w:rFonts w:cstheme="minorHAnsi"/>
          <w:bCs/>
        </w:rPr>
      </w:pPr>
      <w:r w:rsidRPr="0092047B">
        <w:rPr>
          <w:rFonts w:cstheme="minorHAnsi"/>
          <w:bCs/>
        </w:rPr>
        <w:t xml:space="preserve">Schéma vzájemné provázanosti jednotlivých strategických a koncepčních materiálů </w:t>
      </w:r>
      <w:r w:rsidR="00C2707A" w:rsidRPr="0092047B">
        <w:rPr>
          <w:rFonts w:cstheme="minorHAnsi"/>
          <w:bCs/>
        </w:rPr>
        <w:t>na úrovni ČR</w:t>
      </w:r>
      <w:r w:rsidR="00CE109E">
        <w:rPr>
          <w:rStyle w:val="Znakapoznpodarou"/>
          <w:rFonts w:cstheme="minorHAnsi"/>
          <w:bCs/>
        </w:rPr>
        <w:footnoteReference w:id="4"/>
      </w:r>
      <w:r w:rsidR="00C2707A" w:rsidRPr="0092047B">
        <w:rPr>
          <w:rFonts w:cstheme="minorHAnsi"/>
          <w:bCs/>
        </w:rPr>
        <w:t xml:space="preserve"> </w:t>
      </w:r>
      <w:r w:rsidRPr="0092047B">
        <w:rPr>
          <w:rFonts w:cstheme="minorHAnsi"/>
          <w:bCs/>
        </w:rPr>
        <w:t>znázorňuje následující obrázek</w:t>
      </w:r>
      <w:r w:rsidR="00694069">
        <w:rPr>
          <w:rFonts w:cstheme="minorHAnsi"/>
          <w:bCs/>
        </w:rPr>
        <w:t>.</w:t>
      </w:r>
    </w:p>
    <w:p w:rsidR="00DE379A" w:rsidRPr="00DE379A" w:rsidRDefault="00DE379A" w:rsidP="00184DC1">
      <w:pPr>
        <w:pStyle w:val="Titulek"/>
        <w:keepNext/>
        <w:rPr>
          <w:i/>
        </w:rPr>
      </w:pPr>
      <w:bookmarkStart w:id="24" w:name="_Toc396923170"/>
      <w:r w:rsidRPr="00DE379A">
        <w:rPr>
          <w:b/>
        </w:rPr>
        <w:lastRenderedPageBreak/>
        <w:t xml:space="preserve">Obrázek č. </w:t>
      </w:r>
      <w:r w:rsidRPr="00DE379A">
        <w:rPr>
          <w:b/>
        </w:rPr>
        <w:fldChar w:fldCharType="begin"/>
      </w:r>
      <w:r w:rsidRPr="00DE379A">
        <w:rPr>
          <w:b/>
        </w:rPr>
        <w:instrText xml:space="preserve"> SEQ Obrázek_č. \* ARABIC </w:instrText>
      </w:r>
      <w:r w:rsidRPr="00DE379A">
        <w:rPr>
          <w:b/>
        </w:rPr>
        <w:fldChar w:fldCharType="separate"/>
      </w:r>
      <w:r w:rsidR="0096423F">
        <w:rPr>
          <w:b/>
          <w:noProof/>
        </w:rPr>
        <w:t>1</w:t>
      </w:r>
      <w:r w:rsidRPr="00DE379A">
        <w:rPr>
          <w:b/>
        </w:rPr>
        <w:fldChar w:fldCharType="end"/>
      </w:r>
      <w:r w:rsidRPr="00DE379A">
        <w:rPr>
          <w:b/>
        </w:rPr>
        <w:t xml:space="preserve">: </w:t>
      </w:r>
      <w:r w:rsidRPr="0001751A">
        <w:rPr>
          <w:rFonts w:cstheme="minorHAnsi"/>
          <w:bCs/>
        </w:rPr>
        <w:t>Schéma provázanosti strategických a koncepčních materiálů</w:t>
      </w:r>
      <w:bookmarkEnd w:id="24"/>
    </w:p>
    <w:p w:rsidR="00F95633" w:rsidRDefault="00F95633" w:rsidP="0065748B">
      <w:pPr>
        <w:spacing w:before="240"/>
        <w:rPr>
          <w:noProof/>
        </w:rPr>
      </w:pPr>
      <w:r w:rsidRPr="00F95633">
        <w:rPr>
          <w:noProof/>
        </w:rPr>
        <w:drawing>
          <wp:inline distT="0" distB="0" distL="0" distR="0" wp14:anchorId="2A5C3F1A" wp14:editId="2FED9061">
            <wp:extent cx="5760720" cy="7888778"/>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888778"/>
                    </a:xfrm>
                    <a:prstGeom prst="rect">
                      <a:avLst/>
                    </a:prstGeom>
                    <a:noFill/>
                    <a:ln>
                      <a:noFill/>
                    </a:ln>
                  </pic:spPr>
                </pic:pic>
              </a:graphicData>
            </a:graphic>
          </wp:inline>
        </w:drawing>
      </w:r>
    </w:p>
    <w:p w:rsidR="00C2707A" w:rsidRPr="0092047B" w:rsidRDefault="00C2707A" w:rsidP="0065748B">
      <w:pPr>
        <w:spacing w:before="240"/>
        <w:rPr>
          <w:rFonts w:cstheme="minorHAnsi"/>
          <w:bCs/>
        </w:rPr>
      </w:pPr>
      <w:r w:rsidRPr="0092047B">
        <w:rPr>
          <w:rFonts w:cstheme="minorHAnsi"/>
          <w:bCs/>
        </w:rPr>
        <w:lastRenderedPageBreak/>
        <w:t xml:space="preserve">roveň SEK respektuje již přijaté závazky ČR vůči mezinárodním organizacím a </w:t>
      </w:r>
      <w:r w:rsidR="0092047B" w:rsidRPr="0092047B">
        <w:rPr>
          <w:rFonts w:cstheme="minorHAnsi"/>
          <w:bCs/>
        </w:rPr>
        <w:t>EU (zejména</w:t>
      </w:r>
      <w:r w:rsidR="00C423BE" w:rsidRPr="0092047B">
        <w:rPr>
          <w:rFonts w:cstheme="minorHAnsi"/>
          <w:bCs/>
        </w:rPr>
        <w:t xml:space="preserve"> klimaticko</w:t>
      </w:r>
      <w:r w:rsidR="00BD35CF" w:rsidRPr="0092047B">
        <w:rPr>
          <w:rFonts w:cstheme="minorHAnsi"/>
          <w:bCs/>
        </w:rPr>
        <w:t>-</w:t>
      </w:r>
      <w:r w:rsidR="00C423BE" w:rsidRPr="0092047B">
        <w:rPr>
          <w:rFonts w:cstheme="minorHAnsi"/>
          <w:bCs/>
        </w:rPr>
        <w:t>energetické cíle EU k roku 2020</w:t>
      </w:r>
      <w:r w:rsidRPr="0092047B">
        <w:rPr>
          <w:rFonts w:cstheme="minorHAnsi"/>
          <w:bCs/>
        </w:rPr>
        <w:t>).</w:t>
      </w:r>
    </w:p>
    <w:p w:rsidR="00B465E0" w:rsidRPr="0092047B" w:rsidRDefault="00002278" w:rsidP="00184DC1">
      <w:pPr>
        <w:rPr>
          <w:rFonts w:cstheme="minorHAnsi"/>
          <w:bCs/>
        </w:rPr>
      </w:pPr>
      <w:r w:rsidRPr="0092047B">
        <w:rPr>
          <w:rFonts w:cstheme="minorHAnsi"/>
          <w:bCs/>
          <w:u w:val="single"/>
        </w:rPr>
        <w:t xml:space="preserve">Ve </w:t>
      </w:r>
      <w:r w:rsidR="000C3715" w:rsidRPr="0092047B">
        <w:rPr>
          <w:rFonts w:cstheme="minorHAnsi"/>
          <w:bCs/>
          <w:u w:val="single"/>
        </w:rPr>
        <w:t>třetí</w:t>
      </w:r>
      <w:r w:rsidRPr="0092047B">
        <w:rPr>
          <w:rFonts w:cstheme="minorHAnsi"/>
          <w:bCs/>
          <w:u w:val="single"/>
        </w:rPr>
        <w:t xml:space="preserve"> fázi</w:t>
      </w:r>
      <w:r w:rsidRPr="0092047B">
        <w:rPr>
          <w:rFonts w:cstheme="minorHAnsi"/>
          <w:bCs/>
        </w:rPr>
        <w:t xml:space="preserve"> </w:t>
      </w:r>
      <w:r w:rsidR="000C3715" w:rsidRPr="0092047B">
        <w:rPr>
          <w:rFonts w:cstheme="minorHAnsi"/>
          <w:bCs/>
        </w:rPr>
        <w:t xml:space="preserve">tvorby </w:t>
      </w:r>
      <w:r w:rsidR="003F2B2D" w:rsidRPr="0092047B">
        <w:rPr>
          <w:rFonts w:cstheme="minorHAnsi"/>
          <w:bCs/>
        </w:rPr>
        <w:t>SEK bylo provedeno</w:t>
      </w:r>
      <w:r w:rsidR="00C17BFE" w:rsidRPr="0092047B">
        <w:rPr>
          <w:rFonts w:cstheme="minorHAnsi"/>
          <w:b/>
          <w:bCs/>
        </w:rPr>
        <w:t xml:space="preserve"> energetické modelování</w:t>
      </w:r>
      <w:r w:rsidR="00E516ED" w:rsidRPr="0092047B">
        <w:rPr>
          <w:rFonts w:cstheme="minorHAnsi"/>
          <w:bCs/>
        </w:rPr>
        <w:t xml:space="preserve"> zaměřené na tvorbu </w:t>
      </w:r>
      <w:r w:rsidR="00E869B2" w:rsidRPr="0092047B">
        <w:rPr>
          <w:rFonts w:cstheme="minorHAnsi"/>
          <w:bCs/>
        </w:rPr>
        <w:t>vnitřně konzistentních scénářů možného budoucí</w:t>
      </w:r>
      <w:r w:rsidR="00BF5327" w:rsidRPr="0092047B">
        <w:rPr>
          <w:rFonts w:cstheme="minorHAnsi"/>
          <w:bCs/>
        </w:rPr>
        <w:t>h</w:t>
      </w:r>
      <w:r w:rsidR="00E869B2" w:rsidRPr="0092047B">
        <w:rPr>
          <w:rFonts w:cstheme="minorHAnsi"/>
          <w:bCs/>
        </w:rPr>
        <w:t xml:space="preserve">o vývoje české energetiky </w:t>
      </w:r>
      <w:r w:rsidR="00C17BFE" w:rsidRPr="0092047B">
        <w:rPr>
          <w:rFonts w:cstheme="minorHAnsi"/>
          <w:bCs/>
        </w:rPr>
        <w:t>s důrazem na energetické úspory, ekonomickou efektivnost a maximální ekologickou přijatelnost</w:t>
      </w:r>
      <w:r w:rsidR="000C3715" w:rsidRPr="0092047B">
        <w:rPr>
          <w:rFonts w:cstheme="minorHAnsi"/>
          <w:bCs/>
        </w:rPr>
        <w:t xml:space="preserve"> a se zohledněním vymezeného rámcového </w:t>
      </w:r>
      <w:r w:rsidR="00D119DD" w:rsidRPr="0092047B">
        <w:rPr>
          <w:rFonts w:cstheme="minorHAnsi"/>
          <w:bCs/>
        </w:rPr>
        <w:t xml:space="preserve">strategického </w:t>
      </w:r>
      <w:r w:rsidR="000C3715" w:rsidRPr="0092047B">
        <w:rPr>
          <w:rFonts w:cstheme="minorHAnsi"/>
          <w:bCs/>
        </w:rPr>
        <w:t xml:space="preserve">zadání z kapitol </w:t>
      </w:r>
      <w:r w:rsidR="00BE7FA1" w:rsidRPr="0092047B">
        <w:rPr>
          <w:rFonts w:cstheme="minorHAnsi"/>
          <w:bCs/>
        </w:rPr>
        <w:t>4</w:t>
      </w:r>
      <w:r w:rsidR="00D119DD" w:rsidRPr="0092047B">
        <w:rPr>
          <w:rFonts w:cstheme="minorHAnsi"/>
          <w:bCs/>
        </w:rPr>
        <w:t xml:space="preserve"> a 5</w:t>
      </w:r>
      <w:r w:rsidR="00C17BFE" w:rsidRPr="0092047B">
        <w:rPr>
          <w:rFonts w:cstheme="minorHAnsi"/>
          <w:bCs/>
        </w:rPr>
        <w:t>.</w:t>
      </w:r>
      <w:r w:rsidR="00D54B72" w:rsidRPr="0092047B">
        <w:rPr>
          <w:rFonts w:cstheme="minorHAnsi"/>
          <w:bCs/>
        </w:rPr>
        <w:t xml:space="preserve"> </w:t>
      </w:r>
      <w:r w:rsidR="00B465E0" w:rsidRPr="0092047B">
        <w:rPr>
          <w:rFonts w:cstheme="minorHAnsi"/>
          <w:bCs/>
        </w:rPr>
        <w:t>Modelování probíhalo na úrovni tří vzájemně provázaných modelů – postihujících sektor domácností, souhrnnou energetickou bila</w:t>
      </w:r>
      <w:r w:rsidR="00D119DD" w:rsidRPr="0092047B">
        <w:rPr>
          <w:rFonts w:cstheme="minorHAnsi"/>
          <w:bCs/>
        </w:rPr>
        <w:t xml:space="preserve">nci ČR a národní hospodářství </w:t>
      </w:r>
      <w:r w:rsidR="00B465E0" w:rsidRPr="0092047B">
        <w:rPr>
          <w:rFonts w:cstheme="minorHAnsi"/>
          <w:bCs/>
        </w:rPr>
        <w:t xml:space="preserve">v kontextu strategického zadání z kapitol </w:t>
      </w:r>
      <w:r w:rsidR="00BE7FA1" w:rsidRPr="0092047B">
        <w:rPr>
          <w:rFonts w:cstheme="minorHAnsi"/>
          <w:bCs/>
        </w:rPr>
        <w:t>4</w:t>
      </w:r>
      <w:r w:rsidR="00B465E0" w:rsidRPr="0092047B">
        <w:rPr>
          <w:rFonts w:cstheme="minorHAnsi"/>
          <w:bCs/>
        </w:rPr>
        <w:t xml:space="preserve"> </w:t>
      </w:r>
      <w:r w:rsidR="00D119DD" w:rsidRPr="0092047B">
        <w:rPr>
          <w:rFonts w:cstheme="minorHAnsi"/>
          <w:bCs/>
        </w:rPr>
        <w:t xml:space="preserve">a 5 </w:t>
      </w:r>
      <w:r w:rsidR="00B465E0" w:rsidRPr="0092047B">
        <w:rPr>
          <w:rFonts w:cstheme="minorHAnsi"/>
          <w:bCs/>
        </w:rPr>
        <w:t>při respektování základních axiomů</w:t>
      </w:r>
      <w:r w:rsidR="00D119DD" w:rsidRPr="0092047B">
        <w:rPr>
          <w:rFonts w:cstheme="minorHAnsi"/>
          <w:bCs/>
        </w:rPr>
        <w:t xml:space="preserve"> (kap. 4.2)</w:t>
      </w:r>
      <w:r w:rsidR="00B465E0" w:rsidRPr="0092047B">
        <w:rPr>
          <w:rFonts w:cstheme="minorHAnsi"/>
          <w:bCs/>
        </w:rPr>
        <w:t>, kte</w:t>
      </w:r>
      <w:r w:rsidR="00D119DD" w:rsidRPr="0092047B">
        <w:rPr>
          <w:rFonts w:cstheme="minorHAnsi"/>
          <w:bCs/>
        </w:rPr>
        <w:t>ré vymezily mantinely modelování pro jednotlivé scénáře</w:t>
      </w:r>
      <w:r w:rsidR="00B465E0" w:rsidRPr="0092047B">
        <w:rPr>
          <w:rFonts w:cstheme="minorHAnsi"/>
          <w:bCs/>
        </w:rPr>
        <w:t>. Energetický sektor  je extrémně citlivý na vývoj vnějšího prostředí (ekonomika, globální politická situace, změny legislativně regulatorního rámce v ČR a EU, pokrok v oblasti R&amp;D&amp;D, atd.). Proto bylo v rámci přípravy SEK pro vyjádření budoucího zamýšleného vývoje energetického sektoru v ČR zkoumáno spektrum možných alternativních scénářů, v nichž byly zach</w:t>
      </w:r>
      <w:r w:rsidR="00694069">
        <w:rPr>
          <w:rFonts w:cstheme="minorHAnsi"/>
          <w:bCs/>
        </w:rPr>
        <w:t>ovány základní axiomy koncepce.</w:t>
      </w:r>
    </w:p>
    <w:p w:rsidR="00B465E0" w:rsidRPr="0092047B" w:rsidRDefault="00E869B2" w:rsidP="00184DC1">
      <w:pPr>
        <w:rPr>
          <w:rFonts w:cstheme="minorHAnsi"/>
          <w:bCs/>
        </w:rPr>
      </w:pPr>
      <w:r w:rsidRPr="0092047B">
        <w:rPr>
          <w:rFonts w:cstheme="minorHAnsi"/>
        </w:rPr>
        <w:t>Tato analytická práce vedla k </w:t>
      </w:r>
      <w:r w:rsidRPr="0092047B">
        <w:rPr>
          <w:rFonts w:cstheme="minorHAnsi"/>
          <w:b/>
        </w:rPr>
        <w:t>vymezení zamýšlených koridorů</w:t>
      </w:r>
      <w:r w:rsidRPr="0092047B">
        <w:rPr>
          <w:rFonts w:cstheme="minorHAnsi"/>
        </w:rPr>
        <w:t xml:space="preserve"> pro mix primárních zdrojů energie a hrubé výroby elektrické energie</w:t>
      </w:r>
      <w:r w:rsidR="00D119DD" w:rsidRPr="0092047B">
        <w:rPr>
          <w:rFonts w:cstheme="minorHAnsi"/>
        </w:rPr>
        <w:t xml:space="preserve"> (kap. 4.2)</w:t>
      </w:r>
      <w:r w:rsidRPr="0092047B">
        <w:rPr>
          <w:rFonts w:cstheme="minorHAnsi"/>
        </w:rPr>
        <w:t xml:space="preserve">. </w:t>
      </w:r>
      <w:r w:rsidR="005612C0" w:rsidRPr="0092047B">
        <w:rPr>
          <w:rFonts w:cstheme="minorHAnsi"/>
        </w:rPr>
        <w:t xml:space="preserve">V průběhu přípravy Státní energetické koncepce byly rámcově zkoumány i extrémní scénáře, které však byly odmítnuty, protože hrubým způsobem narušují tři základní strategické cíle. Tyto extrémní scénáře tedy nejsou reálnou alternativou Státní energetické koncepce a jako takové nejsou v koridorech obsaženy. </w:t>
      </w:r>
      <w:r w:rsidR="00056B8D">
        <w:rPr>
          <w:rFonts w:cstheme="minorHAnsi"/>
          <w:bCs/>
        </w:rPr>
        <w:t>Koridory</w:t>
      </w:r>
      <w:r w:rsidR="00B465E0" w:rsidRPr="0092047B">
        <w:rPr>
          <w:rFonts w:cstheme="minorHAnsi"/>
          <w:bCs/>
        </w:rPr>
        <w:t xml:space="preserve"> jsou uvedeny </w:t>
      </w:r>
      <w:r w:rsidR="00B465E0" w:rsidRPr="0092047B">
        <w:rPr>
          <w:rFonts w:cstheme="minorHAnsi"/>
          <w:bCs/>
          <w:i/>
        </w:rPr>
        <w:t>v </w:t>
      </w:r>
      <w:r w:rsidR="00B465E0" w:rsidRPr="0092047B">
        <w:rPr>
          <w:rFonts w:cstheme="minorHAnsi"/>
          <w:bCs/>
        </w:rPr>
        <w:t xml:space="preserve">kapitole </w:t>
      </w:r>
      <w:r w:rsidR="00D119DD" w:rsidRPr="0092047B">
        <w:t>4.2</w:t>
      </w:r>
      <w:r w:rsidR="00B465E0" w:rsidRPr="0092047B">
        <w:rPr>
          <w:rFonts w:cstheme="minorHAnsi"/>
          <w:bCs/>
          <w:i/>
        </w:rPr>
        <w:t xml:space="preserve"> </w:t>
      </w:r>
      <w:r w:rsidR="00D119DD" w:rsidRPr="0092047B">
        <w:rPr>
          <w:i/>
        </w:rPr>
        <w:t>Axiomy, indikativní ukazatele a cílové hodnoty do roku 2040</w:t>
      </w:r>
      <w:r w:rsidR="00B465E0" w:rsidRPr="0092047B">
        <w:rPr>
          <w:rFonts w:cstheme="minorHAnsi"/>
          <w:bCs/>
          <w:i/>
        </w:rPr>
        <w:t>.</w:t>
      </w:r>
      <w:r w:rsidR="00B465E0" w:rsidRPr="0092047B">
        <w:rPr>
          <w:rFonts w:cstheme="minorHAnsi"/>
          <w:bCs/>
        </w:rPr>
        <w:t xml:space="preserve"> Rámec vstupních parametrů je vymezen zachováním vyváženosti tří strategických cílů koncepce energetiky - bezpečnosti, konku</w:t>
      </w:r>
      <w:r w:rsidR="00694069">
        <w:rPr>
          <w:rFonts w:cstheme="minorHAnsi"/>
          <w:bCs/>
        </w:rPr>
        <w:t>renceschopnosti, udržitelnosti.</w:t>
      </w:r>
    </w:p>
    <w:p w:rsidR="00B85FB4" w:rsidRPr="0092047B" w:rsidRDefault="00FC45A8" w:rsidP="00184DC1">
      <w:pPr>
        <w:rPr>
          <w:rFonts w:cstheme="minorHAnsi"/>
          <w:bCs/>
        </w:rPr>
      </w:pPr>
      <w:r w:rsidRPr="0092047B">
        <w:rPr>
          <w:rFonts w:cstheme="minorHAnsi"/>
        </w:rPr>
        <w:t xml:space="preserve">Tudíž jakýkoliv mix energetických zdrojů obsažený v rámci koridorů </w:t>
      </w:r>
      <w:r w:rsidR="005612C0" w:rsidRPr="0092047B">
        <w:rPr>
          <w:rFonts w:cstheme="minorHAnsi"/>
        </w:rPr>
        <w:t xml:space="preserve">primárních energetických zdrojů a hrubé výroby elektřiny (viz kap. </w:t>
      </w:r>
      <w:r w:rsidR="00D119DD" w:rsidRPr="0092047B">
        <w:rPr>
          <w:rFonts w:cstheme="minorHAnsi"/>
        </w:rPr>
        <w:t>4.2</w:t>
      </w:r>
      <w:r w:rsidR="005612C0" w:rsidRPr="0092047B">
        <w:rPr>
          <w:rFonts w:cstheme="minorHAnsi"/>
        </w:rPr>
        <w:t>)</w:t>
      </w:r>
      <w:r w:rsidR="002918DA">
        <w:rPr>
          <w:rFonts w:cstheme="minorHAnsi"/>
        </w:rPr>
        <w:t>,</w:t>
      </w:r>
      <w:r w:rsidR="005612C0" w:rsidRPr="0092047B">
        <w:rPr>
          <w:rFonts w:cstheme="minorHAnsi"/>
        </w:rPr>
        <w:t xml:space="preserve"> </w:t>
      </w:r>
      <w:r w:rsidRPr="0092047B">
        <w:rPr>
          <w:rFonts w:cstheme="minorHAnsi"/>
        </w:rPr>
        <w:t xml:space="preserve">je přijatelný na poli volného energetického trhu a vzhledem k nejistotám v oblasti vývoje technologií, energetické legislativy EU a vývoji trhu. Pokud by měl tržní vývoj české energetiky vybočit z nastavených koridorů, bylo by možné z hlediska státu při realizaci </w:t>
      </w:r>
      <w:r w:rsidR="00445AD1" w:rsidRPr="0092047B">
        <w:rPr>
          <w:rFonts w:cstheme="minorHAnsi"/>
        </w:rPr>
        <w:t>Státní</w:t>
      </w:r>
      <w:r w:rsidRPr="0092047B">
        <w:rPr>
          <w:rFonts w:cstheme="minorHAnsi"/>
        </w:rPr>
        <w:t xml:space="preserve"> energetické koncepce uvažovat o státní intervenci.</w:t>
      </w:r>
      <w:r w:rsidR="005612C0" w:rsidRPr="0092047B">
        <w:rPr>
          <w:rFonts w:cstheme="minorHAnsi"/>
        </w:rPr>
        <w:t xml:space="preserve"> </w:t>
      </w:r>
      <w:r w:rsidR="00E869B2" w:rsidRPr="0092047B">
        <w:rPr>
          <w:rFonts w:cstheme="minorHAnsi"/>
        </w:rPr>
        <w:t xml:space="preserve">Koridorové vymezení </w:t>
      </w:r>
      <w:r w:rsidR="005612C0" w:rsidRPr="0092047B">
        <w:rPr>
          <w:rFonts w:cstheme="minorHAnsi"/>
        </w:rPr>
        <w:t>Státní energetické koncepce</w:t>
      </w:r>
      <w:r w:rsidR="00E869B2" w:rsidRPr="0092047B">
        <w:rPr>
          <w:rFonts w:cstheme="minorHAnsi"/>
        </w:rPr>
        <w:t xml:space="preserve"> tak umožňuje dostatečnou flexibilitu pro reakci na dynamický vývoj </w:t>
      </w:r>
      <w:r w:rsidR="00D14BFE">
        <w:rPr>
          <w:rFonts w:cstheme="minorHAnsi"/>
        </w:rPr>
        <w:t>vnitřních a</w:t>
      </w:r>
      <w:r w:rsidR="00D14BFE" w:rsidRPr="0092047B">
        <w:rPr>
          <w:rFonts w:cstheme="minorHAnsi"/>
        </w:rPr>
        <w:t xml:space="preserve"> </w:t>
      </w:r>
      <w:r w:rsidR="00E869B2" w:rsidRPr="0092047B">
        <w:rPr>
          <w:rFonts w:cstheme="minorHAnsi"/>
        </w:rPr>
        <w:t xml:space="preserve">vnějších podmínek. </w:t>
      </w:r>
      <w:r w:rsidR="00B85FB4" w:rsidRPr="0092047B">
        <w:rPr>
          <w:rFonts w:cstheme="minorHAnsi"/>
        </w:rPr>
        <w:t xml:space="preserve">Státní energetická koncepce je tedy ve výsledku předkládána jako </w:t>
      </w:r>
      <w:r w:rsidR="00445AD1">
        <w:rPr>
          <w:rFonts w:cstheme="minorHAnsi"/>
        </w:rPr>
        <w:t>jedno-</w:t>
      </w:r>
      <w:r w:rsidR="00445AD1" w:rsidRPr="0092047B">
        <w:rPr>
          <w:rFonts w:cstheme="minorHAnsi"/>
        </w:rPr>
        <w:t>variantní</w:t>
      </w:r>
      <w:r w:rsidR="00B85FB4" w:rsidRPr="0092047B">
        <w:rPr>
          <w:rFonts w:cstheme="minorHAnsi"/>
        </w:rPr>
        <w:t xml:space="preserve"> s tím, že uvažuje vyvážený mix zdrojů s přednostním využíváním domácích primárních zdrojů a udržením dovozní závislosti na přijatelné úrovni. Cílový stav podílů jednotlivých primárních energetických zdrojů a zdrojů pro výrobu elektrické energie je navržen v procentuálních koridorech s definovaným minimem a maximem pro jednotlivé</w:t>
      </w:r>
      <w:r w:rsidR="00056B8D">
        <w:rPr>
          <w:rFonts w:cstheme="minorHAnsi"/>
        </w:rPr>
        <w:t xml:space="preserve"> druhy</w:t>
      </w:r>
      <w:r w:rsidR="00B85FB4" w:rsidRPr="0092047B">
        <w:rPr>
          <w:rFonts w:cstheme="minorHAnsi"/>
        </w:rPr>
        <w:t xml:space="preserve"> PEZ a zdroj</w:t>
      </w:r>
      <w:r w:rsidR="00056B8D">
        <w:rPr>
          <w:rFonts w:cstheme="minorHAnsi"/>
        </w:rPr>
        <w:t>ů</w:t>
      </w:r>
      <w:r w:rsidR="00B85FB4" w:rsidRPr="0092047B">
        <w:rPr>
          <w:rFonts w:cstheme="minorHAnsi"/>
        </w:rPr>
        <w:t xml:space="preserve"> výroby elektrické energie. Navržené koridory vyjadřují variantnost koncepce a implicitně v sobě zahrnují nutnou dávku flexibility s ohledem na vysokou míru nejistoty.</w:t>
      </w:r>
    </w:p>
    <w:p w:rsidR="00B85FB4" w:rsidRPr="0092047B" w:rsidRDefault="00FC45A8" w:rsidP="00184DC1">
      <w:pPr>
        <w:rPr>
          <w:rFonts w:cstheme="minorHAnsi"/>
          <w:bCs/>
          <w:i/>
        </w:rPr>
      </w:pPr>
      <w:r w:rsidRPr="0092047B">
        <w:rPr>
          <w:rFonts w:cstheme="minorHAnsi"/>
        </w:rPr>
        <w:t xml:space="preserve">V rámci modelování byl dále vymezen tzv. </w:t>
      </w:r>
      <w:r w:rsidR="00D119DD" w:rsidRPr="0092047B">
        <w:rPr>
          <w:rFonts w:cstheme="minorHAnsi"/>
        </w:rPr>
        <w:t>optimalizovaný scénář</w:t>
      </w:r>
      <w:r w:rsidR="00E869B2" w:rsidRPr="0092047B">
        <w:rPr>
          <w:rFonts w:cstheme="minorHAnsi"/>
        </w:rPr>
        <w:t xml:space="preserve">, který nejlépe odpovídá vyváženému naplňování trojice strategických cílů i strategických záměrů státu pro jednotlivé dílčí oblasti ASEK. </w:t>
      </w:r>
      <w:r w:rsidR="005612C0" w:rsidRPr="0092047B">
        <w:rPr>
          <w:rFonts w:cstheme="minorHAnsi"/>
          <w:bCs/>
        </w:rPr>
        <w:t>Optimalizovaný scénář</w:t>
      </w:r>
      <w:r w:rsidR="00B465E0" w:rsidRPr="0092047B">
        <w:rPr>
          <w:rFonts w:cstheme="minorHAnsi"/>
          <w:bCs/>
        </w:rPr>
        <w:t xml:space="preserve"> </w:t>
      </w:r>
      <w:r w:rsidR="005612C0" w:rsidRPr="0092047B">
        <w:rPr>
          <w:rFonts w:cstheme="minorHAnsi"/>
          <w:bCs/>
        </w:rPr>
        <w:t xml:space="preserve">je tak vymezen zajištěním spolehlivých, bezpečných a k životnímu prostředí šetrných dodávek energie pro potřeby obyvatelstva a ekonomiky ČR, za konkurenceschopné a přijatelné ceny za standardních podmínek, a to vyváženým mixem zdrojů s přednostním využíváním domácích primárních zdrojů a udržením dovozní závislosti </w:t>
      </w:r>
      <w:r w:rsidR="005612C0" w:rsidRPr="0092047B">
        <w:rPr>
          <w:rFonts w:cstheme="minorHAnsi"/>
          <w:bCs/>
        </w:rPr>
        <w:lastRenderedPageBreak/>
        <w:t>na přijatelné úrovni. Vychází z přesně kvantifikovaných vstupních předpokladů a vyrovnaného naplňování trojice vrcholových strategických cílů</w:t>
      </w:r>
      <w:r w:rsidR="00B465E0" w:rsidRPr="0092047B">
        <w:rPr>
          <w:rFonts w:cstheme="minorHAnsi"/>
          <w:bCs/>
        </w:rPr>
        <w:t xml:space="preserve"> při </w:t>
      </w:r>
      <w:r w:rsidR="00445AD1" w:rsidRPr="0092047B">
        <w:rPr>
          <w:rFonts w:cstheme="minorHAnsi"/>
          <w:bCs/>
        </w:rPr>
        <w:t>předpokládaném</w:t>
      </w:r>
      <w:r w:rsidR="00B465E0" w:rsidRPr="0092047B">
        <w:rPr>
          <w:rFonts w:cstheme="minorHAnsi"/>
          <w:bCs/>
        </w:rPr>
        <w:t xml:space="preserve"> rozvoji jednotlivých energetických technologií (včetně vývoje jejich nákladů) a směřování domácí i e</w:t>
      </w:r>
      <w:r w:rsidR="00056B8D">
        <w:rPr>
          <w:rFonts w:cstheme="minorHAnsi"/>
          <w:bCs/>
        </w:rPr>
        <w:t>vropské klimaticko-energetické a</w:t>
      </w:r>
      <w:r w:rsidR="00B465E0" w:rsidRPr="0092047B">
        <w:rPr>
          <w:rFonts w:cstheme="minorHAnsi"/>
          <w:bCs/>
        </w:rPr>
        <w:t xml:space="preserve"> průmyslové politiky</w:t>
      </w:r>
      <w:r w:rsidR="005612C0" w:rsidRPr="0092047B">
        <w:rPr>
          <w:rFonts w:cstheme="minorHAnsi"/>
          <w:bCs/>
        </w:rPr>
        <w:t xml:space="preserve">. Zároveň se předpokládá realizace všech dílčích strategických cílů a opatření avizovaných v tomto dokumentu. </w:t>
      </w:r>
      <w:r w:rsidR="00B465E0" w:rsidRPr="0092047B">
        <w:rPr>
          <w:rFonts w:cstheme="minorHAnsi"/>
          <w:bCs/>
        </w:rPr>
        <w:t xml:space="preserve">Nicméně, jedná se pouze o ilustrativní scénář, jak by se za takovéto kombinace vstupních předpokladů měla ideálním (zamýšleným) </w:t>
      </w:r>
      <w:r w:rsidR="00445AD1" w:rsidRPr="0092047B">
        <w:rPr>
          <w:rFonts w:cstheme="minorHAnsi"/>
          <w:bCs/>
        </w:rPr>
        <w:t>směrem</w:t>
      </w:r>
      <w:r w:rsidR="00B465E0" w:rsidRPr="0092047B">
        <w:rPr>
          <w:rFonts w:cstheme="minorHAnsi"/>
          <w:bCs/>
        </w:rPr>
        <w:t xml:space="preserve"> česká energetika vyvíjet.</w:t>
      </w:r>
      <w:r w:rsidR="00B465E0" w:rsidRPr="0092047B">
        <w:rPr>
          <w:rFonts w:cstheme="minorHAnsi"/>
        </w:rPr>
        <w:t xml:space="preserve"> </w:t>
      </w:r>
      <w:r w:rsidR="003B26E2" w:rsidRPr="0092047B">
        <w:rPr>
          <w:rFonts w:cstheme="minorHAnsi"/>
          <w:bCs/>
        </w:rPr>
        <w:t>Optimalizovan</w:t>
      </w:r>
      <w:r w:rsidR="001E7B9D" w:rsidRPr="0092047B">
        <w:rPr>
          <w:rFonts w:cstheme="minorHAnsi"/>
          <w:bCs/>
        </w:rPr>
        <w:t>ý</w:t>
      </w:r>
      <w:r w:rsidR="003B26E2" w:rsidRPr="0092047B">
        <w:rPr>
          <w:rFonts w:cstheme="minorHAnsi"/>
          <w:bCs/>
        </w:rPr>
        <w:t xml:space="preserve"> </w:t>
      </w:r>
      <w:r w:rsidR="001E7B9D" w:rsidRPr="0092047B">
        <w:rPr>
          <w:rFonts w:cstheme="minorHAnsi"/>
          <w:bCs/>
        </w:rPr>
        <w:t xml:space="preserve">scénář </w:t>
      </w:r>
      <w:r w:rsidR="003B26E2" w:rsidRPr="0092047B">
        <w:rPr>
          <w:rFonts w:cstheme="minorHAnsi"/>
          <w:bCs/>
        </w:rPr>
        <w:t>vývoje české energetiky</w:t>
      </w:r>
      <w:r w:rsidR="005E5C5B" w:rsidRPr="0092047B">
        <w:rPr>
          <w:rFonts w:cstheme="minorHAnsi"/>
          <w:bCs/>
        </w:rPr>
        <w:t>,</w:t>
      </w:r>
      <w:r w:rsidR="003B26E2" w:rsidRPr="0092047B">
        <w:rPr>
          <w:rFonts w:cstheme="minorHAnsi"/>
          <w:bCs/>
        </w:rPr>
        <w:t xml:space="preserve"> včetně </w:t>
      </w:r>
      <w:r w:rsidR="00056B8D">
        <w:rPr>
          <w:rFonts w:cstheme="minorHAnsi"/>
          <w:bCs/>
        </w:rPr>
        <w:t xml:space="preserve">svých </w:t>
      </w:r>
      <w:r w:rsidR="00D119DD" w:rsidRPr="0092047B">
        <w:rPr>
          <w:rFonts w:cstheme="minorHAnsi"/>
          <w:bCs/>
        </w:rPr>
        <w:t xml:space="preserve">jednotlivých vstupních předpokladů a </w:t>
      </w:r>
      <w:r w:rsidR="003B26E2" w:rsidRPr="0092047B">
        <w:rPr>
          <w:rFonts w:cstheme="minorHAnsi"/>
          <w:bCs/>
        </w:rPr>
        <w:t>klíčových ukazatelů</w:t>
      </w:r>
      <w:r w:rsidR="005E5C5B" w:rsidRPr="0092047B">
        <w:rPr>
          <w:rFonts w:cstheme="minorHAnsi"/>
          <w:bCs/>
        </w:rPr>
        <w:t>,</w:t>
      </w:r>
      <w:r w:rsidR="003B26E2" w:rsidRPr="0092047B">
        <w:rPr>
          <w:rFonts w:cstheme="minorHAnsi"/>
          <w:bCs/>
        </w:rPr>
        <w:t xml:space="preserve"> je </w:t>
      </w:r>
      <w:r w:rsidR="00056B8D">
        <w:rPr>
          <w:rFonts w:cstheme="minorHAnsi"/>
          <w:bCs/>
        </w:rPr>
        <w:t>obsažen v</w:t>
      </w:r>
      <w:r w:rsidR="00BB5555" w:rsidRPr="0092047B">
        <w:rPr>
          <w:rFonts w:cstheme="minorHAnsi"/>
          <w:bCs/>
        </w:rPr>
        <w:t xml:space="preserve"> kapitol</w:t>
      </w:r>
      <w:r w:rsidR="00056B8D">
        <w:rPr>
          <w:rFonts w:cstheme="minorHAnsi"/>
          <w:bCs/>
        </w:rPr>
        <w:t>e</w:t>
      </w:r>
      <w:r w:rsidR="00BB5555" w:rsidRPr="0092047B">
        <w:rPr>
          <w:rFonts w:cstheme="minorHAnsi"/>
          <w:bCs/>
        </w:rPr>
        <w:t xml:space="preserve"> </w:t>
      </w:r>
      <w:r w:rsidR="00D119DD" w:rsidRPr="0092047B">
        <w:rPr>
          <w:rFonts w:cstheme="minorHAnsi"/>
          <w:bCs/>
        </w:rPr>
        <w:t>7</w:t>
      </w:r>
      <w:r w:rsidR="00BB5555" w:rsidRPr="0092047B">
        <w:rPr>
          <w:rFonts w:cstheme="minorHAnsi"/>
          <w:bCs/>
        </w:rPr>
        <w:t>.</w:t>
      </w:r>
    </w:p>
    <w:p w:rsidR="00007E53" w:rsidRDefault="00E17B7F" w:rsidP="00184DC1">
      <w:pPr>
        <w:rPr>
          <w:rFonts w:cstheme="minorHAnsi"/>
          <w:bCs/>
        </w:rPr>
      </w:pPr>
      <w:r w:rsidRPr="0092047B">
        <w:rPr>
          <w:rFonts w:cstheme="minorHAnsi"/>
          <w:bCs/>
        </w:rPr>
        <w:t xml:space="preserve">A </w:t>
      </w:r>
      <w:r w:rsidR="000B4F24" w:rsidRPr="0092047B">
        <w:rPr>
          <w:rFonts w:cstheme="minorHAnsi"/>
          <w:bCs/>
        </w:rPr>
        <w:t xml:space="preserve">v </w:t>
      </w:r>
      <w:r w:rsidRPr="0092047B">
        <w:rPr>
          <w:rFonts w:cstheme="minorHAnsi"/>
          <w:bCs/>
        </w:rPr>
        <w:t xml:space="preserve">poslední – </w:t>
      </w:r>
      <w:r w:rsidR="00D119DD" w:rsidRPr="0092047B">
        <w:rPr>
          <w:rFonts w:cstheme="minorHAnsi"/>
          <w:bCs/>
          <w:u w:val="single"/>
        </w:rPr>
        <w:t>čtvrté</w:t>
      </w:r>
      <w:r w:rsidR="00804310" w:rsidRPr="0092047B">
        <w:rPr>
          <w:rFonts w:cstheme="minorHAnsi"/>
          <w:bCs/>
          <w:u w:val="single"/>
        </w:rPr>
        <w:t xml:space="preserve"> – fázi</w:t>
      </w:r>
      <w:r w:rsidRPr="0092047B">
        <w:rPr>
          <w:rFonts w:cstheme="minorHAnsi"/>
          <w:bCs/>
        </w:rPr>
        <w:t xml:space="preserve"> byl </w:t>
      </w:r>
      <w:r w:rsidR="00D762C7" w:rsidRPr="0092047B">
        <w:rPr>
          <w:rFonts w:cstheme="minorHAnsi"/>
          <w:bCs/>
        </w:rPr>
        <w:t>defin</w:t>
      </w:r>
      <w:r w:rsidRPr="0092047B">
        <w:rPr>
          <w:rFonts w:cstheme="minorHAnsi"/>
          <w:bCs/>
        </w:rPr>
        <w:t>ován</w:t>
      </w:r>
      <w:r w:rsidR="00D762C7" w:rsidRPr="0092047B">
        <w:rPr>
          <w:rFonts w:cstheme="minorHAnsi"/>
          <w:b/>
          <w:bCs/>
        </w:rPr>
        <w:t xml:space="preserve"> </w:t>
      </w:r>
      <w:r w:rsidRPr="0092047B">
        <w:rPr>
          <w:rFonts w:cstheme="minorHAnsi"/>
          <w:b/>
          <w:bCs/>
        </w:rPr>
        <w:t xml:space="preserve">postup a </w:t>
      </w:r>
      <w:r w:rsidR="002918DA" w:rsidRPr="002918DA">
        <w:rPr>
          <w:rFonts w:cstheme="minorHAnsi"/>
          <w:bCs/>
        </w:rPr>
        <w:t xml:space="preserve">byly </w:t>
      </w:r>
      <w:r w:rsidRPr="0092047B">
        <w:rPr>
          <w:rFonts w:cstheme="minorHAnsi"/>
          <w:bCs/>
        </w:rPr>
        <w:t xml:space="preserve">vymezeny </w:t>
      </w:r>
      <w:r w:rsidRPr="0092047B">
        <w:rPr>
          <w:rFonts w:cstheme="minorHAnsi"/>
          <w:b/>
          <w:bCs/>
        </w:rPr>
        <w:t xml:space="preserve">nástroje pro </w:t>
      </w:r>
      <w:r w:rsidR="00C91B3B" w:rsidRPr="0092047B">
        <w:rPr>
          <w:rFonts w:cstheme="minorHAnsi"/>
          <w:b/>
          <w:bCs/>
        </w:rPr>
        <w:t>realiz</w:t>
      </w:r>
      <w:r w:rsidR="00D119DD" w:rsidRPr="0092047B">
        <w:rPr>
          <w:rFonts w:cstheme="minorHAnsi"/>
          <w:b/>
          <w:bCs/>
        </w:rPr>
        <w:t>aci Státní energetické koncepce</w:t>
      </w:r>
      <w:r w:rsidR="00C91B3B" w:rsidRPr="0092047B">
        <w:rPr>
          <w:rFonts w:cstheme="minorHAnsi"/>
          <w:b/>
          <w:bCs/>
        </w:rPr>
        <w:t xml:space="preserve"> </w:t>
      </w:r>
      <w:r w:rsidR="00C91B3B" w:rsidRPr="0092047B">
        <w:rPr>
          <w:rFonts w:cstheme="minorHAnsi"/>
          <w:bCs/>
        </w:rPr>
        <w:t>(</w:t>
      </w:r>
      <w:r w:rsidR="00D119DD" w:rsidRPr="0092047B">
        <w:rPr>
          <w:rFonts w:cstheme="minorHAnsi"/>
          <w:bCs/>
        </w:rPr>
        <w:t xml:space="preserve">viz </w:t>
      </w:r>
      <w:r w:rsidR="00C91B3B" w:rsidRPr="0092047B">
        <w:rPr>
          <w:rFonts w:cstheme="minorHAnsi"/>
          <w:bCs/>
        </w:rPr>
        <w:t xml:space="preserve">kapitola </w:t>
      </w:r>
      <w:r w:rsidR="00D119DD" w:rsidRPr="0092047B">
        <w:rPr>
          <w:rFonts w:cstheme="minorHAnsi"/>
          <w:bCs/>
        </w:rPr>
        <w:t>6</w:t>
      </w:r>
      <w:r w:rsidR="00EE41D1" w:rsidRPr="0092047B">
        <w:rPr>
          <w:rFonts w:cstheme="minorHAnsi"/>
          <w:bCs/>
        </w:rPr>
        <w:t>)</w:t>
      </w:r>
      <w:r w:rsidR="00D119DD" w:rsidRPr="0092047B">
        <w:rPr>
          <w:rFonts w:cstheme="minorHAnsi"/>
          <w:bCs/>
        </w:rPr>
        <w:t>.</w:t>
      </w:r>
    </w:p>
    <w:p w:rsidR="00007E53" w:rsidRDefault="00007E53" w:rsidP="00184DC1">
      <w:pPr>
        <w:spacing w:after="0"/>
        <w:jc w:val="left"/>
        <w:rPr>
          <w:rFonts w:cstheme="minorHAnsi"/>
          <w:bCs/>
        </w:rPr>
      </w:pPr>
      <w:r>
        <w:rPr>
          <w:rFonts w:cstheme="minorHAnsi"/>
          <w:bCs/>
        </w:rPr>
        <w:br w:type="page"/>
      </w:r>
    </w:p>
    <w:p w:rsidR="006E3CE4" w:rsidRPr="0092047B" w:rsidRDefault="005A6CB5" w:rsidP="00184DC1">
      <w:pPr>
        <w:pStyle w:val="Nadpis1"/>
      </w:pPr>
      <w:bookmarkStart w:id="25" w:name="_Toc361122450"/>
      <w:bookmarkStart w:id="26" w:name="_Toc361123539"/>
      <w:bookmarkStart w:id="27" w:name="_Toc361123665"/>
      <w:bookmarkStart w:id="28" w:name="_Toc361123981"/>
      <w:bookmarkStart w:id="29" w:name="_Toc361124082"/>
      <w:bookmarkStart w:id="30" w:name="_Toc361124199"/>
      <w:bookmarkStart w:id="31" w:name="_Toc361124305"/>
      <w:bookmarkStart w:id="32" w:name="_Toc361124439"/>
      <w:bookmarkStart w:id="33" w:name="_Toc361125703"/>
      <w:bookmarkStart w:id="34" w:name="_Toc361126085"/>
      <w:bookmarkStart w:id="35" w:name="_Toc361126356"/>
      <w:bookmarkStart w:id="36" w:name="_Toc361126707"/>
      <w:bookmarkStart w:id="37" w:name="_Toc361127171"/>
      <w:bookmarkStart w:id="38" w:name="_Toc361127293"/>
      <w:bookmarkStart w:id="39" w:name="_Toc361127345"/>
      <w:bookmarkStart w:id="40" w:name="_Toc361127463"/>
      <w:bookmarkStart w:id="41" w:name="_Toc361127609"/>
      <w:bookmarkStart w:id="42" w:name="_Toc361127665"/>
      <w:bookmarkStart w:id="43" w:name="_Toc361127943"/>
      <w:bookmarkStart w:id="44" w:name="_Toc361135252"/>
      <w:bookmarkStart w:id="45" w:name="_Toc361135301"/>
      <w:bookmarkStart w:id="46" w:name="_Toc361135355"/>
      <w:bookmarkStart w:id="47" w:name="_Toc361135627"/>
      <w:bookmarkStart w:id="48" w:name="_Toc361135672"/>
      <w:bookmarkStart w:id="49" w:name="_Toc361135886"/>
      <w:bookmarkStart w:id="50" w:name="_Toc361135932"/>
      <w:bookmarkStart w:id="51" w:name="_Toc361135979"/>
      <w:bookmarkStart w:id="52" w:name="_Toc361136145"/>
      <w:bookmarkStart w:id="53" w:name="_Toc361136196"/>
      <w:bookmarkStart w:id="54" w:name="_Toc361136244"/>
      <w:bookmarkStart w:id="55" w:name="_Toc361136386"/>
      <w:bookmarkStart w:id="56" w:name="_Toc361136510"/>
      <w:bookmarkStart w:id="57" w:name="_Toc361136644"/>
      <w:bookmarkStart w:id="58" w:name="_Toc361137042"/>
      <w:bookmarkStart w:id="59" w:name="_Toc361122451"/>
      <w:bookmarkStart w:id="60" w:name="_Toc361123540"/>
      <w:bookmarkStart w:id="61" w:name="_Toc361123666"/>
      <w:bookmarkStart w:id="62" w:name="_Toc361123982"/>
      <w:bookmarkStart w:id="63" w:name="_Toc361124083"/>
      <w:bookmarkStart w:id="64" w:name="_Toc361124200"/>
      <w:bookmarkStart w:id="65" w:name="_Toc361124306"/>
      <w:bookmarkStart w:id="66" w:name="_Toc361124440"/>
      <w:bookmarkStart w:id="67" w:name="_Toc361125704"/>
      <w:bookmarkStart w:id="68" w:name="_Toc361126086"/>
      <w:bookmarkStart w:id="69" w:name="_Toc361126357"/>
      <w:bookmarkStart w:id="70" w:name="_Toc361126708"/>
      <w:bookmarkStart w:id="71" w:name="_Toc361127172"/>
      <w:bookmarkStart w:id="72" w:name="_Toc361127294"/>
      <w:bookmarkStart w:id="73" w:name="_Toc361127346"/>
      <w:bookmarkStart w:id="74" w:name="_Toc361127464"/>
      <w:bookmarkStart w:id="75" w:name="_Toc361127610"/>
      <w:bookmarkStart w:id="76" w:name="_Toc361127666"/>
      <w:bookmarkStart w:id="77" w:name="_Toc361127944"/>
      <w:bookmarkStart w:id="78" w:name="_Toc361135253"/>
      <w:bookmarkStart w:id="79" w:name="_Toc361135302"/>
      <w:bookmarkStart w:id="80" w:name="_Toc361135356"/>
      <w:bookmarkStart w:id="81" w:name="_Toc361135628"/>
      <w:bookmarkStart w:id="82" w:name="_Toc361135673"/>
      <w:bookmarkStart w:id="83" w:name="_Toc361135887"/>
      <w:bookmarkStart w:id="84" w:name="_Toc361135933"/>
      <w:bookmarkStart w:id="85" w:name="_Toc361135980"/>
      <w:bookmarkStart w:id="86" w:name="_Toc361136146"/>
      <w:bookmarkStart w:id="87" w:name="_Toc361136197"/>
      <w:bookmarkStart w:id="88" w:name="_Toc361136245"/>
      <w:bookmarkStart w:id="89" w:name="_Toc361136387"/>
      <w:bookmarkStart w:id="90" w:name="_Toc361136511"/>
      <w:bookmarkStart w:id="91" w:name="_Toc361136645"/>
      <w:bookmarkStart w:id="92" w:name="_Toc361137043"/>
      <w:bookmarkStart w:id="93" w:name="_Toc361122452"/>
      <w:bookmarkStart w:id="94" w:name="_Toc361123541"/>
      <w:bookmarkStart w:id="95" w:name="_Toc361123667"/>
      <w:bookmarkStart w:id="96" w:name="_Toc361123983"/>
      <w:bookmarkStart w:id="97" w:name="_Toc361124084"/>
      <w:bookmarkStart w:id="98" w:name="_Toc361124201"/>
      <w:bookmarkStart w:id="99" w:name="_Toc361124307"/>
      <w:bookmarkStart w:id="100" w:name="_Toc361124441"/>
      <w:bookmarkStart w:id="101" w:name="_Toc361125705"/>
      <w:bookmarkStart w:id="102" w:name="_Toc361126087"/>
      <w:bookmarkStart w:id="103" w:name="_Toc361126358"/>
      <w:bookmarkStart w:id="104" w:name="_Toc361126709"/>
      <w:bookmarkStart w:id="105" w:name="_Toc361127173"/>
      <w:bookmarkStart w:id="106" w:name="_Toc361127295"/>
      <w:bookmarkStart w:id="107" w:name="_Toc361127347"/>
      <w:bookmarkStart w:id="108" w:name="_Toc361127465"/>
      <w:bookmarkStart w:id="109" w:name="_Toc361127611"/>
      <w:bookmarkStart w:id="110" w:name="_Toc361127667"/>
      <w:bookmarkStart w:id="111" w:name="_Toc361127945"/>
      <w:bookmarkStart w:id="112" w:name="_Toc361135254"/>
      <w:bookmarkStart w:id="113" w:name="_Toc361135303"/>
      <w:bookmarkStart w:id="114" w:name="_Toc361135357"/>
      <w:bookmarkStart w:id="115" w:name="_Toc361135629"/>
      <w:bookmarkStart w:id="116" w:name="_Toc361135674"/>
      <w:bookmarkStart w:id="117" w:name="_Toc361135888"/>
      <w:bookmarkStart w:id="118" w:name="_Toc361135934"/>
      <w:bookmarkStart w:id="119" w:name="_Toc361135981"/>
      <w:bookmarkStart w:id="120" w:name="_Toc361136147"/>
      <w:bookmarkStart w:id="121" w:name="_Toc361136198"/>
      <w:bookmarkStart w:id="122" w:name="_Toc361136246"/>
      <w:bookmarkStart w:id="123" w:name="_Toc361136388"/>
      <w:bookmarkStart w:id="124" w:name="_Toc361136512"/>
      <w:bookmarkStart w:id="125" w:name="_Toc361136646"/>
      <w:bookmarkStart w:id="126" w:name="_Toc361137044"/>
      <w:bookmarkStart w:id="127" w:name="_Toc361122453"/>
      <w:bookmarkStart w:id="128" w:name="_Toc361123542"/>
      <w:bookmarkStart w:id="129" w:name="_Toc361123668"/>
      <w:bookmarkStart w:id="130" w:name="_Toc361123984"/>
      <w:bookmarkStart w:id="131" w:name="_Toc361124085"/>
      <w:bookmarkStart w:id="132" w:name="_Toc361124202"/>
      <w:bookmarkStart w:id="133" w:name="_Toc361124308"/>
      <w:bookmarkStart w:id="134" w:name="_Toc361124442"/>
      <w:bookmarkStart w:id="135" w:name="_Toc361125706"/>
      <w:bookmarkStart w:id="136" w:name="_Toc361126088"/>
      <w:bookmarkStart w:id="137" w:name="_Toc361126359"/>
      <w:bookmarkStart w:id="138" w:name="_Toc361126710"/>
      <w:bookmarkStart w:id="139" w:name="_Toc361127174"/>
      <w:bookmarkStart w:id="140" w:name="_Toc361127296"/>
      <w:bookmarkStart w:id="141" w:name="_Toc361127348"/>
      <w:bookmarkStart w:id="142" w:name="_Toc361127466"/>
      <w:bookmarkStart w:id="143" w:name="_Toc361127612"/>
      <w:bookmarkStart w:id="144" w:name="_Toc361127668"/>
      <w:bookmarkStart w:id="145" w:name="_Toc361127946"/>
      <w:bookmarkStart w:id="146" w:name="_Toc361135255"/>
      <w:bookmarkStart w:id="147" w:name="_Toc361135304"/>
      <w:bookmarkStart w:id="148" w:name="_Toc361135358"/>
      <w:bookmarkStart w:id="149" w:name="_Toc361135630"/>
      <w:bookmarkStart w:id="150" w:name="_Toc361135675"/>
      <w:bookmarkStart w:id="151" w:name="_Toc361135889"/>
      <w:bookmarkStart w:id="152" w:name="_Toc361135935"/>
      <w:bookmarkStart w:id="153" w:name="_Toc361135982"/>
      <w:bookmarkStart w:id="154" w:name="_Toc361136148"/>
      <w:bookmarkStart w:id="155" w:name="_Toc361136199"/>
      <w:bookmarkStart w:id="156" w:name="_Toc361136247"/>
      <w:bookmarkStart w:id="157" w:name="_Toc361136389"/>
      <w:bookmarkStart w:id="158" w:name="_Toc361136513"/>
      <w:bookmarkStart w:id="159" w:name="_Toc361136647"/>
      <w:bookmarkStart w:id="160" w:name="_Toc361137045"/>
      <w:bookmarkStart w:id="161" w:name="_Toc361122460"/>
      <w:bookmarkStart w:id="162" w:name="_Toc361123549"/>
      <w:bookmarkStart w:id="163" w:name="_Toc361123675"/>
      <w:bookmarkStart w:id="164" w:name="_Toc361123991"/>
      <w:bookmarkStart w:id="165" w:name="_Toc361124092"/>
      <w:bookmarkStart w:id="166" w:name="_Toc361124209"/>
      <w:bookmarkStart w:id="167" w:name="_Toc361124315"/>
      <w:bookmarkStart w:id="168" w:name="_Toc361124449"/>
      <w:bookmarkStart w:id="169" w:name="_Toc361125713"/>
      <w:bookmarkStart w:id="170" w:name="_Toc361126095"/>
      <w:bookmarkStart w:id="171" w:name="_Toc361126366"/>
      <w:bookmarkStart w:id="172" w:name="_Toc361126717"/>
      <w:bookmarkStart w:id="173" w:name="_Toc361127181"/>
      <w:bookmarkStart w:id="174" w:name="_Toc361127303"/>
      <w:bookmarkStart w:id="175" w:name="_Toc361127355"/>
      <w:bookmarkStart w:id="176" w:name="_Toc361127473"/>
      <w:bookmarkStart w:id="177" w:name="_Toc361127619"/>
      <w:bookmarkStart w:id="178" w:name="_Toc361127675"/>
      <w:bookmarkStart w:id="179" w:name="_Toc361127953"/>
      <w:bookmarkStart w:id="180" w:name="_Toc361135262"/>
      <w:bookmarkStart w:id="181" w:name="_Toc361135311"/>
      <w:bookmarkStart w:id="182" w:name="_Toc361135365"/>
      <w:bookmarkStart w:id="183" w:name="_Toc361135637"/>
      <w:bookmarkStart w:id="184" w:name="_Toc361135682"/>
      <w:bookmarkStart w:id="185" w:name="_Toc361135896"/>
      <w:bookmarkStart w:id="186" w:name="_Toc361135942"/>
      <w:bookmarkStart w:id="187" w:name="_Toc361135989"/>
      <w:bookmarkStart w:id="188" w:name="_Toc361136155"/>
      <w:bookmarkStart w:id="189" w:name="_Toc361136206"/>
      <w:bookmarkStart w:id="190" w:name="_Toc361136254"/>
      <w:bookmarkStart w:id="191" w:name="_Toc361136396"/>
      <w:bookmarkStart w:id="192" w:name="_Toc361136520"/>
      <w:bookmarkStart w:id="193" w:name="_Toc361136654"/>
      <w:bookmarkStart w:id="194" w:name="_Toc361137052"/>
      <w:bookmarkStart w:id="195" w:name="_Toc361122461"/>
      <w:bookmarkStart w:id="196" w:name="_Toc361123550"/>
      <w:bookmarkStart w:id="197" w:name="_Toc361123676"/>
      <w:bookmarkStart w:id="198" w:name="_Toc361123992"/>
      <w:bookmarkStart w:id="199" w:name="_Toc361124093"/>
      <w:bookmarkStart w:id="200" w:name="_Toc361124210"/>
      <w:bookmarkStart w:id="201" w:name="_Toc361124316"/>
      <w:bookmarkStart w:id="202" w:name="_Toc361124450"/>
      <w:bookmarkStart w:id="203" w:name="_Toc361125714"/>
      <w:bookmarkStart w:id="204" w:name="_Toc361126096"/>
      <w:bookmarkStart w:id="205" w:name="_Toc361126367"/>
      <w:bookmarkStart w:id="206" w:name="_Toc361126718"/>
      <w:bookmarkStart w:id="207" w:name="_Toc361127182"/>
      <w:bookmarkStart w:id="208" w:name="_Toc361127304"/>
      <w:bookmarkStart w:id="209" w:name="_Toc361127356"/>
      <w:bookmarkStart w:id="210" w:name="_Toc361127474"/>
      <w:bookmarkStart w:id="211" w:name="_Toc361127620"/>
      <w:bookmarkStart w:id="212" w:name="_Toc361127676"/>
      <w:bookmarkStart w:id="213" w:name="_Toc361127954"/>
      <w:bookmarkStart w:id="214" w:name="_Toc361135263"/>
      <w:bookmarkStart w:id="215" w:name="_Toc361135312"/>
      <w:bookmarkStart w:id="216" w:name="_Toc361135366"/>
      <w:bookmarkStart w:id="217" w:name="_Toc361135638"/>
      <w:bookmarkStart w:id="218" w:name="_Toc361135683"/>
      <w:bookmarkStart w:id="219" w:name="_Toc361135897"/>
      <w:bookmarkStart w:id="220" w:name="_Toc361135943"/>
      <w:bookmarkStart w:id="221" w:name="_Toc361135990"/>
      <w:bookmarkStart w:id="222" w:name="_Toc361136156"/>
      <w:bookmarkStart w:id="223" w:name="_Toc361136207"/>
      <w:bookmarkStart w:id="224" w:name="_Toc361136255"/>
      <w:bookmarkStart w:id="225" w:name="_Toc361136397"/>
      <w:bookmarkStart w:id="226" w:name="_Toc361136521"/>
      <w:bookmarkStart w:id="227" w:name="_Toc361136655"/>
      <w:bookmarkStart w:id="228" w:name="_Toc361137053"/>
      <w:bookmarkStart w:id="229" w:name="_Toc361122462"/>
      <w:bookmarkStart w:id="230" w:name="_Toc361123551"/>
      <w:bookmarkStart w:id="231" w:name="_Toc361123677"/>
      <w:bookmarkStart w:id="232" w:name="_Toc361123993"/>
      <w:bookmarkStart w:id="233" w:name="_Toc361124094"/>
      <w:bookmarkStart w:id="234" w:name="_Toc361124211"/>
      <w:bookmarkStart w:id="235" w:name="_Toc361124317"/>
      <w:bookmarkStart w:id="236" w:name="_Toc361124451"/>
      <w:bookmarkStart w:id="237" w:name="_Toc361125715"/>
      <w:bookmarkStart w:id="238" w:name="_Toc361126097"/>
      <w:bookmarkStart w:id="239" w:name="_Toc361126368"/>
      <w:bookmarkStart w:id="240" w:name="_Toc361126719"/>
      <w:bookmarkStart w:id="241" w:name="_Toc361127183"/>
      <w:bookmarkStart w:id="242" w:name="_Toc361127305"/>
      <w:bookmarkStart w:id="243" w:name="_Toc361127357"/>
      <w:bookmarkStart w:id="244" w:name="_Toc361127475"/>
      <w:bookmarkStart w:id="245" w:name="_Toc361127621"/>
      <w:bookmarkStart w:id="246" w:name="_Toc361127677"/>
      <w:bookmarkStart w:id="247" w:name="_Toc361127955"/>
      <w:bookmarkStart w:id="248" w:name="_Toc361135264"/>
      <w:bookmarkStart w:id="249" w:name="_Toc361135313"/>
      <w:bookmarkStart w:id="250" w:name="_Toc361135367"/>
      <w:bookmarkStart w:id="251" w:name="_Toc361135639"/>
      <w:bookmarkStart w:id="252" w:name="_Toc361135684"/>
      <w:bookmarkStart w:id="253" w:name="_Toc361135898"/>
      <w:bookmarkStart w:id="254" w:name="_Toc361135944"/>
      <w:bookmarkStart w:id="255" w:name="_Toc361135991"/>
      <w:bookmarkStart w:id="256" w:name="_Toc361136157"/>
      <w:bookmarkStart w:id="257" w:name="_Toc361136208"/>
      <w:bookmarkStart w:id="258" w:name="_Toc361136256"/>
      <w:bookmarkStart w:id="259" w:name="_Toc361136398"/>
      <w:bookmarkStart w:id="260" w:name="_Toc361136522"/>
      <w:bookmarkStart w:id="261" w:name="_Toc361136656"/>
      <w:bookmarkStart w:id="262" w:name="_Toc361137054"/>
      <w:bookmarkStart w:id="263" w:name="_Toc361122463"/>
      <w:bookmarkStart w:id="264" w:name="_Toc361123552"/>
      <w:bookmarkStart w:id="265" w:name="_Toc361123678"/>
      <w:bookmarkStart w:id="266" w:name="_Toc361123994"/>
      <w:bookmarkStart w:id="267" w:name="_Toc361124095"/>
      <w:bookmarkStart w:id="268" w:name="_Toc361124212"/>
      <w:bookmarkStart w:id="269" w:name="_Toc361124318"/>
      <w:bookmarkStart w:id="270" w:name="_Toc361124452"/>
      <w:bookmarkStart w:id="271" w:name="_Toc361125716"/>
      <w:bookmarkStart w:id="272" w:name="_Toc361126098"/>
      <w:bookmarkStart w:id="273" w:name="_Toc361126369"/>
      <w:bookmarkStart w:id="274" w:name="_Toc361126720"/>
      <w:bookmarkStart w:id="275" w:name="_Toc361127184"/>
      <w:bookmarkStart w:id="276" w:name="_Toc361127306"/>
      <w:bookmarkStart w:id="277" w:name="_Toc361127358"/>
      <w:bookmarkStart w:id="278" w:name="_Toc361127476"/>
      <w:bookmarkStart w:id="279" w:name="_Toc361127622"/>
      <w:bookmarkStart w:id="280" w:name="_Toc361127678"/>
      <w:bookmarkStart w:id="281" w:name="_Toc361127956"/>
      <w:bookmarkStart w:id="282" w:name="_Toc361135265"/>
      <w:bookmarkStart w:id="283" w:name="_Toc361135314"/>
      <w:bookmarkStart w:id="284" w:name="_Toc361135368"/>
      <w:bookmarkStart w:id="285" w:name="_Toc361135640"/>
      <w:bookmarkStart w:id="286" w:name="_Toc361135685"/>
      <w:bookmarkStart w:id="287" w:name="_Toc361135899"/>
      <w:bookmarkStart w:id="288" w:name="_Toc361135945"/>
      <w:bookmarkStart w:id="289" w:name="_Toc361135992"/>
      <w:bookmarkStart w:id="290" w:name="_Toc361136158"/>
      <w:bookmarkStart w:id="291" w:name="_Toc361136209"/>
      <w:bookmarkStart w:id="292" w:name="_Toc361136257"/>
      <w:bookmarkStart w:id="293" w:name="_Toc361136399"/>
      <w:bookmarkStart w:id="294" w:name="_Toc361136523"/>
      <w:bookmarkStart w:id="295" w:name="_Toc361136657"/>
      <w:bookmarkStart w:id="296" w:name="_Toc361137055"/>
      <w:bookmarkStart w:id="297" w:name="_Toc361122464"/>
      <w:bookmarkStart w:id="298" w:name="_Toc361123553"/>
      <w:bookmarkStart w:id="299" w:name="_Toc361123679"/>
      <w:bookmarkStart w:id="300" w:name="_Toc361123995"/>
      <w:bookmarkStart w:id="301" w:name="_Toc361124096"/>
      <w:bookmarkStart w:id="302" w:name="_Toc361124213"/>
      <w:bookmarkStart w:id="303" w:name="_Toc361124319"/>
      <w:bookmarkStart w:id="304" w:name="_Toc361124453"/>
      <w:bookmarkStart w:id="305" w:name="_Toc361125717"/>
      <w:bookmarkStart w:id="306" w:name="_Toc361126099"/>
      <w:bookmarkStart w:id="307" w:name="_Toc361126370"/>
      <w:bookmarkStart w:id="308" w:name="_Toc361126721"/>
      <w:bookmarkStart w:id="309" w:name="_Toc361127185"/>
      <w:bookmarkStart w:id="310" w:name="_Toc361127307"/>
      <w:bookmarkStart w:id="311" w:name="_Toc361127359"/>
      <w:bookmarkStart w:id="312" w:name="_Toc361127477"/>
      <w:bookmarkStart w:id="313" w:name="_Toc361127623"/>
      <w:bookmarkStart w:id="314" w:name="_Toc361127679"/>
      <w:bookmarkStart w:id="315" w:name="_Toc361127957"/>
      <w:bookmarkStart w:id="316" w:name="_Toc361135266"/>
      <w:bookmarkStart w:id="317" w:name="_Toc361135315"/>
      <w:bookmarkStart w:id="318" w:name="_Toc361135369"/>
      <w:bookmarkStart w:id="319" w:name="_Toc361135641"/>
      <w:bookmarkStart w:id="320" w:name="_Toc361135686"/>
      <w:bookmarkStart w:id="321" w:name="_Toc361135900"/>
      <w:bookmarkStart w:id="322" w:name="_Toc361135946"/>
      <w:bookmarkStart w:id="323" w:name="_Toc361135993"/>
      <w:bookmarkStart w:id="324" w:name="_Toc361136159"/>
      <w:bookmarkStart w:id="325" w:name="_Toc361136210"/>
      <w:bookmarkStart w:id="326" w:name="_Toc361136258"/>
      <w:bookmarkStart w:id="327" w:name="_Toc361136400"/>
      <w:bookmarkStart w:id="328" w:name="_Toc361136524"/>
      <w:bookmarkStart w:id="329" w:name="_Toc361136658"/>
      <w:bookmarkStart w:id="330" w:name="_Toc361137056"/>
      <w:bookmarkStart w:id="331" w:name="_Toc361122466"/>
      <w:bookmarkStart w:id="332" w:name="_Toc361123555"/>
      <w:bookmarkStart w:id="333" w:name="_Toc361123681"/>
      <w:bookmarkStart w:id="334" w:name="_Toc361123997"/>
      <w:bookmarkStart w:id="335" w:name="_Toc361124098"/>
      <w:bookmarkStart w:id="336" w:name="_Toc361124215"/>
      <w:bookmarkStart w:id="337" w:name="_Toc361124321"/>
      <w:bookmarkStart w:id="338" w:name="_Toc361124455"/>
      <w:bookmarkStart w:id="339" w:name="_Toc361125719"/>
      <w:bookmarkStart w:id="340" w:name="_Toc361126101"/>
      <w:bookmarkStart w:id="341" w:name="_Toc361126372"/>
      <w:bookmarkStart w:id="342" w:name="_Toc361126723"/>
      <w:bookmarkStart w:id="343" w:name="_Toc361127187"/>
      <w:bookmarkStart w:id="344" w:name="_Toc361127309"/>
      <w:bookmarkStart w:id="345" w:name="_Toc361127361"/>
      <w:bookmarkStart w:id="346" w:name="_Toc361127479"/>
      <w:bookmarkStart w:id="347" w:name="_Toc361127625"/>
      <w:bookmarkStart w:id="348" w:name="_Toc361127681"/>
      <w:bookmarkStart w:id="349" w:name="_Toc361127959"/>
      <w:bookmarkStart w:id="350" w:name="_Toc361135268"/>
      <w:bookmarkStart w:id="351" w:name="_Toc361135317"/>
      <w:bookmarkStart w:id="352" w:name="_Toc361135371"/>
      <w:bookmarkStart w:id="353" w:name="_Toc361135643"/>
      <w:bookmarkStart w:id="354" w:name="_Toc361135688"/>
      <w:bookmarkStart w:id="355" w:name="_Toc361135902"/>
      <w:bookmarkStart w:id="356" w:name="_Toc361135948"/>
      <w:bookmarkStart w:id="357" w:name="_Toc361135995"/>
      <w:bookmarkStart w:id="358" w:name="_Toc361136161"/>
      <w:bookmarkStart w:id="359" w:name="_Toc361136212"/>
      <w:bookmarkStart w:id="360" w:name="_Toc361136260"/>
      <w:bookmarkStart w:id="361" w:name="_Toc361136402"/>
      <w:bookmarkStart w:id="362" w:name="_Toc361136526"/>
      <w:bookmarkStart w:id="363" w:name="_Toc361136660"/>
      <w:bookmarkStart w:id="364" w:name="_Toc361137058"/>
      <w:bookmarkStart w:id="365" w:name="_Toc333818868"/>
      <w:bookmarkStart w:id="366" w:name="_Toc361039048"/>
      <w:bookmarkStart w:id="367" w:name="_Toc39692338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2047B">
        <w:lastRenderedPageBreak/>
        <w:t>Současný stav energetiky ČR</w:t>
      </w:r>
      <w:bookmarkStart w:id="368" w:name="_Toc332879036"/>
      <w:r w:rsidR="002B4CCA" w:rsidRPr="0092047B">
        <w:t xml:space="preserve"> </w:t>
      </w:r>
      <w:r w:rsidRPr="0092047B">
        <w:t>a</w:t>
      </w:r>
      <w:r w:rsidR="00491BAB" w:rsidRPr="0092047B">
        <w:t> </w:t>
      </w:r>
      <w:r w:rsidRPr="0092047B">
        <w:t>hlavní trendy jejího vývoje v</w:t>
      </w:r>
      <w:r w:rsidR="00491BAB" w:rsidRPr="0092047B">
        <w:t> </w:t>
      </w:r>
      <w:r w:rsidRPr="0092047B">
        <w:t>následujících desetiletích</w:t>
      </w:r>
      <w:bookmarkEnd w:id="365"/>
      <w:bookmarkEnd w:id="366"/>
      <w:bookmarkEnd w:id="367"/>
      <w:bookmarkEnd w:id="368"/>
    </w:p>
    <w:p w:rsidR="000B701E" w:rsidRPr="00E16455" w:rsidRDefault="000B701E" w:rsidP="00184DC1">
      <w:pPr>
        <w:pStyle w:val="Nadpis2"/>
      </w:pPr>
      <w:bookmarkStart w:id="369" w:name="_Toc362276638"/>
      <w:bookmarkStart w:id="370" w:name="_Toc362281679"/>
      <w:bookmarkStart w:id="371" w:name="_Toc362775784"/>
      <w:bookmarkStart w:id="372" w:name="_Toc362775868"/>
      <w:bookmarkStart w:id="373" w:name="_Toc366046020"/>
      <w:bookmarkStart w:id="374" w:name="_Toc362276639"/>
      <w:bookmarkStart w:id="375" w:name="_Toc362281680"/>
      <w:bookmarkStart w:id="376" w:name="_Toc362775785"/>
      <w:bookmarkStart w:id="377" w:name="_Toc362775869"/>
      <w:bookmarkStart w:id="378" w:name="_Toc366046021"/>
      <w:bookmarkStart w:id="379" w:name="_Toc362276640"/>
      <w:bookmarkStart w:id="380" w:name="_Toc362281681"/>
      <w:bookmarkStart w:id="381" w:name="_Toc362775786"/>
      <w:bookmarkStart w:id="382" w:name="_Toc362775870"/>
      <w:bookmarkStart w:id="383" w:name="_Toc366046022"/>
      <w:bookmarkStart w:id="384" w:name="_Ref367885883"/>
      <w:bookmarkStart w:id="385" w:name="_Toc39692338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E16455">
        <w:t>Současná situace a stav tuzemské energetiky</w:t>
      </w:r>
      <w:bookmarkEnd w:id="384"/>
      <w:bookmarkEnd w:id="385"/>
    </w:p>
    <w:p w:rsidR="000B701E" w:rsidRPr="0092047B" w:rsidRDefault="000B701E" w:rsidP="00184DC1">
      <w:pPr>
        <w:rPr>
          <w:rFonts w:cstheme="minorHAnsi"/>
        </w:rPr>
      </w:pPr>
      <w:r w:rsidRPr="0092047B">
        <w:rPr>
          <w:rFonts w:cstheme="minorHAnsi"/>
        </w:rPr>
        <w:t xml:space="preserve">Tuzemská energetika prošla dlouhodobým vývojem. </w:t>
      </w:r>
      <w:r w:rsidR="00BD3E7F" w:rsidRPr="0092047B">
        <w:rPr>
          <w:rFonts w:cstheme="minorHAnsi"/>
        </w:rPr>
        <w:t xml:space="preserve">Česká republika </w:t>
      </w:r>
      <w:r w:rsidRPr="0092047B">
        <w:rPr>
          <w:rFonts w:cstheme="minorHAnsi"/>
        </w:rPr>
        <w:t xml:space="preserve">učinila za poslední léta v oblasti energetiky </w:t>
      </w:r>
      <w:r w:rsidR="00BD3E7F" w:rsidRPr="0092047B">
        <w:rPr>
          <w:rFonts w:cstheme="minorHAnsi"/>
        </w:rPr>
        <w:t>znatelný</w:t>
      </w:r>
      <w:r w:rsidRPr="0092047B">
        <w:rPr>
          <w:rFonts w:cstheme="minorHAnsi"/>
        </w:rPr>
        <w:t xml:space="preserve"> pokrok</w:t>
      </w:r>
      <w:r w:rsidR="00BD3E7F" w:rsidRPr="0092047B">
        <w:rPr>
          <w:rFonts w:cstheme="minorHAnsi"/>
        </w:rPr>
        <w:t>.</w:t>
      </w:r>
      <w:r w:rsidRPr="0092047B">
        <w:rPr>
          <w:rFonts w:cstheme="minorHAnsi"/>
        </w:rPr>
        <w:t> OECD oceňuje zejména úsilí české</w:t>
      </w:r>
      <w:r w:rsidR="00BD3E7F" w:rsidRPr="0092047B">
        <w:rPr>
          <w:rFonts w:cstheme="minorHAnsi"/>
        </w:rPr>
        <w:t>ho státu ve</w:t>
      </w:r>
      <w:r w:rsidRPr="0092047B">
        <w:rPr>
          <w:rFonts w:cstheme="minorHAnsi"/>
        </w:rPr>
        <w:t> zlepšování energetické politiky a politiky ochrany klimatu, pokrok v zajištění ropné a plynové bezpečnosti, významný posun v liberalizaci trhu s elektřinou a přínos pro rozvoj trhu s elektřinou v celém středoevropském regionu</w:t>
      </w:r>
      <w:r w:rsidR="00BD3E7F" w:rsidRPr="0092047B">
        <w:rPr>
          <w:rFonts w:cstheme="minorHAnsi"/>
        </w:rPr>
        <w:t>.</w:t>
      </w:r>
      <w:r w:rsidRPr="0092047B">
        <w:rPr>
          <w:rFonts w:cstheme="minorHAnsi"/>
        </w:rPr>
        <w:t xml:space="preserve"> </w:t>
      </w:r>
      <w:r w:rsidR="00537B84" w:rsidRPr="0092047B">
        <w:rPr>
          <w:rFonts w:cstheme="minorHAnsi"/>
        </w:rPr>
        <w:t>S</w:t>
      </w:r>
      <w:r w:rsidRPr="0092047B">
        <w:rPr>
          <w:rFonts w:cstheme="minorHAnsi"/>
        </w:rPr>
        <w:t xml:space="preserve">oučasně </w:t>
      </w:r>
      <w:r w:rsidR="00000C82" w:rsidRPr="0092047B">
        <w:rPr>
          <w:rFonts w:cstheme="minorHAnsi"/>
        </w:rPr>
        <w:t>je</w:t>
      </w:r>
      <w:r w:rsidR="00537B84" w:rsidRPr="0092047B">
        <w:rPr>
          <w:rFonts w:cstheme="minorHAnsi"/>
        </w:rPr>
        <w:t xml:space="preserve"> však ČR</w:t>
      </w:r>
      <w:r w:rsidR="00000C82" w:rsidRPr="0092047B">
        <w:rPr>
          <w:rFonts w:cstheme="minorHAnsi"/>
        </w:rPr>
        <w:t xml:space="preserve"> povinna</w:t>
      </w:r>
      <w:r w:rsidRPr="0092047B">
        <w:rPr>
          <w:rFonts w:cstheme="minorHAnsi"/>
        </w:rPr>
        <w:t xml:space="preserve"> implementovat politiky týkající se</w:t>
      </w:r>
      <w:r w:rsidR="00537B84" w:rsidRPr="0092047B">
        <w:rPr>
          <w:rFonts w:cstheme="minorHAnsi"/>
        </w:rPr>
        <w:t xml:space="preserve"> především</w:t>
      </w:r>
      <w:r w:rsidRPr="0092047B">
        <w:rPr>
          <w:rFonts w:cstheme="minorHAnsi"/>
        </w:rPr>
        <w:t xml:space="preserve"> energetické účinnosti. </w:t>
      </w:r>
      <w:r w:rsidR="00BD3E7F" w:rsidRPr="0092047B">
        <w:rPr>
          <w:rFonts w:cstheme="minorHAnsi"/>
        </w:rPr>
        <w:t>Česká p</w:t>
      </w:r>
      <w:r w:rsidRPr="0092047B">
        <w:rPr>
          <w:rFonts w:cstheme="minorHAnsi"/>
        </w:rPr>
        <w:t>řenosová soustava je silně propojena se všemi sousedními státy. Souhrnná disponibilní přenosová kapacita dosahuje v poměru k maximálnímu zatížení ČR více než 35</w:t>
      </w:r>
      <w:r w:rsidR="00EE41D1" w:rsidRPr="0092047B">
        <w:rPr>
          <w:rFonts w:cstheme="minorHAnsi"/>
        </w:rPr>
        <w:t> </w:t>
      </w:r>
      <w:r w:rsidRPr="0092047B">
        <w:rPr>
          <w:rFonts w:cstheme="minorHAnsi"/>
        </w:rPr>
        <w:t>% v exportním a 30</w:t>
      </w:r>
      <w:r w:rsidR="00EE41D1" w:rsidRPr="0092047B">
        <w:rPr>
          <w:rFonts w:cstheme="minorHAnsi"/>
        </w:rPr>
        <w:t> </w:t>
      </w:r>
      <w:r w:rsidRPr="0092047B">
        <w:rPr>
          <w:rFonts w:cstheme="minorHAnsi"/>
        </w:rPr>
        <w:t>% v importním směru, dále tranzituje narůstající výkon ve směru sever/jih</w:t>
      </w:r>
      <w:r w:rsidR="006A0B06">
        <w:rPr>
          <w:rFonts w:cstheme="minorHAnsi"/>
        </w:rPr>
        <w:t>,</w:t>
      </w:r>
      <w:r w:rsidRPr="0092047B">
        <w:rPr>
          <w:rFonts w:cstheme="minorHAnsi"/>
        </w:rPr>
        <w:t xml:space="preserve"> odpovídající až 30</w:t>
      </w:r>
      <w:r w:rsidR="00EE41D1" w:rsidRPr="0092047B">
        <w:rPr>
          <w:rFonts w:cstheme="minorHAnsi"/>
        </w:rPr>
        <w:t> </w:t>
      </w:r>
      <w:r w:rsidRPr="0092047B">
        <w:rPr>
          <w:rFonts w:cstheme="minorHAnsi"/>
        </w:rPr>
        <w:t>% maximálního zatížení</w:t>
      </w:r>
      <w:r w:rsidR="00D14BFE">
        <w:rPr>
          <w:rFonts w:cstheme="minorHAnsi"/>
        </w:rPr>
        <w:t xml:space="preserve"> ČR</w:t>
      </w:r>
      <w:r w:rsidRPr="0092047B">
        <w:rPr>
          <w:rFonts w:cstheme="minorHAnsi"/>
        </w:rPr>
        <w:t>.</w:t>
      </w:r>
    </w:p>
    <w:p w:rsidR="000B701E" w:rsidRPr="0092047B" w:rsidRDefault="000B701E" w:rsidP="00184DC1">
      <w:pPr>
        <w:rPr>
          <w:rFonts w:cstheme="minorHAnsi"/>
        </w:rPr>
      </w:pPr>
      <w:r w:rsidRPr="0092047B">
        <w:rPr>
          <w:rFonts w:cstheme="minorHAnsi"/>
        </w:rPr>
        <w:t xml:space="preserve">Pokrok </w:t>
      </w:r>
      <w:r w:rsidR="00BD3E7F" w:rsidRPr="0092047B">
        <w:rPr>
          <w:rFonts w:cstheme="minorHAnsi"/>
        </w:rPr>
        <w:t>ČR</w:t>
      </w:r>
      <w:r w:rsidRPr="0092047B">
        <w:rPr>
          <w:rFonts w:cstheme="minorHAnsi"/>
        </w:rPr>
        <w:t xml:space="preserve"> učinil</w:t>
      </w:r>
      <w:r w:rsidR="00BD3E7F" w:rsidRPr="0092047B">
        <w:rPr>
          <w:rFonts w:cstheme="minorHAnsi"/>
        </w:rPr>
        <w:t>a</w:t>
      </w:r>
      <w:r w:rsidRPr="0092047B">
        <w:rPr>
          <w:rFonts w:cstheme="minorHAnsi"/>
        </w:rPr>
        <w:t xml:space="preserve"> také v</w:t>
      </w:r>
      <w:r w:rsidR="00BD3E7F" w:rsidRPr="0092047B">
        <w:rPr>
          <w:rFonts w:cstheme="minorHAnsi"/>
        </w:rPr>
        <w:t> </w:t>
      </w:r>
      <w:r w:rsidRPr="0092047B">
        <w:rPr>
          <w:rFonts w:cstheme="minorHAnsi"/>
        </w:rPr>
        <w:t xml:space="preserve">oblasti </w:t>
      </w:r>
      <w:r w:rsidR="00BD3E7F" w:rsidRPr="0092047B">
        <w:rPr>
          <w:rFonts w:cstheme="minorHAnsi"/>
        </w:rPr>
        <w:t>zmenšování</w:t>
      </w:r>
      <w:r w:rsidRPr="0092047B">
        <w:rPr>
          <w:rFonts w:cstheme="minorHAnsi"/>
        </w:rPr>
        <w:t xml:space="preserve"> dopadů </w:t>
      </w:r>
      <w:r w:rsidR="00BD3E7F" w:rsidRPr="0092047B">
        <w:rPr>
          <w:rFonts w:cstheme="minorHAnsi"/>
        </w:rPr>
        <w:t>energetiky a průmyslové výroby</w:t>
      </w:r>
      <w:r w:rsidRPr="0092047B">
        <w:rPr>
          <w:rFonts w:cstheme="minorHAnsi"/>
        </w:rPr>
        <w:t xml:space="preserve"> na životní prostředí. Je však třeba mít na paměti, že pro životní prostředí ČR a zdraví obyvatel nejsou klíčovým ukazatelem emise CO</w:t>
      </w:r>
      <w:r w:rsidRPr="0092047B">
        <w:rPr>
          <w:vertAlign w:val="subscript"/>
        </w:rPr>
        <w:t>2</w:t>
      </w:r>
      <w:r w:rsidRPr="0092047B">
        <w:rPr>
          <w:rFonts w:cstheme="minorHAnsi"/>
        </w:rPr>
        <w:t>. Snižování emisí CO</w:t>
      </w:r>
      <w:r w:rsidRPr="0092047B">
        <w:rPr>
          <w:rFonts w:cstheme="minorHAnsi"/>
          <w:vertAlign w:val="subscript"/>
        </w:rPr>
        <w:t>2</w:t>
      </w:r>
      <w:r w:rsidRPr="0092047B">
        <w:rPr>
          <w:rFonts w:cstheme="minorHAnsi"/>
        </w:rPr>
        <w:t xml:space="preserve"> je </w:t>
      </w:r>
      <w:r w:rsidR="00822AD0" w:rsidRPr="0092047B">
        <w:rPr>
          <w:rFonts w:cstheme="minorHAnsi"/>
        </w:rPr>
        <w:t xml:space="preserve">zejména </w:t>
      </w:r>
      <w:r w:rsidRPr="0092047B">
        <w:rPr>
          <w:rFonts w:cstheme="minorHAnsi"/>
        </w:rPr>
        <w:t xml:space="preserve">politickým závazkem </w:t>
      </w:r>
      <w:r w:rsidR="00822AD0" w:rsidRPr="0092047B">
        <w:rPr>
          <w:rFonts w:cstheme="minorHAnsi"/>
        </w:rPr>
        <w:t xml:space="preserve">EU a návazně ČR </w:t>
      </w:r>
      <w:r w:rsidRPr="0092047B">
        <w:rPr>
          <w:rFonts w:cstheme="minorHAnsi"/>
        </w:rPr>
        <w:t>a neovlivňuje přímo zdraví obyvatel ČR. Tím kritickým faktorem jsou naopak lokální emise polétavého prachu, které absorbují škodlivé chemické látky a v koncentrované podobě se dostávají do organismu. Vedle nich především emise SO</w:t>
      </w:r>
      <w:r w:rsidRPr="0092047B">
        <w:rPr>
          <w:vertAlign w:val="subscript"/>
        </w:rPr>
        <w:t>2</w:t>
      </w:r>
      <w:r w:rsidRPr="0092047B">
        <w:rPr>
          <w:rFonts w:cstheme="minorHAnsi"/>
        </w:rPr>
        <w:t xml:space="preserve"> a NO</w:t>
      </w:r>
      <w:r w:rsidRPr="0092047B">
        <w:rPr>
          <w:vertAlign w:val="subscript"/>
        </w:rPr>
        <w:t>x</w:t>
      </w:r>
      <w:r w:rsidRPr="0092047B">
        <w:rPr>
          <w:rFonts w:cstheme="minorHAnsi"/>
        </w:rPr>
        <w:t xml:space="preserve">. Tyto emise zatěžují zdraví obyvatel rozhodující měrou a jsou vyvolány zejména (lokálním) </w:t>
      </w:r>
      <w:r w:rsidR="00BD3E7F" w:rsidRPr="0092047B">
        <w:rPr>
          <w:rFonts w:cstheme="minorHAnsi"/>
        </w:rPr>
        <w:t>neefektivním</w:t>
      </w:r>
      <w:r w:rsidRPr="0092047B">
        <w:rPr>
          <w:rFonts w:cstheme="minorHAnsi"/>
        </w:rPr>
        <w:t xml:space="preserve"> spalováním tuhých paliv</w:t>
      </w:r>
      <w:r w:rsidR="00BD3E7F" w:rsidRPr="0092047B">
        <w:rPr>
          <w:rFonts w:cstheme="minorHAnsi"/>
        </w:rPr>
        <w:t>,</w:t>
      </w:r>
      <w:r w:rsidRPr="0092047B">
        <w:rPr>
          <w:rFonts w:cstheme="minorHAnsi"/>
        </w:rPr>
        <w:t xml:space="preserve"> včetně části biomasy</w:t>
      </w:r>
      <w:r w:rsidR="00BD3E7F" w:rsidRPr="0092047B">
        <w:rPr>
          <w:rFonts w:cstheme="minorHAnsi"/>
        </w:rPr>
        <w:t>,</w:t>
      </w:r>
      <w:r w:rsidRPr="0092047B">
        <w:rPr>
          <w:rFonts w:cstheme="minorHAnsi"/>
        </w:rPr>
        <w:t xml:space="preserve"> a dopravou.</w:t>
      </w:r>
    </w:p>
    <w:p w:rsidR="000B701E" w:rsidRPr="0092047B" w:rsidRDefault="006A230E" w:rsidP="00184DC1">
      <w:pPr>
        <w:rPr>
          <w:rFonts w:cstheme="minorHAnsi"/>
        </w:rPr>
      </w:pPr>
      <w:r w:rsidRPr="0092047B">
        <w:rPr>
          <w:rFonts w:cstheme="minorHAnsi"/>
          <w:b/>
        </w:rPr>
        <w:t xml:space="preserve">Spotřeba primárních energetických zdrojů </w:t>
      </w:r>
      <w:r w:rsidR="006142E2" w:rsidRPr="0092047B">
        <w:rPr>
          <w:rFonts w:cstheme="minorHAnsi"/>
        </w:rPr>
        <w:t>je</w:t>
      </w:r>
      <w:r w:rsidR="000B701E" w:rsidRPr="0092047B">
        <w:rPr>
          <w:rFonts w:cstheme="minorHAnsi"/>
          <w:b/>
        </w:rPr>
        <w:t xml:space="preserve"> </w:t>
      </w:r>
      <w:r w:rsidR="000B701E" w:rsidRPr="0092047B">
        <w:rPr>
          <w:rFonts w:cstheme="minorHAnsi"/>
        </w:rPr>
        <w:t>v České republice z </w:t>
      </w:r>
      <w:r w:rsidR="00275539" w:rsidRPr="0092047B">
        <w:rPr>
          <w:rFonts w:cstheme="minorHAnsi"/>
        </w:rPr>
        <w:t>téměř</w:t>
      </w:r>
      <w:r w:rsidR="000B701E" w:rsidRPr="0092047B">
        <w:rPr>
          <w:rFonts w:cstheme="minorHAnsi"/>
        </w:rPr>
        <w:t xml:space="preserve"> 50 % </w:t>
      </w:r>
      <w:r w:rsidRPr="0092047B">
        <w:rPr>
          <w:rFonts w:cstheme="minorHAnsi"/>
        </w:rPr>
        <w:t xml:space="preserve">pokryta </w:t>
      </w:r>
      <w:r w:rsidR="000B701E" w:rsidRPr="0092047B">
        <w:rPr>
          <w:rFonts w:cstheme="minorHAnsi"/>
        </w:rPr>
        <w:t>domácími zdroji</w:t>
      </w:r>
      <w:r w:rsidRPr="0092047B">
        <w:rPr>
          <w:rFonts w:cstheme="minorHAnsi"/>
        </w:rPr>
        <w:t>.</w:t>
      </w:r>
      <w:r w:rsidR="000B701E" w:rsidRPr="0092047B">
        <w:rPr>
          <w:rFonts w:cstheme="minorHAnsi"/>
        </w:rPr>
        <w:t xml:space="preserve"> Ukazatel dovozní energetické závislosti ČR (včetně zahrnutí jaderného paliva) dosahuje tedy </w:t>
      </w:r>
      <w:r w:rsidR="00822AD0" w:rsidRPr="0092047B">
        <w:rPr>
          <w:rFonts w:cstheme="minorHAnsi"/>
        </w:rPr>
        <w:t xml:space="preserve">okolo </w:t>
      </w:r>
      <w:r w:rsidR="000B701E" w:rsidRPr="0092047B">
        <w:rPr>
          <w:rFonts w:cstheme="minorHAnsi"/>
        </w:rPr>
        <w:t>50</w:t>
      </w:r>
      <w:r w:rsidR="00896797" w:rsidRPr="0092047B">
        <w:rPr>
          <w:rFonts w:cstheme="minorHAnsi"/>
        </w:rPr>
        <w:t> </w:t>
      </w:r>
      <w:r w:rsidR="000B701E" w:rsidRPr="0092047B">
        <w:rPr>
          <w:rFonts w:cstheme="minorHAnsi"/>
        </w:rPr>
        <w:t>% a patří tak k nejnižším v celé EU. To je v situaci celosvětového důrazu na energetickou bezpečnost jedna ze silných stránek tuzemské energetiky. Současný průměr EU se pohybuje na úrovni cca 60</w:t>
      </w:r>
      <w:r w:rsidR="00EE41D1" w:rsidRPr="0092047B">
        <w:rPr>
          <w:rFonts w:cstheme="minorHAnsi"/>
        </w:rPr>
        <w:t> </w:t>
      </w:r>
      <w:r w:rsidR="000B701E" w:rsidRPr="0092047B">
        <w:rPr>
          <w:rFonts w:cstheme="minorHAnsi"/>
        </w:rPr>
        <w:t xml:space="preserve">%. Česká republika je plně soběstačná ve </w:t>
      </w:r>
      <w:r w:rsidR="000B701E" w:rsidRPr="0092047B">
        <w:rPr>
          <w:rFonts w:cstheme="minorHAnsi"/>
          <w:b/>
        </w:rPr>
        <w:t xml:space="preserve">výrobě elektřiny a tepla. </w:t>
      </w:r>
      <w:r w:rsidR="000B701E" w:rsidRPr="0092047B">
        <w:rPr>
          <w:rFonts w:cstheme="minorHAnsi"/>
        </w:rPr>
        <w:t xml:space="preserve">Struktura zdrojů elektřiny je stabilní. Nejvýznamnější změnou v posledním desetiletí byla výstavba jaderné elektrárny Temelín. V důsledku podpory obnovitelných zdrojů energie v uplynulých letech se zvýšil podíl jiných obnovitelných zdrojů než vodních elektráren, ale zatím i při vysokých dotacích nedokázal nahradit významnější část fosilních zdrojů. Podíl </w:t>
      </w:r>
      <w:r w:rsidR="000B701E" w:rsidRPr="0092047B">
        <w:rPr>
          <w:rFonts w:cstheme="minorHAnsi"/>
          <w:b/>
        </w:rPr>
        <w:t>výroby tepla</w:t>
      </w:r>
      <w:r w:rsidR="000B701E" w:rsidRPr="0092047B">
        <w:rPr>
          <w:rFonts w:cstheme="minorHAnsi"/>
        </w:rPr>
        <w:t xml:space="preserve"> z domácích paliv dosahuje okolo 60 % a v soustavách zásobování teplem více než 80 %. V ČR je dobře zavedená kombinovaná výroba elektřiny a tepla, </w:t>
      </w:r>
      <w:r w:rsidR="006A0B06">
        <w:rPr>
          <w:rFonts w:cstheme="minorHAnsi"/>
        </w:rPr>
        <w:t xml:space="preserve">přičemž </w:t>
      </w:r>
      <w:r w:rsidR="000B701E" w:rsidRPr="0092047B">
        <w:rPr>
          <w:rFonts w:cstheme="minorHAnsi"/>
          <w:iCs/>
        </w:rPr>
        <w:t xml:space="preserve">ve velkých a středních zdrojích činí </w:t>
      </w:r>
      <w:r w:rsidR="00667EBF">
        <w:rPr>
          <w:rFonts w:cstheme="minorHAnsi"/>
          <w:iCs/>
        </w:rPr>
        <w:t>podíl kogenerace</w:t>
      </w:r>
      <w:r w:rsidR="000B701E" w:rsidRPr="0092047B">
        <w:rPr>
          <w:rFonts w:cstheme="minorHAnsi"/>
          <w:iCs/>
        </w:rPr>
        <w:t xml:space="preserve"> necelých 70</w:t>
      </w:r>
      <w:r w:rsidR="000D4ABA" w:rsidRPr="0092047B">
        <w:rPr>
          <w:rFonts w:cstheme="minorHAnsi"/>
          <w:iCs/>
        </w:rPr>
        <w:t> </w:t>
      </w:r>
      <w:r w:rsidR="000B701E" w:rsidRPr="0092047B">
        <w:rPr>
          <w:rFonts w:cstheme="minorHAnsi"/>
          <w:iCs/>
        </w:rPr>
        <w:t>% z celkové hrubé výroby tepla. Podíl kogenerační výroby tepla na celkové výrobě tepla (včetně decentralizovaných zdrojů bez domácností) však činí necelou polovinu. P</w:t>
      </w:r>
      <w:r w:rsidR="000B701E" w:rsidRPr="0092047B">
        <w:rPr>
          <w:rFonts w:cstheme="minorHAnsi"/>
        </w:rPr>
        <w:t>ředností kogenerační výroby je vysoký stupeň využití energie paliva</w:t>
      </w:r>
      <w:r w:rsidR="00647AD2" w:rsidRPr="0092047B">
        <w:rPr>
          <w:rFonts w:cstheme="minorHAnsi"/>
        </w:rPr>
        <w:t>.</w:t>
      </w:r>
      <w:r w:rsidR="000B701E" w:rsidRPr="0092047B">
        <w:rPr>
          <w:rFonts w:cstheme="minorHAnsi"/>
        </w:rPr>
        <w:t xml:space="preserve"> </w:t>
      </w:r>
      <w:r w:rsidR="00647AD2" w:rsidRPr="0092047B">
        <w:rPr>
          <w:rFonts w:cstheme="minorHAnsi"/>
        </w:rPr>
        <w:t>V kogeneraci je zároveň vyráběno</w:t>
      </w:r>
      <w:r w:rsidR="000B701E" w:rsidRPr="0092047B">
        <w:rPr>
          <w:rFonts w:cstheme="minorHAnsi"/>
        </w:rPr>
        <w:t xml:space="preserve"> 12-13</w:t>
      </w:r>
      <w:r w:rsidR="000D4ABA" w:rsidRPr="0092047B">
        <w:rPr>
          <w:rFonts w:cstheme="minorHAnsi"/>
        </w:rPr>
        <w:t> </w:t>
      </w:r>
      <w:r w:rsidR="000B701E" w:rsidRPr="0092047B">
        <w:rPr>
          <w:rFonts w:cstheme="minorHAnsi"/>
        </w:rPr>
        <w:t>% hrubé výroby elektřiny.</w:t>
      </w:r>
      <w:r w:rsidR="00AA4D09" w:rsidRPr="0092047B">
        <w:rPr>
          <w:rFonts w:cstheme="minorHAnsi"/>
        </w:rPr>
        <w:t xml:space="preserve"> Prioritou dalšího vývoje je efektivn</w:t>
      </w:r>
      <w:r w:rsidR="00647AD2" w:rsidRPr="0092047B">
        <w:rPr>
          <w:rFonts w:cstheme="minorHAnsi"/>
        </w:rPr>
        <w:t>ějš</w:t>
      </w:r>
      <w:r w:rsidR="00AA4D09" w:rsidRPr="0092047B">
        <w:rPr>
          <w:rFonts w:cstheme="minorHAnsi"/>
        </w:rPr>
        <w:t>í využití vyrobeného tepla i elektřiny. Většina soustav zásobování teplem používá jako palivo domácí hnědé a černé uhlí.</w:t>
      </w:r>
      <w:r w:rsidR="00913C4D" w:rsidRPr="0092047B">
        <w:rPr>
          <w:rFonts w:cstheme="minorHAnsi"/>
        </w:rPr>
        <w:t xml:space="preserve"> </w:t>
      </w:r>
      <w:r w:rsidR="009650F6" w:rsidRPr="0092047B">
        <w:rPr>
          <w:rFonts w:cstheme="minorHAnsi"/>
        </w:rPr>
        <w:t>Teplárny</w:t>
      </w:r>
      <w:r w:rsidR="00913C4D" w:rsidRPr="0092047B">
        <w:rPr>
          <w:rFonts w:cstheme="minorHAnsi"/>
        </w:rPr>
        <w:t xml:space="preserve"> </w:t>
      </w:r>
      <w:r w:rsidR="00275539" w:rsidRPr="0092047B">
        <w:rPr>
          <w:rFonts w:cstheme="minorHAnsi"/>
        </w:rPr>
        <w:t xml:space="preserve">s </w:t>
      </w:r>
      <w:r w:rsidR="00AA4D09" w:rsidRPr="0092047B">
        <w:rPr>
          <w:rFonts w:cstheme="minorHAnsi"/>
        </w:rPr>
        <w:t xml:space="preserve">kogenerační </w:t>
      </w:r>
      <w:r w:rsidR="00275539" w:rsidRPr="0092047B">
        <w:rPr>
          <w:rFonts w:cstheme="minorHAnsi"/>
        </w:rPr>
        <w:t>výrobou</w:t>
      </w:r>
      <w:r w:rsidR="00AA4D09" w:rsidRPr="0092047B">
        <w:rPr>
          <w:rFonts w:cstheme="minorHAnsi"/>
        </w:rPr>
        <w:t xml:space="preserve">, vedle výtopen malého výkonu, také představují nejefektivnější využití biomasy a současně </w:t>
      </w:r>
      <w:r w:rsidR="0076206F">
        <w:rPr>
          <w:rFonts w:cstheme="minorHAnsi"/>
        </w:rPr>
        <w:t xml:space="preserve">se tím </w:t>
      </w:r>
      <w:r w:rsidR="00AA4D09" w:rsidRPr="0092047B">
        <w:rPr>
          <w:rFonts w:cstheme="minorHAnsi"/>
        </w:rPr>
        <w:t xml:space="preserve">z hlediska </w:t>
      </w:r>
      <w:r w:rsidR="00445AD1" w:rsidRPr="0092047B">
        <w:rPr>
          <w:rFonts w:cstheme="minorHAnsi"/>
        </w:rPr>
        <w:t>technicko</w:t>
      </w:r>
      <w:r w:rsidR="00445AD1">
        <w:rPr>
          <w:rFonts w:cstheme="minorHAnsi"/>
        </w:rPr>
        <w:t>-</w:t>
      </w:r>
      <w:r w:rsidR="00445AD1" w:rsidRPr="0092047B">
        <w:rPr>
          <w:rFonts w:cstheme="minorHAnsi"/>
        </w:rPr>
        <w:t>ekonomického</w:t>
      </w:r>
      <w:r w:rsidR="00AA4D09" w:rsidRPr="0092047B">
        <w:rPr>
          <w:rFonts w:cstheme="minorHAnsi"/>
        </w:rPr>
        <w:t xml:space="preserve"> řeší přijatelná úroveň koncentrace emisních škodlivin.</w:t>
      </w:r>
    </w:p>
    <w:p w:rsidR="00AA4D09" w:rsidRPr="0092047B" w:rsidRDefault="00AA4D09" w:rsidP="00184DC1">
      <w:pPr>
        <w:rPr>
          <w:rFonts w:cstheme="minorHAnsi"/>
        </w:rPr>
      </w:pPr>
      <w:r w:rsidRPr="0092047B">
        <w:rPr>
          <w:rFonts w:cstheme="minorHAnsi"/>
        </w:rPr>
        <w:lastRenderedPageBreak/>
        <w:t>Velmi rozvinutá rozvodná síť zajišťuje bezpečné dodávky elektřiny s vysokou spolehlivostí zásobování. Rozhodující část zdrojů a sítí</w:t>
      </w:r>
      <w:r w:rsidR="00E516ED" w:rsidRPr="0092047B">
        <w:rPr>
          <w:rFonts w:cstheme="minorHAnsi"/>
        </w:rPr>
        <w:t xml:space="preserve"> je ovšem 35 a více let stará a </w:t>
      </w:r>
      <w:r w:rsidRPr="0092047B">
        <w:rPr>
          <w:rFonts w:cstheme="minorHAnsi"/>
        </w:rPr>
        <w:t>vyžaduje rozsáhlou obnovu a modernizaci. Tato obnova bude muset být provedena v následujících 10</w:t>
      </w:r>
      <w:r w:rsidR="00694069">
        <w:rPr>
          <w:rFonts w:cstheme="minorHAnsi"/>
        </w:rPr>
        <w:t>-</w:t>
      </w:r>
      <w:r w:rsidRPr="0092047B">
        <w:rPr>
          <w:rFonts w:cstheme="minorHAnsi"/>
        </w:rPr>
        <w:t>15</w:t>
      </w:r>
      <w:r w:rsidR="00896797" w:rsidRPr="0092047B">
        <w:rPr>
          <w:rFonts w:cstheme="minorHAnsi"/>
        </w:rPr>
        <w:t> </w:t>
      </w:r>
      <w:r w:rsidRPr="0092047B">
        <w:rPr>
          <w:rFonts w:cstheme="minorHAnsi"/>
        </w:rPr>
        <w:t>letech</w:t>
      </w:r>
      <w:r w:rsidR="006579E3" w:rsidRPr="0092047B">
        <w:rPr>
          <w:rFonts w:cstheme="minorHAnsi"/>
        </w:rPr>
        <w:t>.</w:t>
      </w:r>
      <w:r w:rsidRPr="0092047B">
        <w:rPr>
          <w:rFonts w:cstheme="minorHAnsi"/>
        </w:rPr>
        <w:t xml:space="preserve"> </w:t>
      </w:r>
      <w:r w:rsidR="006579E3" w:rsidRPr="0092047B">
        <w:rPr>
          <w:rFonts w:cstheme="minorHAnsi"/>
        </w:rPr>
        <w:t>S</w:t>
      </w:r>
      <w:r w:rsidRPr="0092047B">
        <w:rPr>
          <w:rFonts w:cstheme="minorHAnsi"/>
        </w:rPr>
        <w:t xml:space="preserve">polu s obnovou a modernizací půjde i o adaptaci </w:t>
      </w:r>
      <w:r w:rsidR="006A0B06">
        <w:rPr>
          <w:rFonts w:cstheme="minorHAnsi"/>
        </w:rPr>
        <w:t>na nové technologie</w:t>
      </w:r>
      <w:r w:rsidRPr="0092047B">
        <w:rPr>
          <w:rFonts w:cstheme="minorHAnsi"/>
        </w:rPr>
        <w:t xml:space="preserve"> a připravenost </w:t>
      </w:r>
      <w:r w:rsidR="009F5880" w:rsidRPr="0092047B">
        <w:rPr>
          <w:rFonts w:cstheme="minorHAnsi"/>
        </w:rPr>
        <w:t>na</w:t>
      </w:r>
      <w:r w:rsidRPr="0092047B">
        <w:rPr>
          <w:rFonts w:cstheme="minorHAnsi"/>
        </w:rPr>
        <w:t xml:space="preserve"> další technologický rozvoj jak na straně zdrojů, tak i spotřeby.</w:t>
      </w:r>
      <w:r w:rsidR="00822AD0" w:rsidRPr="0092047B">
        <w:rPr>
          <w:rFonts w:cstheme="minorHAnsi"/>
        </w:rPr>
        <w:t xml:space="preserve"> Značné finanční a věcné nároky bude vyžadovat adaptace sítí zejména na úrovni nízkého napětí umožňující další rozvoj mal</w:t>
      </w:r>
      <w:r w:rsidR="00694069">
        <w:rPr>
          <w:rFonts w:cstheme="minorHAnsi"/>
        </w:rPr>
        <w:t>ých výrobních zdrojů elektřiny.</w:t>
      </w:r>
    </w:p>
    <w:p w:rsidR="000F01FA" w:rsidRPr="0092047B" w:rsidRDefault="00580F3D" w:rsidP="00184DC1">
      <w:pPr>
        <w:rPr>
          <w:rFonts w:cstheme="minorHAnsi"/>
          <w:bCs/>
        </w:rPr>
      </w:pPr>
      <w:r w:rsidRPr="0092047B">
        <w:rPr>
          <w:rFonts w:cstheme="minorHAnsi"/>
        </w:rPr>
        <w:t xml:space="preserve">Hlavní podíl na celkových primárních zdrojích tvoří aktuálně </w:t>
      </w:r>
      <w:r w:rsidR="000B701E" w:rsidRPr="0092047B">
        <w:rPr>
          <w:rFonts w:cstheme="minorHAnsi"/>
        </w:rPr>
        <w:t>stále tuzemské zdroje energie, a to díky vysokému využití domácího hnědého a černého uhlí při výrobě elektřiny</w:t>
      </w:r>
      <w:r w:rsidR="00D14BFE">
        <w:rPr>
          <w:rFonts w:cstheme="minorHAnsi"/>
        </w:rPr>
        <w:t>.</w:t>
      </w:r>
      <w:r w:rsidR="000B701E" w:rsidRPr="0092047B">
        <w:rPr>
          <w:rFonts w:cstheme="minorHAnsi"/>
        </w:rPr>
        <w:t> </w:t>
      </w:r>
      <w:r w:rsidR="00D41C11" w:rsidRPr="0092047B">
        <w:rPr>
          <w:rFonts w:cstheme="minorHAnsi"/>
        </w:rPr>
        <w:t xml:space="preserve">České energetice dominují uhelné zdroje, které dodávají, jako zdroje základního zatížení, téměř 60 % elektrické energie a velkou část tepla prostřednictvím dálkového vytápění. </w:t>
      </w:r>
      <w:r w:rsidR="00D14BFE">
        <w:rPr>
          <w:rFonts w:cstheme="minorHAnsi"/>
        </w:rPr>
        <w:t xml:space="preserve">Uhlí je v ČR využíváno též pro individuální vytápění. </w:t>
      </w:r>
      <w:r w:rsidR="000F01FA" w:rsidRPr="0092047B">
        <w:rPr>
          <w:rFonts w:cstheme="minorHAnsi"/>
        </w:rPr>
        <w:t xml:space="preserve">Rozhodující část výrobních zdrojů v oblasti tepla a elektřiny z uhlí se blíží hranici ekonomické a fyzické životnosti. </w:t>
      </w:r>
      <w:r w:rsidR="002E5120" w:rsidRPr="002E5120">
        <w:rPr>
          <w:rFonts w:cstheme="minorHAnsi"/>
        </w:rPr>
        <w:t xml:space="preserve">I přes některé ekologické aspekty využití uhlí </w:t>
      </w:r>
      <w:r w:rsidR="00CB1CA6">
        <w:rPr>
          <w:rFonts w:cstheme="minorHAnsi"/>
        </w:rPr>
        <w:t>není</w:t>
      </w:r>
      <w:r w:rsidR="002E5120" w:rsidRPr="002E5120">
        <w:rPr>
          <w:rFonts w:cstheme="minorHAnsi"/>
        </w:rPr>
        <w:t xml:space="preserve"> tato domácí surovina</w:t>
      </w:r>
      <w:r w:rsidR="00CE12AF" w:rsidRPr="002E5120">
        <w:rPr>
          <w:rFonts w:cstheme="minorHAnsi"/>
        </w:rPr>
        <w:t xml:space="preserve"> v horizontu SEK v plné míře</w:t>
      </w:r>
      <w:r w:rsidR="002E5120" w:rsidRPr="002E5120">
        <w:rPr>
          <w:rFonts w:cstheme="minorHAnsi"/>
        </w:rPr>
        <w:t xml:space="preserve"> nahraditelná</w:t>
      </w:r>
      <w:r w:rsidR="00CE12AF" w:rsidRPr="002E5120">
        <w:rPr>
          <w:rFonts w:cstheme="minorHAnsi"/>
        </w:rPr>
        <w:t>, a to z bezpečnostního i ekonomického hlediska</w:t>
      </w:r>
      <w:r w:rsidR="002E5120" w:rsidRPr="002E5120">
        <w:rPr>
          <w:rFonts w:cstheme="minorHAnsi"/>
        </w:rPr>
        <w:t xml:space="preserve">. </w:t>
      </w:r>
      <w:r w:rsidR="000F01FA" w:rsidRPr="0092047B">
        <w:rPr>
          <w:rFonts w:cstheme="minorHAnsi"/>
        </w:rPr>
        <w:t xml:space="preserve">Zejména proto musí být dalším cílem energetické politiky zajištění moderní vysoce účinné technologie jejího využívání. </w:t>
      </w:r>
      <w:r w:rsidR="00D41C11" w:rsidRPr="0092047B">
        <w:rPr>
          <w:rFonts w:cstheme="minorHAnsi"/>
        </w:rPr>
        <w:t>Spotřeba</w:t>
      </w:r>
      <w:r w:rsidR="000B701E" w:rsidRPr="0092047B">
        <w:rPr>
          <w:rFonts w:cstheme="minorHAnsi"/>
        </w:rPr>
        <w:t xml:space="preserve"> </w:t>
      </w:r>
      <w:r w:rsidR="009F5880" w:rsidRPr="0092047B">
        <w:rPr>
          <w:rFonts w:cstheme="minorHAnsi"/>
        </w:rPr>
        <w:t>hnědého a černého</w:t>
      </w:r>
      <w:r w:rsidR="000B701E" w:rsidRPr="0092047B">
        <w:rPr>
          <w:rFonts w:cstheme="minorHAnsi"/>
        </w:rPr>
        <w:t xml:space="preserve"> uhlí</w:t>
      </w:r>
      <w:r w:rsidR="009F5880" w:rsidRPr="0092047B">
        <w:rPr>
          <w:rFonts w:cstheme="minorHAnsi"/>
        </w:rPr>
        <w:t>-</w:t>
      </w:r>
      <w:r w:rsidR="000B701E" w:rsidRPr="0092047B">
        <w:rPr>
          <w:rFonts w:cstheme="minorHAnsi"/>
        </w:rPr>
        <w:t xml:space="preserve"> bude v </w:t>
      </w:r>
      <w:r w:rsidR="00D41C11" w:rsidRPr="0092047B">
        <w:rPr>
          <w:rFonts w:cstheme="minorHAnsi"/>
        </w:rPr>
        <w:t>horizontu SEK</w:t>
      </w:r>
      <w:r w:rsidR="000B701E" w:rsidRPr="0092047B">
        <w:rPr>
          <w:rFonts w:cstheme="minorHAnsi"/>
        </w:rPr>
        <w:t xml:space="preserve"> </w:t>
      </w:r>
      <w:r w:rsidR="00D41C11" w:rsidRPr="0092047B">
        <w:rPr>
          <w:rFonts w:cstheme="minorHAnsi"/>
        </w:rPr>
        <w:t xml:space="preserve">se snižující se disponibilitou </w:t>
      </w:r>
      <w:r w:rsidR="00CC13EB" w:rsidRPr="0092047B">
        <w:rPr>
          <w:rFonts w:cstheme="minorHAnsi"/>
        </w:rPr>
        <w:t xml:space="preserve">postupně </w:t>
      </w:r>
      <w:r w:rsidR="00D41C11" w:rsidRPr="0092047B">
        <w:rPr>
          <w:rFonts w:cstheme="minorHAnsi"/>
        </w:rPr>
        <w:t>klesat.</w:t>
      </w:r>
      <w:r w:rsidR="000B701E" w:rsidRPr="0092047B">
        <w:rPr>
          <w:rFonts w:cstheme="minorHAnsi"/>
        </w:rPr>
        <w:t xml:space="preserve"> </w:t>
      </w:r>
      <w:r w:rsidR="000F01FA" w:rsidRPr="0092047B">
        <w:rPr>
          <w:rFonts w:cstheme="minorHAnsi"/>
        </w:rPr>
        <w:t>Snižování podílu uhlí na výrobě elektřiny a tepla v</w:t>
      </w:r>
      <w:r w:rsidR="009650F6" w:rsidRPr="0092047B">
        <w:rPr>
          <w:rFonts w:cstheme="minorHAnsi"/>
        </w:rPr>
        <w:t> </w:t>
      </w:r>
      <w:r w:rsidR="000F01FA" w:rsidRPr="0092047B">
        <w:rPr>
          <w:rFonts w:cstheme="minorHAnsi"/>
        </w:rPr>
        <w:t>ČR</w:t>
      </w:r>
      <w:r w:rsidR="009650F6" w:rsidRPr="0092047B">
        <w:rPr>
          <w:rFonts w:cstheme="minorHAnsi"/>
        </w:rPr>
        <w:t xml:space="preserve"> </w:t>
      </w:r>
      <w:r w:rsidR="000B701E" w:rsidRPr="0092047B">
        <w:rPr>
          <w:rFonts w:cstheme="minorHAnsi"/>
          <w:bCs/>
        </w:rPr>
        <w:t>by v dlouhodobém horizontu měl</w:t>
      </w:r>
      <w:r w:rsidR="000F01FA" w:rsidRPr="0092047B">
        <w:rPr>
          <w:rFonts w:cstheme="minorHAnsi"/>
          <w:bCs/>
        </w:rPr>
        <w:t>o</w:t>
      </w:r>
      <w:r w:rsidR="000B701E" w:rsidRPr="0092047B">
        <w:rPr>
          <w:rFonts w:cstheme="minorHAnsi"/>
          <w:bCs/>
        </w:rPr>
        <w:t xml:space="preserve"> být plynul</w:t>
      </w:r>
      <w:r w:rsidR="000F01FA" w:rsidRPr="0092047B">
        <w:rPr>
          <w:rFonts w:cstheme="minorHAnsi"/>
          <w:bCs/>
        </w:rPr>
        <w:t>é</w:t>
      </w:r>
      <w:r w:rsidR="009650F6" w:rsidRPr="0092047B">
        <w:rPr>
          <w:rFonts w:cstheme="minorHAnsi"/>
          <w:bCs/>
        </w:rPr>
        <w:t xml:space="preserve"> a</w:t>
      </w:r>
      <w:r w:rsidR="000B701E" w:rsidRPr="0092047B">
        <w:rPr>
          <w:rFonts w:cstheme="minorHAnsi"/>
          <w:bCs/>
        </w:rPr>
        <w:t xml:space="preserve"> </w:t>
      </w:r>
      <w:r w:rsidR="006A0B06">
        <w:rPr>
          <w:rFonts w:cstheme="minorHAnsi"/>
          <w:bCs/>
        </w:rPr>
        <w:t>mělo by být</w:t>
      </w:r>
      <w:r w:rsidR="006A0B06" w:rsidRPr="0092047B">
        <w:rPr>
          <w:rFonts w:cstheme="minorHAnsi"/>
          <w:bCs/>
        </w:rPr>
        <w:t xml:space="preserve"> </w:t>
      </w:r>
      <w:r w:rsidR="000B701E" w:rsidRPr="0092047B">
        <w:rPr>
          <w:rFonts w:cstheme="minorHAnsi"/>
          <w:bCs/>
        </w:rPr>
        <w:t>proveden</w:t>
      </w:r>
      <w:r w:rsidR="000F01FA" w:rsidRPr="0092047B">
        <w:rPr>
          <w:rFonts w:cstheme="minorHAnsi"/>
          <w:bCs/>
        </w:rPr>
        <w:t>o</w:t>
      </w:r>
      <w:r w:rsidR="000B701E" w:rsidRPr="0092047B">
        <w:rPr>
          <w:rFonts w:cstheme="minorHAnsi"/>
          <w:bCs/>
        </w:rPr>
        <w:t xml:space="preserve"> takovým způsobem, aby se </w:t>
      </w:r>
      <w:r w:rsidR="00D41C11" w:rsidRPr="0092047B">
        <w:rPr>
          <w:rFonts w:cstheme="minorHAnsi"/>
          <w:bCs/>
        </w:rPr>
        <w:t>zbývající</w:t>
      </w:r>
      <w:r w:rsidR="000B701E" w:rsidRPr="0092047B">
        <w:rPr>
          <w:rFonts w:cstheme="minorHAnsi"/>
          <w:bCs/>
        </w:rPr>
        <w:t xml:space="preserve"> uhelné zásoby využívaly co nejefektivnějším a nejekologičtějším způsobem</w:t>
      </w:r>
      <w:r w:rsidR="00D41C11" w:rsidRPr="0092047B">
        <w:rPr>
          <w:rFonts w:cstheme="minorHAnsi"/>
          <w:bCs/>
        </w:rPr>
        <w:t>.</w:t>
      </w:r>
      <w:r w:rsidR="000B701E" w:rsidRPr="0092047B">
        <w:rPr>
          <w:rFonts w:cstheme="minorHAnsi"/>
          <w:bCs/>
        </w:rPr>
        <w:t xml:space="preserve"> </w:t>
      </w:r>
      <w:r w:rsidR="00D41C11" w:rsidRPr="0092047B">
        <w:rPr>
          <w:rFonts w:cstheme="minorHAnsi"/>
          <w:bCs/>
        </w:rPr>
        <w:t>P</w:t>
      </w:r>
      <w:r w:rsidR="000B701E" w:rsidRPr="0092047B">
        <w:rPr>
          <w:rFonts w:cstheme="minorHAnsi"/>
          <w:bCs/>
        </w:rPr>
        <w:t>rioritně ve zdrojích s co nejvyšší účinností</w:t>
      </w:r>
      <w:r w:rsidR="00156688" w:rsidRPr="0092047B">
        <w:rPr>
          <w:rFonts w:cstheme="minorHAnsi"/>
          <w:bCs/>
        </w:rPr>
        <w:t>,</w:t>
      </w:r>
      <w:r w:rsidR="000B701E" w:rsidRPr="0092047B">
        <w:rPr>
          <w:rFonts w:cstheme="minorHAnsi"/>
          <w:bCs/>
        </w:rPr>
        <w:t xml:space="preserve"> a</w:t>
      </w:r>
      <w:r w:rsidR="00156688" w:rsidRPr="0092047B">
        <w:rPr>
          <w:rFonts w:cstheme="minorHAnsi"/>
          <w:bCs/>
        </w:rPr>
        <w:t xml:space="preserve"> to jak v </w:t>
      </w:r>
      <w:r w:rsidR="000B701E" w:rsidRPr="0092047B">
        <w:rPr>
          <w:rFonts w:cstheme="minorHAnsi"/>
          <w:bCs/>
        </w:rPr>
        <w:t>kogenerační</w:t>
      </w:r>
      <w:r w:rsidR="00156688" w:rsidRPr="0092047B">
        <w:rPr>
          <w:rFonts w:cstheme="minorHAnsi"/>
          <w:bCs/>
        </w:rPr>
        <w:t>, tak i kondenzační</w:t>
      </w:r>
      <w:r w:rsidR="000B701E" w:rsidRPr="0092047B">
        <w:rPr>
          <w:rFonts w:cstheme="minorHAnsi"/>
          <w:bCs/>
        </w:rPr>
        <w:t xml:space="preserve"> </w:t>
      </w:r>
      <w:r w:rsidR="00156688" w:rsidRPr="0092047B">
        <w:rPr>
          <w:rFonts w:cstheme="minorHAnsi"/>
          <w:bCs/>
        </w:rPr>
        <w:t>výrobě</w:t>
      </w:r>
      <w:r w:rsidR="000B701E" w:rsidRPr="0092047B">
        <w:rPr>
          <w:rFonts w:cstheme="minorHAnsi"/>
          <w:bCs/>
        </w:rPr>
        <w:t xml:space="preserve">. </w:t>
      </w:r>
      <w:r w:rsidR="005840D6" w:rsidRPr="0092047B">
        <w:rPr>
          <w:rFonts w:cstheme="minorHAnsi"/>
        </w:rPr>
        <w:t>Neefektivní spalování uhlí s extrémně nízkou účinností není žádoucí, a proto je cílem tuto činnost znevýhodnit.</w:t>
      </w:r>
    </w:p>
    <w:p w:rsidR="000B701E" w:rsidRPr="0092047B" w:rsidRDefault="000F01FA" w:rsidP="00184DC1">
      <w:pPr>
        <w:rPr>
          <w:rFonts w:cstheme="minorHAnsi"/>
          <w:bCs/>
        </w:rPr>
      </w:pPr>
      <w:r w:rsidRPr="0092047B">
        <w:rPr>
          <w:rFonts w:cstheme="minorHAnsi"/>
        </w:rPr>
        <w:t>P</w:t>
      </w:r>
      <w:r w:rsidR="000B701E" w:rsidRPr="0092047B">
        <w:rPr>
          <w:rFonts w:cstheme="minorHAnsi"/>
        </w:rPr>
        <w:t xml:space="preserve">okles podílu tuzemských zdrojů energie na spotřebě primárních energetických zdrojů </w:t>
      </w:r>
      <w:r w:rsidRPr="0092047B">
        <w:rPr>
          <w:rFonts w:cstheme="minorHAnsi"/>
        </w:rPr>
        <w:t>povede nezbytně k rozvoji nízkouhlíkových zdrojů základního i špičkového zatížení</w:t>
      </w:r>
      <w:r w:rsidR="005840D6" w:rsidRPr="0092047B">
        <w:rPr>
          <w:rFonts w:cstheme="minorHAnsi"/>
        </w:rPr>
        <w:t xml:space="preserve"> </w:t>
      </w:r>
      <w:r w:rsidR="00694069">
        <w:rPr>
          <w:rFonts w:cstheme="minorHAnsi"/>
        </w:rPr>
        <w:t>a také</w:t>
      </w:r>
      <w:r w:rsidRPr="0092047B">
        <w:rPr>
          <w:rFonts w:cstheme="minorHAnsi"/>
        </w:rPr>
        <w:t xml:space="preserve"> k mírnému</w:t>
      </w:r>
      <w:r w:rsidR="000B701E" w:rsidRPr="0092047B">
        <w:rPr>
          <w:rFonts w:cstheme="minorHAnsi"/>
        </w:rPr>
        <w:t> </w:t>
      </w:r>
      <w:r w:rsidR="00CC13EB" w:rsidRPr="0092047B">
        <w:rPr>
          <w:rFonts w:cstheme="minorHAnsi"/>
        </w:rPr>
        <w:t xml:space="preserve">nezbytnému </w:t>
      </w:r>
      <w:r w:rsidR="000B701E" w:rsidRPr="0092047B">
        <w:rPr>
          <w:rFonts w:cstheme="minorHAnsi"/>
        </w:rPr>
        <w:t>růst</w:t>
      </w:r>
      <w:r w:rsidRPr="0092047B">
        <w:rPr>
          <w:rFonts w:cstheme="minorHAnsi"/>
        </w:rPr>
        <w:t>u</w:t>
      </w:r>
      <w:r w:rsidR="000B701E" w:rsidRPr="0092047B">
        <w:rPr>
          <w:rFonts w:cstheme="minorHAnsi"/>
        </w:rPr>
        <w:t xml:space="preserve"> </w:t>
      </w:r>
      <w:r w:rsidRPr="0092047B">
        <w:rPr>
          <w:rFonts w:cstheme="minorHAnsi"/>
        </w:rPr>
        <w:t>dovozu energetických surovin.</w:t>
      </w:r>
      <w:r w:rsidR="000B701E" w:rsidRPr="0092047B">
        <w:rPr>
          <w:rFonts w:cstheme="minorHAnsi"/>
        </w:rPr>
        <w:t xml:space="preserve"> </w:t>
      </w:r>
      <w:r w:rsidRPr="0092047B">
        <w:rPr>
          <w:rFonts w:cstheme="minorHAnsi"/>
        </w:rPr>
        <w:t>Cílem SEK je</w:t>
      </w:r>
      <w:r w:rsidR="000B701E" w:rsidRPr="0092047B">
        <w:rPr>
          <w:rFonts w:cstheme="minorHAnsi"/>
        </w:rPr>
        <w:t xml:space="preserve"> dlouhodobé udržení výše dovozní energetické závislosti ČR nepřesahující 65</w:t>
      </w:r>
      <w:r w:rsidR="00EE41D1" w:rsidRPr="0092047B">
        <w:rPr>
          <w:rFonts w:cstheme="minorHAnsi"/>
        </w:rPr>
        <w:t> </w:t>
      </w:r>
      <w:r w:rsidR="000B701E" w:rsidRPr="0092047B">
        <w:rPr>
          <w:rFonts w:cstheme="minorHAnsi"/>
        </w:rPr>
        <w:t>% do roku 2030 a</w:t>
      </w:r>
      <w:r w:rsidR="00896797" w:rsidRPr="0092047B">
        <w:rPr>
          <w:rFonts w:cstheme="minorHAnsi"/>
        </w:rPr>
        <w:t xml:space="preserve"> </w:t>
      </w:r>
      <w:r w:rsidR="000B701E" w:rsidRPr="0092047B">
        <w:rPr>
          <w:rFonts w:cstheme="minorHAnsi"/>
        </w:rPr>
        <w:t>70</w:t>
      </w:r>
      <w:r w:rsidR="00EE41D1" w:rsidRPr="0092047B">
        <w:rPr>
          <w:rFonts w:cstheme="minorHAnsi"/>
        </w:rPr>
        <w:t> </w:t>
      </w:r>
      <w:r w:rsidR="000B701E" w:rsidRPr="0092047B">
        <w:rPr>
          <w:rFonts w:cstheme="minorHAnsi"/>
        </w:rPr>
        <w:t>% do roku 2040.</w:t>
      </w:r>
    </w:p>
    <w:p w:rsidR="003F0ADC" w:rsidRPr="0092047B" w:rsidRDefault="000B701E" w:rsidP="00184DC1">
      <w:pPr>
        <w:rPr>
          <w:rFonts w:cstheme="minorHAnsi"/>
        </w:rPr>
      </w:pPr>
      <w:r w:rsidRPr="0092047B">
        <w:rPr>
          <w:rFonts w:cstheme="minorHAnsi"/>
        </w:rPr>
        <w:t xml:space="preserve">Druhým významným zdrojem energie v České republice, využívaným v současné době hlavně pro výrobu elektřiny, jsou </w:t>
      </w:r>
      <w:r w:rsidRPr="0092047B">
        <w:rPr>
          <w:rFonts w:cstheme="minorHAnsi"/>
          <w:b/>
        </w:rPr>
        <w:t>jaderné zdroje</w:t>
      </w:r>
      <w:r w:rsidRPr="0092047B">
        <w:rPr>
          <w:rFonts w:cstheme="minorHAnsi"/>
        </w:rPr>
        <w:t>. Ty nyní dodávají přes 33</w:t>
      </w:r>
      <w:r w:rsidR="00EE41D1" w:rsidRPr="0092047B">
        <w:rPr>
          <w:rFonts w:cstheme="minorHAnsi"/>
        </w:rPr>
        <w:t> </w:t>
      </w:r>
      <w:r w:rsidRPr="0092047B">
        <w:rPr>
          <w:rFonts w:cstheme="minorHAnsi"/>
        </w:rPr>
        <w:t>% vyráběné elektřiny. Jaderné zdroje jako takové se obvykle budují mimo hustě osídlené oblasti a produkují elektrickou energii v základním zatížení. Pravidelný špičkový provoz, ač technicky možný a aplikovaný i některými státy (Německo, Francie), není z ekonomického hlediska (nízké variabilní palivové náklady a vysoké fixní investiční náklady) smysluplný a v mnohých případech je také limitovaný provozními parametry. Dlouhá životnost, vysoký faktor využití, spolehlivý, levný a předvídatelný provoz jsou typickými vlastnostmi jaderných zdrojů. Nezanedbatelnou strategickou výhodou je vysoká koncentrace paliva, což umožňuje</w:t>
      </w:r>
      <w:r w:rsidR="005840D6" w:rsidRPr="0092047B">
        <w:rPr>
          <w:rFonts w:cstheme="minorHAnsi"/>
        </w:rPr>
        <w:t>,</w:t>
      </w:r>
      <w:r w:rsidRPr="0092047B">
        <w:rPr>
          <w:rFonts w:cstheme="minorHAnsi"/>
        </w:rPr>
        <w:t xml:space="preserve"> na rozdíl od všech ostatních zdrojů</w:t>
      </w:r>
      <w:r w:rsidR="005840D6" w:rsidRPr="0092047B">
        <w:rPr>
          <w:rFonts w:cstheme="minorHAnsi"/>
        </w:rPr>
        <w:t>,</w:t>
      </w:r>
      <w:r w:rsidRPr="0092047B">
        <w:rPr>
          <w:rFonts w:cstheme="minorHAnsi"/>
        </w:rPr>
        <w:t xml:space="preserve"> možnost vytvoření strategických zásob na několik let provozu. </w:t>
      </w:r>
      <w:r w:rsidR="00000C82" w:rsidRPr="0092047B">
        <w:rPr>
          <w:rFonts w:cstheme="minorHAnsi"/>
        </w:rPr>
        <w:t>Výkon jaderných elektráren</w:t>
      </w:r>
      <w:r w:rsidRPr="0092047B">
        <w:rPr>
          <w:rFonts w:cstheme="minorHAnsi"/>
        </w:rPr>
        <w:t xml:space="preserve">, objem počáteční investice a zejména délka investičního horizontu je předurčuje jen pro velké a dlouhodobé investory. Nízké palivové náklady se ale stávají nespornou cenovou výhodou jaderných zdrojů po uplynutí doby umoření počáteční investice. Variabilita cen paliva (tedy především cen uranu a obohacování) se promítá do cen produkované elektrické energie výrazně méně než u fosilních zdrojů, a proto je i cena energie z jaderných zdrojů lépe předvídatelná. Jaderné </w:t>
      </w:r>
      <w:r w:rsidRPr="0092047B">
        <w:rPr>
          <w:rFonts w:cstheme="minorHAnsi"/>
        </w:rPr>
        <w:lastRenderedPageBreak/>
        <w:t>zdroje používají velmi vyspělé technologie. S tím souvisí delší doba výstavby, potřeba velmi kvalifikovaného personálu pro projektování, konstrukci i provoz</w:t>
      </w:r>
      <w:r w:rsidR="003B7F6A">
        <w:rPr>
          <w:rFonts w:cstheme="minorHAnsi"/>
        </w:rPr>
        <w:t>,</w:t>
      </w:r>
      <w:r w:rsidRPr="0092047B">
        <w:rPr>
          <w:rFonts w:cstheme="minorHAnsi"/>
        </w:rPr>
        <w:t xml:space="preserve"> a především silný nezávislý státní jaderný dozor. Jaderná bezpečnost, jejíž rizika vychází z vysoké koncentrace energie v jaderném zdroji a radiačních rizik, musí být zajištěna nejen stavem technologií, ale i schopnostmi personálu, </w:t>
      </w:r>
      <w:r w:rsidR="00694069">
        <w:rPr>
          <w:rFonts w:cstheme="minorHAnsi"/>
        </w:rPr>
        <w:t>a to v každém okamžiku provozu.</w:t>
      </w:r>
    </w:p>
    <w:p w:rsidR="000B701E" w:rsidRPr="0092047B" w:rsidRDefault="000B701E" w:rsidP="00184DC1">
      <w:pPr>
        <w:rPr>
          <w:rFonts w:cstheme="minorHAnsi"/>
        </w:rPr>
      </w:pPr>
      <w:r w:rsidRPr="0092047B">
        <w:rPr>
          <w:rFonts w:cstheme="minorHAnsi"/>
        </w:rPr>
        <w:t>V ČR fungují dvě jaderné elektrárny v Dukovanech a v Temelíně. Investičně jsou jaderné zdroje velmi náročné, proto jsou nejvíce citlivé na stabilitu politického a ekonomického prostředí, o kterou Státní energetická koncepce usiluje. Tato oblast je též velmi citlivá z hlediska mezinárodních vztahů. V časovém horizontu Státní energetické koncepce je</w:t>
      </w:r>
      <w:r w:rsidR="003F0ADC" w:rsidRPr="0092047B">
        <w:rPr>
          <w:rFonts w:cstheme="minorHAnsi"/>
        </w:rPr>
        <w:t xml:space="preserve"> v závislosti na predikci bilance výroby a spotřeby</w:t>
      </w:r>
      <w:r w:rsidRPr="0092047B">
        <w:rPr>
          <w:rFonts w:cstheme="minorHAnsi"/>
        </w:rPr>
        <w:t xml:space="preserve"> aktuální dostavba</w:t>
      </w:r>
      <w:r w:rsidR="007A65FF" w:rsidRPr="0092047B">
        <w:rPr>
          <w:rFonts w:cstheme="minorHAnsi"/>
        </w:rPr>
        <w:t xml:space="preserve"> </w:t>
      </w:r>
      <w:r w:rsidRPr="0092047B">
        <w:rPr>
          <w:rFonts w:cstheme="minorHAnsi"/>
        </w:rPr>
        <w:t>dalších jaderných bloků</w:t>
      </w:r>
      <w:r w:rsidR="00AD47C7" w:rsidRPr="0092047B">
        <w:rPr>
          <w:rFonts w:cstheme="minorHAnsi"/>
        </w:rPr>
        <w:t xml:space="preserve"> </w:t>
      </w:r>
      <w:r w:rsidR="00AF1E90" w:rsidRPr="0092047B">
        <w:rPr>
          <w:rFonts w:cstheme="minorHAnsi"/>
        </w:rPr>
        <w:t xml:space="preserve">s výrobou přibližně 20 TWh </w:t>
      </w:r>
      <w:r w:rsidR="00AD47C7" w:rsidRPr="0092047B">
        <w:rPr>
          <w:rFonts w:cstheme="minorHAnsi"/>
        </w:rPr>
        <w:t>do roku 203</w:t>
      </w:r>
      <w:r w:rsidR="002D3093" w:rsidRPr="0092047B">
        <w:rPr>
          <w:rFonts w:cstheme="minorHAnsi"/>
        </w:rPr>
        <w:t>5</w:t>
      </w:r>
      <w:r w:rsidRPr="0092047B">
        <w:rPr>
          <w:rFonts w:cstheme="minorHAnsi"/>
        </w:rPr>
        <w:t xml:space="preserve">, prodloužení životnosti stávajících čtyř bloků v elektrárně Dukovany </w:t>
      </w:r>
      <w:r w:rsidR="00D14BFE">
        <w:rPr>
          <w:rFonts w:cstheme="minorHAnsi"/>
        </w:rPr>
        <w:t xml:space="preserve">(na 50 až 60 let) </w:t>
      </w:r>
      <w:r w:rsidRPr="0092047B">
        <w:rPr>
          <w:rFonts w:cstheme="minorHAnsi"/>
        </w:rPr>
        <w:t>a</w:t>
      </w:r>
      <w:r w:rsidR="000471C4" w:rsidRPr="0092047B">
        <w:rPr>
          <w:rFonts w:cstheme="minorHAnsi"/>
        </w:rPr>
        <w:t xml:space="preserve"> později</w:t>
      </w:r>
      <w:r w:rsidR="007A65FF" w:rsidRPr="0092047B">
        <w:rPr>
          <w:rFonts w:cstheme="minorHAnsi"/>
        </w:rPr>
        <w:t xml:space="preserve"> případná</w:t>
      </w:r>
      <w:r w:rsidRPr="0092047B">
        <w:rPr>
          <w:rFonts w:cstheme="minorHAnsi"/>
        </w:rPr>
        <w:t xml:space="preserve"> stavba </w:t>
      </w:r>
      <w:r w:rsidR="000471C4" w:rsidRPr="0092047B">
        <w:rPr>
          <w:rFonts w:cstheme="minorHAnsi"/>
        </w:rPr>
        <w:t xml:space="preserve">dalšího </w:t>
      </w:r>
      <w:r w:rsidRPr="0092047B">
        <w:rPr>
          <w:rFonts w:cstheme="minorHAnsi"/>
        </w:rPr>
        <w:t>bloku</w:t>
      </w:r>
      <w:r w:rsidR="00AD47C7" w:rsidRPr="0092047B">
        <w:rPr>
          <w:rFonts w:cstheme="minorHAnsi"/>
        </w:rPr>
        <w:t xml:space="preserve"> v horizontu odstavování jaderné elektrárny Dukovany</w:t>
      </w:r>
      <w:r w:rsidRPr="0092047B">
        <w:rPr>
          <w:rFonts w:cstheme="minorHAnsi"/>
        </w:rPr>
        <w:t>. Jaderná energie by dlouhodobě mohla přesáhnout 50% podíl na výrobě elektřiny a nahradit tak významnou část uhelných zdrojů. Současně je žádoucí, aby se začala významněji využívat část produkované tepelné energie z jaderných zdrojů k vytápění větších městských aglomerací. Pro případné pokračování využívání jádra i v delším časovém horizontu je nezbytné také prozkoumat, a podle potřeby i připravit, lokality pro budoucí další jaderné elektrárny po roce 2040.</w:t>
      </w:r>
    </w:p>
    <w:p w:rsidR="006028DF" w:rsidRPr="0092047B" w:rsidRDefault="000B701E" w:rsidP="00184DC1">
      <w:pPr>
        <w:rPr>
          <w:rFonts w:cstheme="minorHAnsi"/>
        </w:rPr>
      </w:pPr>
      <w:r w:rsidRPr="0092047B">
        <w:rPr>
          <w:rFonts w:cstheme="minorHAnsi"/>
        </w:rPr>
        <w:t>Dalším významným energetickým zdrojem j</w:t>
      </w:r>
      <w:r w:rsidR="00105CE7" w:rsidRPr="0092047B">
        <w:rPr>
          <w:rFonts w:cstheme="minorHAnsi"/>
        </w:rPr>
        <w:t>e v ČR</w:t>
      </w:r>
      <w:r w:rsidRPr="0092047B">
        <w:rPr>
          <w:rFonts w:cstheme="minorHAnsi"/>
        </w:rPr>
        <w:t xml:space="preserve"> </w:t>
      </w:r>
      <w:r w:rsidR="006142E2" w:rsidRPr="0092047B">
        <w:rPr>
          <w:rFonts w:cstheme="minorHAnsi"/>
          <w:b/>
        </w:rPr>
        <w:t>zemní plyn</w:t>
      </w:r>
      <w:r w:rsidR="003B7F6A" w:rsidRPr="003B7F6A">
        <w:rPr>
          <w:rFonts w:cstheme="minorHAnsi"/>
        </w:rPr>
        <w:t>,</w:t>
      </w:r>
      <w:r w:rsidRPr="0092047B">
        <w:rPr>
          <w:rFonts w:cstheme="minorHAnsi"/>
        </w:rPr>
        <w:t xml:space="preserve"> </w:t>
      </w:r>
      <w:r w:rsidR="008015ED" w:rsidRPr="0092047B">
        <w:rPr>
          <w:rFonts w:cstheme="minorHAnsi"/>
        </w:rPr>
        <w:t>využívaný</w:t>
      </w:r>
      <w:r w:rsidRPr="0092047B">
        <w:rPr>
          <w:rFonts w:cstheme="minorHAnsi"/>
        </w:rPr>
        <w:t xml:space="preserve"> pro výrobu elektřiny nebo pro dálkové i individuální vytápění. </w:t>
      </w:r>
      <w:r w:rsidRPr="0092047B">
        <w:rPr>
          <w:rFonts w:cstheme="minorHAnsi"/>
          <w:bCs/>
        </w:rPr>
        <w:t xml:space="preserve">Přímé užití zemního plynu pro vytápění využívá cca 27 % domácností. Většina soustav zásobování teplem založených na zemním plynu je závislá na dodávkách zemního plynu bez možnosti přechodu na alternativní zdroj. Tato část zásobuje teplem cca 10 % obyvatelstva. </w:t>
      </w:r>
      <w:r w:rsidRPr="0092047B">
        <w:rPr>
          <w:rFonts w:cstheme="minorHAnsi"/>
        </w:rPr>
        <w:t xml:space="preserve">Současný podíl plynu na výrobě elektřiny je přibližně </w:t>
      </w:r>
      <w:r w:rsidR="00363B13" w:rsidRPr="0092047B">
        <w:rPr>
          <w:rFonts w:cstheme="minorHAnsi"/>
        </w:rPr>
        <w:t>2,5 </w:t>
      </w:r>
      <w:r w:rsidRPr="0092047B">
        <w:rPr>
          <w:rFonts w:cstheme="minorHAnsi"/>
        </w:rPr>
        <w:t>%. Spotřeba plynu se za posledních deset let snížila o 20</w:t>
      </w:r>
      <w:r w:rsidR="000D4ABA" w:rsidRPr="0092047B">
        <w:rPr>
          <w:rFonts w:cstheme="minorHAnsi"/>
        </w:rPr>
        <w:t> </w:t>
      </w:r>
      <w:r w:rsidRPr="0092047B">
        <w:rPr>
          <w:rFonts w:cstheme="minorHAnsi"/>
        </w:rPr>
        <w:t>%, a to přes</w:t>
      </w:r>
      <w:r w:rsidR="002D3093" w:rsidRPr="0092047B">
        <w:rPr>
          <w:rFonts w:cstheme="minorHAnsi"/>
        </w:rPr>
        <w:t xml:space="preserve"> nárůst poč</w:t>
      </w:r>
      <w:r w:rsidRPr="0092047B">
        <w:rPr>
          <w:rFonts w:cstheme="minorHAnsi"/>
        </w:rPr>
        <w:t>t</w:t>
      </w:r>
      <w:r w:rsidR="002D3093" w:rsidRPr="0092047B">
        <w:rPr>
          <w:rFonts w:cstheme="minorHAnsi"/>
        </w:rPr>
        <w:t>u</w:t>
      </w:r>
      <w:r w:rsidRPr="0092047B">
        <w:rPr>
          <w:rFonts w:cstheme="minorHAnsi"/>
        </w:rPr>
        <w:t xml:space="preserve"> odběratelů o cca 800 tisíc. Je to především </w:t>
      </w:r>
      <w:r w:rsidR="003B7F6A">
        <w:rPr>
          <w:rFonts w:cstheme="minorHAnsi"/>
        </w:rPr>
        <w:t xml:space="preserve">v </w:t>
      </w:r>
      <w:r w:rsidRPr="0092047B">
        <w:rPr>
          <w:rFonts w:cstheme="minorHAnsi"/>
        </w:rPr>
        <w:t>důsledk</w:t>
      </w:r>
      <w:r w:rsidR="003B7F6A">
        <w:rPr>
          <w:rFonts w:cstheme="minorHAnsi"/>
        </w:rPr>
        <w:t>u</w:t>
      </w:r>
      <w:r w:rsidRPr="0092047B">
        <w:rPr>
          <w:rFonts w:cstheme="minorHAnsi"/>
        </w:rPr>
        <w:t xml:space="preserve"> zateplování objektů a využívání účinnějších spotřebičů, dále snižování některých druhů průmyslové výroby a v neposlední řadě </w:t>
      </w:r>
      <w:r w:rsidR="00105CE7" w:rsidRPr="0092047B">
        <w:rPr>
          <w:rFonts w:cstheme="minorHAnsi"/>
        </w:rPr>
        <w:t>vývoje</w:t>
      </w:r>
      <w:r w:rsidRPr="0092047B">
        <w:rPr>
          <w:rFonts w:cstheme="minorHAnsi"/>
        </w:rPr>
        <w:t xml:space="preserve"> cen</w:t>
      </w:r>
      <w:r w:rsidR="00105CE7" w:rsidRPr="0092047B">
        <w:rPr>
          <w:rFonts w:cstheme="minorHAnsi"/>
        </w:rPr>
        <w:t>y</w:t>
      </w:r>
      <w:r w:rsidRPr="0092047B">
        <w:rPr>
          <w:rFonts w:cstheme="minorHAnsi"/>
        </w:rPr>
        <w:t xml:space="preserve"> plynu pro domácnosti. Některé plynové zdroje jsou vhodné pro vykrývání špiček </w:t>
      </w:r>
      <w:r w:rsidR="00694069">
        <w:rPr>
          <w:rFonts w:cstheme="minorHAnsi"/>
        </w:rPr>
        <w:t xml:space="preserve">ve </w:t>
      </w:r>
      <w:r w:rsidRPr="0092047B">
        <w:rPr>
          <w:rFonts w:cstheme="minorHAnsi"/>
        </w:rPr>
        <w:t>spotřebě a</w:t>
      </w:r>
      <w:r w:rsidR="00694069">
        <w:rPr>
          <w:rFonts w:cstheme="minorHAnsi"/>
        </w:rPr>
        <w:t xml:space="preserve"> dále také </w:t>
      </w:r>
      <w:r w:rsidRPr="0092047B">
        <w:rPr>
          <w:rFonts w:cstheme="minorHAnsi"/>
        </w:rPr>
        <w:t>nestabilit</w:t>
      </w:r>
      <w:r w:rsidR="00694069">
        <w:rPr>
          <w:rFonts w:cstheme="minorHAnsi"/>
        </w:rPr>
        <w:t>y</w:t>
      </w:r>
      <w:r w:rsidRPr="0092047B">
        <w:rPr>
          <w:rFonts w:cstheme="minorHAnsi"/>
        </w:rPr>
        <w:t xml:space="preserve"> </w:t>
      </w:r>
      <w:r w:rsidR="00694069">
        <w:rPr>
          <w:rFonts w:cstheme="minorHAnsi"/>
        </w:rPr>
        <w:t xml:space="preserve">v </w:t>
      </w:r>
      <w:r w:rsidRPr="0092047B">
        <w:rPr>
          <w:rFonts w:cstheme="minorHAnsi"/>
        </w:rPr>
        <w:t>provozu některých obnovitelných zdrojů energie (fotovoltaick</w:t>
      </w:r>
      <w:r w:rsidR="00694069">
        <w:rPr>
          <w:rFonts w:cstheme="minorHAnsi"/>
        </w:rPr>
        <w:t>ých</w:t>
      </w:r>
      <w:r w:rsidRPr="0092047B">
        <w:rPr>
          <w:rFonts w:cstheme="minorHAnsi"/>
        </w:rPr>
        <w:t xml:space="preserve"> a větrn</w:t>
      </w:r>
      <w:r w:rsidR="00694069">
        <w:rPr>
          <w:rFonts w:cstheme="minorHAnsi"/>
        </w:rPr>
        <w:t>ých</w:t>
      </w:r>
      <w:r w:rsidRPr="0092047B">
        <w:rPr>
          <w:rFonts w:cstheme="minorHAnsi"/>
        </w:rPr>
        <w:t xml:space="preserve">). Vzhledem k ekologickým vlastnostem plynu </w:t>
      </w:r>
      <w:r w:rsidRPr="0092047B">
        <w:rPr>
          <w:rFonts w:cstheme="minorHAnsi"/>
          <w:bCs/>
        </w:rPr>
        <w:t>a</w:t>
      </w:r>
      <w:r w:rsidR="00694069">
        <w:rPr>
          <w:rFonts w:cstheme="minorHAnsi"/>
          <w:bCs/>
        </w:rPr>
        <w:t xml:space="preserve"> k</w:t>
      </w:r>
      <w:r w:rsidRPr="0092047B">
        <w:rPr>
          <w:rFonts w:cstheme="minorHAnsi"/>
          <w:bCs/>
        </w:rPr>
        <w:t xml:space="preserve"> technickým vlastnostem plynových spalovacích elektráren</w:t>
      </w:r>
      <w:r w:rsidRPr="0092047B">
        <w:rPr>
          <w:rFonts w:cstheme="minorHAnsi"/>
        </w:rPr>
        <w:t xml:space="preserve"> je vhodné směřovat využití plynu </w:t>
      </w:r>
      <w:r w:rsidR="00694069">
        <w:rPr>
          <w:rFonts w:cstheme="minorHAnsi"/>
        </w:rPr>
        <w:t>do</w:t>
      </w:r>
      <w:r w:rsidRPr="0092047B">
        <w:rPr>
          <w:rFonts w:cstheme="minorHAnsi"/>
        </w:rPr>
        <w:t xml:space="preserve"> </w:t>
      </w:r>
      <w:r w:rsidR="00694069">
        <w:rPr>
          <w:rFonts w:cstheme="minorHAnsi"/>
        </w:rPr>
        <w:t xml:space="preserve">zdrojů </w:t>
      </w:r>
      <w:r w:rsidRPr="0092047B">
        <w:rPr>
          <w:rFonts w:cstheme="minorHAnsi"/>
        </w:rPr>
        <w:t>společn</w:t>
      </w:r>
      <w:r w:rsidR="00694069">
        <w:rPr>
          <w:rFonts w:cstheme="minorHAnsi"/>
        </w:rPr>
        <w:t>é</w:t>
      </w:r>
      <w:r w:rsidRPr="0092047B">
        <w:rPr>
          <w:rFonts w:cstheme="minorHAnsi"/>
        </w:rPr>
        <w:t xml:space="preserve"> výrob</w:t>
      </w:r>
      <w:r w:rsidR="00694069">
        <w:rPr>
          <w:rFonts w:cstheme="minorHAnsi"/>
        </w:rPr>
        <w:t>y</w:t>
      </w:r>
      <w:r w:rsidRPr="0092047B">
        <w:rPr>
          <w:rFonts w:cstheme="minorHAnsi"/>
        </w:rPr>
        <w:t xml:space="preserve"> elektřiny a tepla (kogenerace a mikrokogenerace) s vysokou účinností </w:t>
      </w:r>
      <w:r w:rsidR="00694069">
        <w:rPr>
          <w:rFonts w:cstheme="minorHAnsi"/>
        </w:rPr>
        <w:t>i</w:t>
      </w:r>
      <w:r w:rsidRPr="0092047B">
        <w:rPr>
          <w:rFonts w:cstheme="minorHAnsi"/>
        </w:rPr>
        <w:t> pro p</w:t>
      </w:r>
      <w:r w:rsidR="00694069">
        <w:rPr>
          <w:rFonts w:cstheme="minorHAnsi"/>
        </w:rPr>
        <w:t>oskytování podpůrných služeb v elektroenergetice</w:t>
      </w:r>
      <w:r w:rsidRPr="0092047B">
        <w:rPr>
          <w:rFonts w:cstheme="minorHAnsi"/>
        </w:rPr>
        <w:t>. Významným sektorem využití zemního plynu je doprava, kde bude střednědobě sloužit k náhradě části kapalných paliv. Celkový podíl plynu na energetic</w:t>
      </w:r>
      <w:r w:rsidR="00694069">
        <w:rPr>
          <w:rFonts w:cstheme="minorHAnsi"/>
        </w:rPr>
        <w:t>kém mixu by měl tedy stoupnout.</w:t>
      </w:r>
    </w:p>
    <w:p w:rsidR="00927E67" w:rsidRPr="0092047B" w:rsidRDefault="000B701E" w:rsidP="00184DC1">
      <w:pPr>
        <w:rPr>
          <w:rFonts w:cstheme="minorHAnsi"/>
        </w:rPr>
      </w:pPr>
      <w:r w:rsidRPr="0092047B">
        <w:rPr>
          <w:rFonts w:cstheme="minorHAnsi"/>
        </w:rPr>
        <w:t xml:space="preserve">Bezpečnost a spolehlivost dodávek plynu je závislá na jejich stabilitě, dostatečně rozvinutém systému pro dopravu plynu a kapacitě zásobníků plynu, jejichž význam se zvyšuje právě v případě výpadku dodávek. Značnou část celkové roční spotřeby plynu lze, díky dostatečné kapacitě tuzemských zásobníků plynu, skladovat přímo na území České republiky. Pokud se jedná o oblast dodávek plynu, je tuzemská spotřeba prakticky stoprocentně závislá na dovozu této energetické komodity. Dominantním dodavatelem zůstává Ruská federace, doplněná Norskem a v posledním období se zvyšuje i objem plynu získaný obchodováním na spotových trzích v rámci EU. Česká republika již učinila a v současnosti činí řadu opatření pro zajištění plynové bezpečnosti – významná část dodávek plynu je importována na základě </w:t>
      </w:r>
      <w:r w:rsidRPr="0092047B">
        <w:rPr>
          <w:rFonts w:cstheme="minorHAnsi"/>
        </w:rPr>
        <w:lastRenderedPageBreak/>
        <w:t>dlouhodobých kontraktů, a to z diverzifikovaných zdrojů, a k dispozici jsou i diverzifikované dopravní cesty, včetně dodávek zemního plynu z Ruské federace</w:t>
      </w:r>
      <w:r w:rsidR="00694069">
        <w:rPr>
          <w:rFonts w:cstheme="minorHAnsi"/>
        </w:rPr>
        <w:t>.</w:t>
      </w:r>
    </w:p>
    <w:p w:rsidR="000B701E" w:rsidRPr="0092047B" w:rsidRDefault="000B701E" w:rsidP="00184DC1">
      <w:pPr>
        <w:rPr>
          <w:rFonts w:cstheme="minorHAnsi"/>
        </w:rPr>
      </w:pPr>
      <w:r w:rsidRPr="0092047B">
        <w:rPr>
          <w:rFonts w:cstheme="minorHAnsi"/>
          <w:bCs/>
        </w:rPr>
        <w:t xml:space="preserve">Naše plynárenská soustava je technicky vyspělá, výrazná je především její tranzitní funkce. Disponuje rozsáhlým systémem zásobníků plynu a propojením se soustavami sousedních zemí (Spolková republika Německo, Slovensko, Polsko), což se pozitivně projevilo i v případech omezení a přerušení dodávek zemního plynu z Ruské federace přes území Ukrajiny, kdy nebylo nutné jakýmkoliv způsobem omezovat dodávky konečným zákazníkům. Převažující směr mezinárodní přepravy plynu </w:t>
      </w:r>
      <w:r w:rsidR="006028DF" w:rsidRPr="0092047B">
        <w:rPr>
          <w:rFonts w:cstheme="minorHAnsi"/>
          <w:bCs/>
        </w:rPr>
        <w:t>byl dlouhodobě</w:t>
      </w:r>
      <w:r w:rsidRPr="0092047B">
        <w:rPr>
          <w:rFonts w:cstheme="minorHAnsi"/>
          <w:bCs/>
        </w:rPr>
        <w:t xml:space="preserve"> na ose východ/západ, kde vstupní kapacita plynovodů z východu je 51 mld. m</w:t>
      </w:r>
      <w:r w:rsidRPr="0092047B">
        <w:rPr>
          <w:rFonts w:cstheme="minorHAnsi"/>
          <w:bCs/>
          <w:vertAlign w:val="superscript"/>
        </w:rPr>
        <w:t>3</w:t>
      </w:r>
      <w:r w:rsidRPr="0092047B">
        <w:rPr>
          <w:rFonts w:cstheme="minorHAnsi"/>
          <w:bCs/>
        </w:rPr>
        <w:t>/r, ze západu celkem 29 mld.</w:t>
      </w:r>
      <w:r w:rsidR="00BB08E2">
        <w:rPr>
          <w:rFonts w:cstheme="minorHAnsi"/>
          <w:bCs/>
        </w:rPr>
        <w:t xml:space="preserve"> </w:t>
      </w:r>
      <w:r w:rsidRPr="0092047B">
        <w:rPr>
          <w:rFonts w:cstheme="minorHAnsi"/>
          <w:bCs/>
        </w:rPr>
        <w:t>m</w:t>
      </w:r>
      <w:r w:rsidRPr="0092047B">
        <w:rPr>
          <w:rFonts w:cstheme="minorHAnsi"/>
          <w:bCs/>
          <w:vertAlign w:val="superscript"/>
        </w:rPr>
        <w:t>3</w:t>
      </w:r>
      <w:r w:rsidRPr="0092047B">
        <w:rPr>
          <w:rFonts w:cstheme="minorHAnsi"/>
          <w:bCs/>
        </w:rPr>
        <w:t xml:space="preserve">/r. </w:t>
      </w:r>
      <w:r w:rsidR="006028DF" w:rsidRPr="0092047B">
        <w:rPr>
          <w:rFonts w:cstheme="minorHAnsi"/>
          <w:bCs/>
        </w:rPr>
        <w:t xml:space="preserve">Od </w:t>
      </w:r>
      <w:r w:rsidRPr="0092047B">
        <w:rPr>
          <w:rFonts w:cstheme="minorHAnsi"/>
          <w:bCs/>
        </w:rPr>
        <w:t xml:space="preserve">dokončení výstavby plynovodu Gazela </w:t>
      </w:r>
      <w:r w:rsidR="006028DF" w:rsidRPr="0092047B">
        <w:rPr>
          <w:rFonts w:cstheme="minorHAnsi"/>
          <w:bCs/>
        </w:rPr>
        <w:t>v roce</w:t>
      </w:r>
      <w:r w:rsidRPr="0092047B">
        <w:rPr>
          <w:rFonts w:cstheme="minorHAnsi"/>
          <w:bCs/>
        </w:rPr>
        <w:t xml:space="preserve"> 2012 (s kapacitou 30 mld. m</w:t>
      </w:r>
      <w:r w:rsidRPr="0092047B">
        <w:rPr>
          <w:rFonts w:cstheme="minorHAnsi"/>
          <w:bCs/>
          <w:vertAlign w:val="superscript"/>
        </w:rPr>
        <w:t>3</w:t>
      </w:r>
      <w:r w:rsidRPr="0092047B">
        <w:rPr>
          <w:rFonts w:cstheme="minorHAnsi"/>
          <w:bCs/>
        </w:rPr>
        <w:t xml:space="preserve">/rok) </w:t>
      </w:r>
      <w:r w:rsidR="006028DF" w:rsidRPr="0092047B">
        <w:rPr>
          <w:rFonts w:cstheme="minorHAnsi"/>
          <w:bCs/>
        </w:rPr>
        <w:t xml:space="preserve">je </w:t>
      </w:r>
      <w:r w:rsidRPr="0092047B">
        <w:rPr>
          <w:rFonts w:cstheme="minorHAnsi"/>
          <w:bCs/>
        </w:rPr>
        <w:t xml:space="preserve">přes území ČR přepravován plyn především v ose sever/jih, s tím, že </w:t>
      </w:r>
      <w:r w:rsidR="006028DF" w:rsidRPr="0092047B">
        <w:rPr>
          <w:rFonts w:cstheme="minorHAnsi"/>
          <w:bCs/>
        </w:rPr>
        <w:t xml:space="preserve">je </w:t>
      </w:r>
      <w:r w:rsidRPr="0092047B">
        <w:rPr>
          <w:rFonts w:cstheme="minorHAnsi"/>
          <w:bCs/>
        </w:rPr>
        <w:t>přepravován plyn z plynovodů Nord Stream a OPAL plynovodem Gazela dále do SRN a Francie. Velký význam pro bezpečnost a</w:t>
      </w:r>
      <w:r w:rsidR="005F0372" w:rsidRPr="0092047B">
        <w:rPr>
          <w:rFonts w:cstheme="minorHAnsi"/>
          <w:bCs/>
        </w:rPr>
        <w:t xml:space="preserve"> spolehlivost zásobování tuzemských zákazníků má především skutečnost, že plynovod Gazela </w:t>
      </w:r>
      <w:r w:rsidR="006028DF" w:rsidRPr="0092047B">
        <w:rPr>
          <w:rFonts w:cstheme="minorHAnsi"/>
          <w:bCs/>
        </w:rPr>
        <w:t xml:space="preserve">je </w:t>
      </w:r>
      <w:r w:rsidRPr="0092047B">
        <w:rPr>
          <w:rFonts w:cstheme="minorHAnsi"/>
          <w:bCs/>
        </w:rPr>
        <w:t>v několika uzlech propojen s přepravní soustavou ČR, což v</w:t>
      </w:r>
      <w:r w:rsidR="005F0372" w:rsidRPr="0092047B">
        <w:rPr>
          <w:rFonts w:cstheme="minorHAnsi"/>
          <w:bCs/>
        </w:rPr>
        <w:t> případě opakování dřívějších problémů s dodávkami přes Ukrajinu, může zajistit alternativní zásobování.</w:t>
      </w:r>
      <w:r w:rsidRPr="0092047B">
        <w:rPr>
          <w:rFonts w:cstheme="minorHAnsi"/>
          <w:bCs/>
        </w:rPr>
        <w:t xml:space="preserve"> V roce 2011 byla také dokončena stavba </w:t>
      </w:r>
      <w:r w:rsidR="000B1384">
        <w:rPr>
          <w:rFonts w:cstheme="minorHAnsi"/>
          <w:bCs/>
        </w:rPr>
        <w:t>prvního česko-polského plynovou</w:t>
      </w:r>
      <w:r w:rsidRPr="0092047B">
        <w:rPr>
          <w:rFonts w:cstheme="minorHAnsi"/>
          <w:bCs/>
        </w:rPr>
        <w:t xml:space="preserve"> STORK </w:t>
      </w:r>
      <w:r w:rsidR="000B1384">
        <w:rPr>
          <w:rFonts w:cstheme="minorHAnsi"/>
          <w:bCs/>
        </w:rPr>
        <w:t xml:space="preserve">I </w:t>
      </w:r>
      <w:r w:rsidR="00216DE1">
        <w:rPr>
          <w:rFonts w:cstheme="minorHAnsi"/>
          <w:bCs/>
        </w:rPr>
        <w:t>s roční kapacitou</w:t>
      </w:r>
      <w:r w:rsidRPr="0092047B">
        <w:rPr>
          <w:rFonts w:cstheme="minorHAnsi"/>
          <w:bCs/>
        </w:rPr>
        <w:t xml:space="preserve"> 0,5</w:t>
      </w:r>
      <w:r w:rsidR="00896797" w:rsidRPr="0092047B">
        <w:rPr>
          <w:rFonts w:cstheme="minorHAnsi"/>
          <w:bCs/>
        </w:rPr>
        <w:t xml:space="preserve"> </w:t>
      </w:r>
      <w:r w:rsidRPr="0092047B">
        <w:rPr>
          <w:rFonts w:cstheme="minorHAnsi"/>
          <w:bCs/>
        </w:rPr>
        <w:t>mld. m</w:t>
      </w:r>
      <w:r w:rsidRPr="0092047B">
        <w:rPr>
          <w:rFonts w:cstheme="minorHAnsi"/>
          <w:bCs/>
          <w:vertAlign w:val="superscript"/>
        </w:rPr>
        <w:t>3</w:t>
      </w:r>
      <w:r w:rsidR="00216DE1">
        <w:rPr>
          <w:rFonts w:cstheme="minorHAnsi"/>
          <w:bCs/>
        </w:rPr>
        <w:t>. Prioritou je rozšíření česko-polského propojení pomocí druhého plynovodu STORK II s celkovou roční kapacitou až 6,5 mld. m</w:t>
      </w:r>
      <w:r w:rsidR="00216DE1" w:rsidRPr="00216DE1">
        <w:rPr>
          <w:rFonts w:cstheme="minorHAnsi"/>
          <w:bCs/>
          <w:vertAlign w:val="superscript"/>
        </w:rPr>
        <w:t>3</w:t>
      </w:r>
      <w:r w:rsidR="00914297">
        <w:rPr>
          <w:rFonts w:cstheme="minorHAnsi"/>
          <w:bCs/>
        </w:rPr>
        <w:t xml:space="preserve">, který je součástí </w:t>
      </w:r>
      <w:r w:rsidRPr="0092047B">
        <w:rPr>
          <w:rFonts w:cstheme="minorHAnsi"/>
          <w:bCs/>
        </w:rPr>
        <w:t xml:space="preserve">severojižního </w:t>
      </w:r>
      <w:r w:rsidR="00914297">
        <w:rPr>
          <w:rFonts w:cstheme="minorHAnsi"/>
          <w:bCs/>
        </w:rPr>
        <w:t>koridoru ve střední a východní Evropě a zároveň obdržel status projektu společného zájmu (PCI)</w:t>
      </w:r>
      <w:r w:rsidRPr="0092047B">
        <w:rPr>
          <w:rFonts w:cstheme="minorHAnsi"/>
          <w:bCs/>
        </w:rPr>
        <w:t>.</w:t>
      </w:r>
      <w:r w:rsidR="00E54F94">
        <w:rPr>
          <w:rFonts w:cstheme="minorHAnsi"/>
          <w:bCs/>
        </w:rPr>
        <w:t xml:space="preserve"> Další variantní plynovody jsou Moravia, BACI a Oberkappel. </w:t>
      </w:r>
      <w:r w:rsidRPr="0092047B">
        <w:rPr>
          <w:rFonts w:cstheme="minorHAnsi"/>
          <w:bCs/>
        </w:rPr>
        <w:t>Zásobníky plynu mají v současnosti kapacitu 3,442 mld. m</w:t>
      </w:r>
      <w:r w:rsidRPr="0092047B">
        <w:rPr>
          <w:rFonts w:cstheme="minorHAnsi"/>
          <w:bCs/>
          <w:vertAlign w:val="superscript"/>
        </w:rPr>
        <w:t>3</w:t>
      </w:r>
      <w:r w:rsidRPr="0092047B">
        <w:rPr>
          <w:rFonts w:cstheme="minorHAnsi"/>
          <w:bCs/>
        </w:rPr>
        <w:t xml:space="preserve"> (cca 35 – 40</w:t>
      </w:r>
      <w:r w:rsidR="00896797" w:rsidRPr="0092047B">
        <w:rPr>
          <w:rFonts w:cstheme="minorHAnsi"/>
          <w:bCs/>
        </w:rPr>
        <w:t> </w:t>
      </w:r>
      <w:r w:rsidRPr="0092047B">
        <w:rPr>
          <w:rFonts w:cstheme="minorHAnsi"/>
          <w:bCs/>
        </w:rPr>
        <w:t>% tuzemské roční spotřeby) a těžební výkon mezi 55 mil. m</w:t>
      </w:r>
      <w:r w:rsidRPr="0092047B">
        <w:rPr>
          <w:rFonts w:cstheme="minorHAnsi"/>
          <w:bCs/>
          <w:vertAlign w:val="superscript"/>
        </w:rPr>
        <w:t>3</w:t>
      </w:r>
      <w:r w:rsidRPr="0092047B">
        <w:rPr>
          <w:rFonts w:cstheme="minorHAnsi"/>
          <w:bCs/>
        </w:rPr>
        <w:t>/den (počátek zimy) a 33 mil. m</w:t>
      </w:r>
      <w:r w:rsidRPr="0092047B">
        <w:rPr>
          <w:rFonts w:cstheme="minorHAnsi"/>
          <w:bCs/>
          <w:vertAlign w:val="superscript"/>
        </w:rPr>
        <w:t>3</w:t>
      </w:r>
      <w:r w:rsidRPr="0092047B">
        <w:rPr>
          <w:rFonts w:cstheme="minorHAnsi"/>
          <w:bCs/>
        </w:rPr>
        <w:t xml:space="preserve"> (konec zimy). Vzhledem k předpokladu nárůstu využívání zemního plynu je třeba zajistit jeho bezpečnou a diverzifikovanou dopravu.</w:t>
      </w:r>
    </w:p>
    <w:p w:rsidR="00695A14" w:rsidRPr="0092047B" w:rsidRDefault="005F0372" w:rsidP="00184DC1">
      <w:pPr>
        <w:rPr>
          <w:rFonts w:cstheme="minorHAnsi"/>
        </w:rPr>
      </w:pPr>
      <w:r w:rsidRPr="00812E53">
        <w:rPr>
          <w:rFonts w:cstheme="minorHAnsi"/>
        </w:rPr>
        <w:t xml:space="preserve">Spotřeba </w:t>
      </w:r>
      <w:r w:rsidRPr="00812E53">
        <w:rPr>
          <w:rFonts w:cstheme="minorHAnsi"/>
          <w:b/>
        </w:rPr>
        <w:t>ropy</w:t>
      </w:r>
      <w:r w:rsidRPr="0092047B">
        <w:rPr>
          <w:rFonts w:cstheme="minorHAnsi"/>
        </w:rPr>
        <w:t xml:space="preserve"> se s výjimkou </w:t>
      </w:r>
      <w:r w:rsidR="00694069">
        <w:rPr>
          <w:rFonts w:cstheme="minorHAnsi"/>
        </w:rPr>
        <w:t>vy</w:t>
      </w:r>
      <w:r w:rsidRPr="0092047B">
        <w:rPr>
          <w:rFonts w:cstheme="minorHAnsi"/>
        </w:rPr>
        <w:t>užití v dopravě nezvyšuje (významné však je i její využití v chemickém průmyslu), pro výrobu tepla (topné oleje) v ČR činí jen cca 2 %. Naproti tomu v některých zemích západní Evropy byly v minulých letech pro otop domů využívány topné oleje až ve výši 50 %. Vzhledem ke zpřísnění emisních limitů nelze očekávat stimul na další zvyšování spotřeby ropy. V sektoru dopravy nicméně bude ropa j</w:t>
      </w:r>
      <w:r w:rsidRPr="0092047B">
        <w:rPr>
          <w:rFonts w:cstheme="minorHAnsi"/>
          <w:bCs/>
        </w:rPr>
        <w:t>eště řadu let dominovat,</w:t>
      </w:r>
      <w:r w:rsidR="000B701E" w:rsidRPr="0092047B">
        <w:rPr>
          <w:rFonts w:cstheme="minorHAnsi"/>
          <w:bCs/>
        </w:rPr>
        <w:t xml:space="preserve"> a proto je třeba zajistit dostatečné a diverzifikované cesty pro její dovoz.  </w:t>
      </w:r>
      <w:r w:rsidR="000B701E" w:rsidRPr="0092047B">
        <w:rPr>
          <w:rFonts w:cstheme="minorHAnsi"/>
        </w:rPr>
        <w:t>Český ropný sektor byl plně liberalizován ještě před vstupem ČR do EU. Tuzemské rafinérské společnosti byly privatizovány a obchod s ropnými produkty se plně řídí podmínkami trhu.</w:t>
      </w:r>
      <w:r w:rsidR="00D5011D">
        <w:rPr>
          <w:rStyle w:val="Znakapoznpodarou"/>
          <w:rFonts w:cstheme="minorHAnsi"/>
        </w:rPr>
        <w:footnoteReference w:id="5"/>
      </w:r>
      <w:r w:rsidR="000B701E" w:rsidRPr="0092047B">
        <w:rPr>
          <w:rFonts w:cstheme="minorHAnsi"/>
        </w:rPr>
        <w:t xml:space="preserve"> Stát tak může prostřednictvím legislativy ovlivňovat pouze některé oblasti ropného hospodářství ČR, např. výši a strukturu nouzových zásob ropy a ropných produktů. </w:t>
      </w:r>
      <w:r w:rsidR="00822AD0" w:rsidRPr="0092047B">
        <w:rPr>
          <w:rFonts w:cstheme="minorHAnsi"/>
        </w:rPr>
        <w:t>Je však ve strategickém zájmu ČR udržet určitou minimální úroveň zpracování ropy v ČR trvale.</w:t>
      </w:r>
    </w:p>
    <w:p w:rsidR="000B701E" w:rsidRPr="0092047B" w:rsidRDefault="000B701E" w:rsidP="00184DC1">
      <w:pPr>
        <w:rPr>
          <w:rFonts w:cstheme="minorHAnsi"/>
          <w:bCs/>
          <w:szCs w:val="28"/>
        </w:rPr>
      </w:pPr>
      <w:r w:rsidRPr="0092047B">
        <w:rPr>
          <w:rFonts w:cstheme="minorHAnsi"/>
        </w:rPr>
        <w:t xml:space="preserve">Český stát si ponechává ve svém vlastnictví dvě významné společnosti odvětví. </w:t>
      </w:r>
      <w:r w:rsidR="00BB08E2">
        <w:rPr>
          <w:rFonts w:cstheme="minorHAnsi"/>
        </w:rPr>
        <w:t>První je s</w:t>
      </w:r>
      <w:r w:rsidRPr="0092047B">
        <w:rPr>
          <w:rFonts w:cstheme="minorHAnsi"/>
        </w:rPr>
        <w:t>polečnost MERO ČR, a.s., která vlastní a provozuje ropovody Družba a </w:t>
      </w:r>
      <w:r w:rsidR="00CE12AF" w:rsidRPr="0092047B">
        <w:rPr>
          <w:rFonts w:cstheme="minorHAnsi"/>
        </w:rPr>
        <w:t>Ingolstadt-Kralupy-Litvínov</w:t>
      </w:r>
      <w:r w:rsidRPr="0092047B">
        <w:rPr>
          <w:rFonts w:cstheme="minorHAnsi"/>
        </w:rPr>
        <w:t xml:space="preserve"> (prostřednictvím své dceřiné společnosti provozuje i německou část ropovodu IKL) na území ČR a centrální tankoviště ropy u Kralup nad Vltavou, kde se nachází i úložiště nouzových zásob ropy ČR</w:t>
      </w:r>
      <w:r w:rsidR="00BB08E2">
        <w:rPr>
          <w:rFonts w:cstheme="minorHAnsi"/>
        </w:rPr>
        <w:t>. Druhou je</w:t>
      </w:r>
      <w:r w:rsidR="00481663">
        <w:rPr>
          <w:rFonts w:cstheme="minorHAnsi"/>
        </w:rPr>
        <w:t> společnost ČEPRO, a.</w:t>
      </w:r>
      <w:r w:rsidRPr="0092047B">
        <w:rPr>
          <w:rFonts w:cstheme="minorHAnsi"/>
        </w:rPr>
        <w:t xml:space="preserve">s., která vlastní a provozuje tuzemský produktovodní systém spojující potrubím sklady a střediska ČEPRO s rafineriemi v Litvínově, v Kralupech nad Vltavou a rovněž se Slovenskem, a dále vlastní </w:t>
      </w:r>
      <w:r w:rsidR="00BA55CA">
        <w:rPr>
          <w:rFonts w:cstheme="minorHAnsi"/>
        </w:rPr>
        <w:t xml:space="preserve">a </w:t>
      </w:r>
      <w:r w:rsidRPr="0092047B">
        <w:rPr>
          <w:rFonts w:cstheme="minorHAnsi"/>
        </w:rPr>
        <w:t>provozuje významné skladovací kapacity na pohonné hmoty.</w:t>
      </w:r>
      <w:r w:rsidRPr="0092047B">
        <w:rPr>
          <w:rFonts w:cstheme="minorHAnsi"/>
          <w:bCs/>
        </w:rPr>
        <w:t xml:space="preserve"> </w:t>
      </w:r>
      <w:r w:rsidRPr="0092047B">
        <w:rPr>
          <w:rFonts w:cstheme="minorHAnsi"/>
        </w:rPr>
        <w:t>I v oblasti dodávek ropy je Česká republika téměř ze sta procent závislá na dovozu (tuz</w:t>
      </w:r>
      <w:r w:rsidR="00583ADD" w:rsidRPr="0092047B">
        <w:rPr>
          <w:rFonts w:cstheme="minorHAnsi"/>
        </w:rPr>
        <w:t>emská těžba se pohybuje okolo 3 </w:t>
      </w:r>
      <w:r w:rsidRPr="0092047B">
        <w:rPr>
          <w:rFonts w:cstheme="minorHAnsi"/>
        </w:rPr>
        <w:t>% roční spotřeby)</w:t>
      </w:r>
      <w:r w:rsidR="00BB08E2">
        <w:rPr>
          <w:rFonts w:cstheme="minorHAnsi"/>
        </w:rPr>
        <w:t>;</w:t>
      </w:r>
      <w:r w:rsidRPr="0092047B">
        <w:rPr>
          <w:rFonts w:cstheme="minorHAnsi"/>
        </w:rPr>
        <w:t xml:space="preserve"> dominantní zůstávají dodávky z Ruské federace. K diversifikaci dovozu došlo roku 1995, kdy byl do provozu uveden ropovod IKL, který napojuje ČR na ropovod TAL</w:t>
      </w:r>
      <w:r w:rsidR="005A13F4">
        <w:rPr>
          <w:rFonts w:cstheme="minorHAnsi"/>
        </w:rPr>
        <w:t xml:space="preserve"> (Transalpine pipeline)</w:t>
      </w:r>
      <w:r w:rsidR="00481663">
        <w:rPr>
          <w:rFonts w:cstheme="minorHAnsi"/>
        </w:rPr>
        <w:t>,</w:t>
      </w:r>
      <w:r w:rsidRPr="0092047B">
        <w:rPr>
          <w:rFonts w:cstheme="minorHAnsi"/>
        </w:rPr>
        <w:t xml:space="preserve"> </w:t>
      </w:r>
      <w:r w:rsidR="005B6D9E" w:rsidRPr="0092047B">
        <w:rPr>
          <w:rFonts w:cstheme="minorHAnsi"/>
        </w:rPr>
        <w:t>přivádějící</w:t>
      </w:r>
      <w:r w:rsidRPr="0092047B">
        <w:rPr>
          <w:rFonts w:cstheme="minorHAnsi"/>
        </w:rPr>
        <w:t xml:space="preserve"> ropu z ropného terminálu v italském Terstu. Ropovodem IKL k nám proudí zejména nízko</w:t>
      </w:r>
      <w:r w:rsidR="00481663">
        <w:rPr>
          <w:rFonts w:cstheme="minorHAnsi"/>
        </w:rPr>
        <w:t>-</w:t>
      </w:r>
      <w:r w:rsidRPr="0092047B">
        <w:rPr>
          <w:rFonts w:cstheme="minorHAnsi"/>
        </w:rPr>
        <w:t>sirné, tzv. sladké ropy, které jsou zpracovávány v rafinérii Kralupy. V posledním období je však tento ropovod výrazně využíván i pro dopravu ropy z Ruské federace. To vede k tomu, že podíl obou ropovodů na dodávkách ropy do České republiky je již v současnosti takřka vyrovnaný.</w:t>
      </w:r>
      <w:r w:rsidRPr="0092047B">
        <w:rPr>
          <w:rFonts w:cstheme="minorHAnsi"/>
          <w:bCs/>
        </w:rPr>
        <w:t xml:space="preserve"> </w:t>
      </w:r>
      <w:r w:rsidRPr="0092047B">
        <w:rPr>
          <w:rFonts w:cstheme="minorHAnsi"/>
          <w:bCs/>
          <w:szCs w:val="28"/>
        </w:rPr>
        <w:t xml:space="preserve">Importní kapacita ropovodu Družba z východu je cca 10 mil. t/rok a ropovodu IKL ze západu cca 11 mil. t/rok. Skladovací kapacita Centrálního tankoviště ropy, využívaného pro skladování </w:t>
      </w:r>
      <w:r w:rsidR="00583ADD" w:rsidRPr="0092047B">
        <w:rPr>
          <w:rFonts w:cstheme="minorHAnsi"/>
          <w:bCs/>
          <w:szCs w:val="28"/>
        </w:rPr>
        <w:t>nouzových zásob ropy, činí 1,55 </w:t>
      </w:r>
      <w:r w:rsidRPr="0092047B">
        <w:rPr>
          <w:rFonts w:cstheme="minorHAnsi"/>
          <w:bCs/>
          <w:szCs w:val="28"/>
        </w:rPr>
        <w:t>mil. m</w:t>
      </w:r>
      <w:r w:rsidRPr="0092047B">
        <w:rPr>
          <w:rFonts w:cstheme="minorHAnsi"/>
          <w:bCs/>
          <w:szCs w:val="28"/>
          <w:vertAlign w:val="superscript"/>
        </w:rPr>
        <w:t xml:space="preserve">3 </w:t>
      </w:r>
      <w:r w:rsidRPr="0092047B">
        <w:rPr>
          <w:rFonts w:cstheme="minorHAnsi"/>
          <w:szCs w:val="20"/>
        </w:rPr>
        <w:t>v rámci reálných podmínek</w:t>
      </w:r>
      <w:r w:rsidRPr="0092047B">
        <w:rPr>
          <w:rFonts w:cstheme="minorHAnsi"/>
          <w:bCs/>
          <w:szCs w:val="28"/>
        </w:rPr>
        <w:t xml:space="preserve">. </w:t>
      </w:r>
      <w:r w:rsidR="003B5E0B" w:rsidRPr="003B5E0B">
        <w:rPr>
          <w:rFonts w:cstheme="minorHAnsi"/>
          <w:bCs/>
          <w:szCs w:val="28"/>
        </w:rPr>
        <w:t>Objem nouzových zásob ropy a ropných produktů přesahuje předepsaných 90 dní jak podle předcházející metodiky vycházející z průměrné domácí spotřeby, tak podle nové metodiky vycházející z čistých dovozů (Směrnice Rady 2009/119/ES).</w:t>
      </w:r>
    </w:p>
    <w:p w:rsidR="000B701E" w:rsidRPr="0092047B" w:rsidRDefault="000B701E" w:rsidP="00184DC1">
      <w:pPr>
        <w:rPr>
          <w:rFonts w:cstheme="minorHAnsi"/>
          <w:bCs/>
        </w:rPr>
      </w:pPr>
      <w:r w:rsidRPr="0092047B">
        <w:rPr>
          <w:rFonts w:cstheme="minorHAnsi"/>
          <w:b/>
        </w:rPr>
        <w:t>Obnovitelné zdroje energie</w:t>
      </w:r>
      <w:r w:rsidRPr="0092047B">
        <w:rPr>
          <w:rFonts w:cstheme="minorHAnsi"/>
        </w:rPr>
        <w:t xml:space="preserve"> (OZE) jsou v podmínkách ČR nefosilní přírodní zdroje energie, tj. energie vody, větru, slunečního záření, pevné biomasy a bioplynu, energie okolního prostředí, geotermální energie a energie kapalných biopaliv. Hrubá výroba elektřiny z obnovitelných zdrojů se v roce 2010 podílela na tuzemské hrubé spotřebě elektřiny 8,3</w:t>
      </w:r>
      <w:r w:rsidR="000D4ABA" w:rsidRPr="0092047B">
        <w:rPr>
          <w:rFonts w:cstheme="minorHAnsi"/>
        </w:rPr>
        <w:t> </w:t>
      </w:r>
      <w:r w:rsidRPr="0092047B">
        <w:rPr>
          <w:rFonts w:cstheme="minorHAnsi"/>
        </w:rPr>
        <w:t>%. Národní indikativní cíl tohoto podílu byl pro Českou republiku stanoven na 8</w:t>
      </w:r>
      <w:r w:rsidR="000D4ABA" w:rsidRPr="0092047B">
        <w:rPr>
          <w:rFonts w:cstheme="minorHAnsi"/>
        </w:rPr>
        <w:t> </w:t>
      </w:r>
      <w:r w:rsidRPr="0092047B">
        <w:rPr>
          <w:rFonts w:cstheme="minorHAnsi"/>
        </w:rPr>
        <w:t>% v roc</w:t>
      </w:r>
      <w:r w:rsidR="00583ADD" w:rsidRPr="0092047B">
        <w:rPr>
          <w:rFonts w:cstheme="minorHAnsi"/>
        </w:rPr>
        <w:t xml:space="preserve">e 2010. </w:t>
      </w:r>
      <w:r w:rsidRPr="0092047B">
        <w:rPr>
          <w:rFonts w:cstheme="minorHAnsi"/>
        </w:rPr>
        <w:t>Podíl hrubé výroby tepelné energie z OZE se na celkové výrobě tepelné energie pohybuje zhruba okolo 8</w:t>
      </w:r>
      <w:r w:rsidR="000D4ABA" w:rsidRPr="0092047B">
        <w:rPr>
          <w:rFonts w:cstheme="minorHAnsi"/>
        </w:rPr>
        <w:t> </w:t>
      </w:r>
      <w:r w:rsidRPr="0092047B">
        <w:rPr>
          <w:rFonts w:cstheme="minorHAnsi"/>
        </w:rPr>
        <w:t xml:space="preserve">%. </w:t>
      </w:r>
      <w:r w:rsidRPr="0092047B">
        <w:rPr>
          <w:rFonts w:cstheme="minorHAnsi"/>
          <w:bCs/>
        </w:rPr>
        <w:t xml:space="preserve">Státní energetická koncepce je v souladu s Národním akčním plánem České republiky pro energii z OZE a snaží </w:t>
      </w:r>
      <w:r w:rsidR="00D14BFE" w:rsidRPr="0092047B">
        <w:rPr>
          <w:rFonts w:cstheme="minorHAnsi"/>
          <w:bCs/>
        </w:rPr>
        <w:t xml:space="preserve">se </w:t>
      </w:r>
      <w:r w:rsidRPr="0092047B">
        <w:rPr>
          <w:rFonts w:cstheme="minorHAnsi"/>
          <w:bCs/>
        </w:rPr>
        <w:t>o to, aby bylo ve sledovaném horizontu zajištěno plné využívání potenciálu biomasy stanoveného Akčním plánem pro biomasu a bylo v souladu s požadavky ochrany životního prostředí a zajištění potravinové bezpečnosti.</w:t>
      </w:r>
    </w:p>
    <w:p w:rsidR="00CD2A59" w:rsidRPr="0092047B" w:rsidRDefault="000B701E" w:rsidP="00184DC1">
      <w:pPr>
        <w:rPr>
          <w:rFonts w:cstheme="minorHAnsi"/>
          <w:bCs/>
        </w:rPr>
      </w:pPr>
      <w:r w:rsidRPr="0092047B">
        <w:rPr>
          <w:u w:val="single"/>
        </w:rPr>
        <w:t>Biomasa</w:t>
      </w:r>
      <w:r w:rsidRPr="0092047B">
        <w:rPr>
          <w:rFonts w:cstheme="minorHAnsi"/>
          <w:bCs/>
        </w:rPr>
        <w:t xml:space="preserve"> je jediným dodatečným a ve větším rozsahu dostupným systémovým obnovitelným zdrojem energie v ČR pro potřeby teplárenství. Ostatní formy obnovitelných zdrojů jsou z technických</w:t>
      </w:r>
      <w:r w:rsidR="00A85C30" w:rsidRPr="0092047B">
        <w:rPr>
          <w:rFonts w:cstheme="minorHAnsi"/>
          <w:bCs/>
        </w:rPr>
        <w:t xml:space="preserve"> a jiných důvodů</w:t>
      </w:r>
      <w:r w:rsidRPr="0092047B">
        <w:rPr>
          <w:rFonts w:cstheme="minorHAnsi"/>
          <w:bCs/>
        </w:rPr>
        <w:t xml:space="preserve"> </w:t>
      </w:r>
      <w:r w:rsidR="00BB08E2">
        <w:rPr>
          <w:rFonts w:cstheme="minorHAnsi"/>
          <w:bCs/>
        </w:rPr>
        <w:t>(</w:t>
      </w:r>
      <w:r w:rsidR="00BB08E2" w:rsidRPr="0092047B">
        <w:rPr>
          <w:rFonts w:cstheme="minorHAnsi"/>
          <w:bCs/>
        </w:rPr>
        <w:t>sociálně-environmentálních</w:t>
      </w:r>
      <w:r w:rsidR="00BB08E2">
        <w:rPr>
          <w:rFonts w:cstheme="minorHAnsi"/>
          <w:bCs/>
        </w:rPr>
        <w:t>)</w:t>
      </w:r>
      <w:r w:rsidR="00BB08E2" w:rsidRPr="0092047B">
        <w:rPr>
          <w:rFonts w:cstheme="minorHAnsi"/>
          <w:bCs/>
        </w:rPr>
        <w:t xml:space="preserve"> </w:t>
      </w:r>
      <w:r w:rsidRPr="0092047B">
        <w:rPr>
          <w:rFonts w:cstheme="minorHAnsi"/>
          <w:bCs/>
        </w:rPr>
        <w:t xml:space="preserve">pro účely teplárenství omezené. Geotermální energie má v ČR </w:t>
      </w:r>
      <w:r w:rsidR="00E64319">
        <w:rPr>
          <w:rFonts w:cstheme="minorHAnsi"/>
          <w:bCs/>
        </w:rPr>
        <w:t>zatím neověřený</w:t>
      </w:r>
      <w:r w:rsidR="00EB64F5">
        <w:rPr>
          <w:rFonts w:cstheme="minorHAnsi"/>
          <w:bCs/>
        </w:rPr>
        <w:t xml:space="preserve"> </w:t>
      </w:r>
      <w:r w:rsidRPr="0092047B">
        <w:rPr>
          <w:rFonts w:cstheme="minorHAnsi"/>
          <w:bCs/>
        </w:rPr>
        <w:t>potenciál</w:t>
      </w:r>
      <w:r w:rsidR="004432DE">
        <w:rPr>
          <w:rStyle w:val="Znakapoznpodarou"/>
          <w:rFonts w:cstheme="minorHAnsi"/>
          <w:bCs/>
        </w:rPr>
        <w:footnoteReference w:id="6"/>
      </w:r>
      <w:r w:rsidR="004432DE">
        <w:rPr>
          <w:rFonts w:cstheme="minorHAnsi"/>
          <w:bCs/>
        </w:rPr>
        <w:t xml:space="preserve"> </w:t>
      </w:r>
      <w:r w:rsidRPr="0092047B">
        <w:rPr>
          <w:rFonts w:cstheme="minorHAnsi"/>
          <w:bCs/>
        </w:rPr>
        <w:t>a vysoké náklady</w:t>
      </w:r>
      <w:r w:rsidR="004432DE">
        <w:rPr>
          <w:rFonts w:cstheme="minorHAnsi"/>
          <w:bCs/>
        </w:rPr>
        <w:t>.</w:t>
      </w:r>
      <w:r w:rsidRPr="0092047B">
        <w:rPr>
          <w:rFonts w:cstheme="minorHAnsi"/>
          <w:bCs/>
        </w:rPr>
        <w:t xml:space="preserve"> </w:t>
      </w:r>
      <w:r w:rsidR="004432DE">
        <w:rPr>
          <w:rFonts w:cstheme="minorHAnsi"/>
          <w:bCs/>
        </w:rPr>
        <w:t>E</w:t>
      </w:r>
      <w:r w:rsidRPr="0092047B">
        <w:rPr>
          <w:rFonts w:cstheme="minorHAnsi"/>
          <w:bCs/>
        </w:rPr>
        <w:t>nergie větru a vody není pro teplárenství vhodná a využití sluneční energie nemá dostatečný potenciál pro centralizované dodávky</w:t>
      </w:r>
      <w:r w:rsidR="00046D2C">
        <w:rPr>
          <w:rFonts w:cstheme="minorHAnsi"/>
          <w:bCs/>
        </w:rPr>
        <w:t xml:space="preserve"> tepla</w:t>
      </w:r>
      <w:r w:rsidRPr="0092047B">
        <w:rPr>
          <w:rFonts w:cstheme="minorHAnsi"/>
          <w:bCs/>
        </w:rPr>
        <w:t>. Očekává se narůstající význam využití bioplynu především v zemědělství. Obecně je podpora biomasy prorůstové opatření z pohledu českých výrobců. Úspora produkce skleníkových plynů je u biomasy realizována s nejnižším nákladem na cenu uspořené tuny CO</w:t>
      </w:r>
      <w:r w:rsidRPr="0092047B">
        <w:rPr>
          <w:rFonts w:cstheme="minorHAnsi"/>
          <w:bCs/>
          <w:vertAlign w:val="subscript"/>
        </w:rPr>
        <w:t>2</w:t>
      </w:r>
      <w:r w:rsidR="00694069">
        <w:rPr>
          <w:rFonts w:cstheme="minorHAnsi"/>
          <w:bCs/>
        </w:rPr>
        <w:t>.</w:t>
      </w:r>
    </w:p>
    <w:p w:rsidR="00CD2A59" w:rsidRDefault="000B701E" w:rsidP="00184DC1">
      <w:pPr>
        <w:rPr>
          <w:rFonts w:cstheme="minorHAnsi"/>
          <w:bCs/>
        </w:rPr>
      </w:pPr>
      <w:r w:rsidRPr="0092047B">
        <w:rPr>
          <w:rFonts w:cstheme="minorHAnsi"/>
          <w:bCs/>
        </w:rPr>
        <w:t xml:space="preserve">Některé zdroje uvádí, že další druhy emisí, vznikající při spalování biomasy (zejména polétavý prach), jsou v některých případech vyšší než </w:t>
      </w:r>
      <w:r w:rsidR="00BB08E2">
        <w:rPr>
          <w:rFonts w:cstheme="minorHAnsi"/>
          <w:bCs/>
        </w:rPr>
        <w:t>při</w:t>
      </w:r>
      <w:r w:rsidRPr="0092047B">
        <w:rPr>
          <w:rFonts w:cstheme="minorHAnsi"/>
          <w:bCs/>
        </w:rPr>
        <w:t> </w:t>
      </w:r>
      <w:r w:rsidR="00BA55CA">
        <w:rPr>
          <w:rFonts w:cstheme="minorHAnsi"/>
          <w:bCs/>
        </w:rPr>
        <w:t xml:space="preserve">spalování </w:t>
      </w:r>
      <w:r w:rsidRPr="0092047B">
        <w:rPr>
          <w:rFonts w:cstheme="minorHAnsi"/>
          <w:bCs/>
        </w:rPr>
        <w:t xml:space="preserve">zemního plynu, ale dokonce i než při spalování uhlí. Proto je nezbytné zajistit, aby </w:t>
      </w:r>
      <w:r w:rsidR="00A01A21" w:rsidRPr="0092047B">
        <w:rPr>
          <w:rFonts w:cstheme="minorHAnsi"/>
          <w:bCs/>
        </w:rPr>
        <w:t>byl</w:t>
      </w:r>
      <w:r w:rsidRPr="0092047B">
        <w:rPr>
          <w:rFonts w:cstheme="minorHAnsi"/>
          <w:bCs/>
        </w:rPr>
        <w:t xml:space="preserve"> rozvoj spalování biomasy realizován  technologie</w:t>
      </w:r>
      <w:r w:rsidR="00BA55CA">
        <w:rPr>
          <w:rFonts w:cstheme="minorHAnsi"/>
          <w:bCs/>
        </w:rPr>
        <w:t>mi minimalizujícími tuto zátěž.</w:t>
      </w:r>
    </w:p>
    <w:p w:rsidR="00CD2A59" w:rsidRPr="0092047B" w:rsidRDefault="000B701E" w:rsidP="00184DC1">
      <w:pPr>
        <w:keepLines/>
        <w:rPr>
          <w:rFonts w:cstheme="minorHAnsi"/>
          <w:bCs/>
        </w:rPr>
      </w:pPr>
      <w:r w:rsidRPr="0092047B">
        <w:rPr>
          <w:rFonts w:cstheme="minorHAnsi"/>
          <w:bCs/>
        </w:rPr>
        <w:t xml:space="preserve">V případě </w:t>
      </w:r>
      <w:r w:rsidRPr="0092047B">
        <w:rPr>
          <w:rFonts w:cstheme="minorHAnsi"/>
          <w:bCs/>
          <w:u w:val="single"/>
        </w:rPr>
        <w:t>velkých spalovacích zdrojů</w:t>
      </w:r>
      <w:r w:rsidRPr="0092047B">
        <w:rPr>
          <w:rFonts w:cstheme="minorHAnsi"/>
          <w:bCs/>
        </w:rPr>
        <w:t xml:space="preserve"> (P</w:t>
      </w:r>
      <w:r w:rsidRPr="0092047B">
        <w:rPr>
          <w:rFonts w:cstheme="minorHAnsi"/>
          <w:bCs/>
          <w:vertAlign w:val="subscript"/>
        </w:rPr>
        <w:t>inst</w:t>
      </w:r>
      <w:r w:rsidRPr="0092047B">
        <w:rPr>
          <w:rFonts w:cstheme="minorHAnsi"/>
          <w:bCs/>
        </w:rPr>
        <w:t xml:space="preserve"> v desítkách a stovkách MW) je spalování biomasy</w:t>
      </w:r>
      <w:r w:rsidR="00515344">
        <w:rPr>
          <w:rFonts w:cstheme="minorHAnsi"/>
          <w:bCs/>
        </w:rPr>
        <w:t xml:space="preserve"> </w:t>
      </w:r>
      <w:r w:rsidRPr="0092047B">
        <w:rPr>
          <w:rFonts w:cstheme="minorHAnsi"/>
          <w:bCs/>
        </w:rPr>
        <w:t>možné z pohledu úspory domácího uhlí, resp. snížení emisí při splnění nároků moderního a nejekologičtějšího způsobu spalování. Emise ze spalování biomasy jsou u těchto velkých zdrojů řešeny systémově, neboť tato kategorie výroby je již dnes vybavena příslušnými technologiemi čištění vypouštěných spalin a jejich odprášení apod. Bylo by vhodné specifikovat formu využití biomasy tak, aby se neprohluboval přímý konkurenční boj o vstupní surovinu mezi sektorem energetiky a</w:t>
      </w:r>
      <w:r w:rsidR="00046D2C">
        <w:rPr>
          <w:rFonts w:cstheme="minorHAnsi"/>
          <w:bCs/>
        </w:rPr>
        <w:t xml:space="preserve"> </w:t>
      </w:r>
      <w:r w:rsidRPr="0092047B">
        <w:rPr>
          <w:rFonts w:cstheme="minorHAnsi"/>
          <w:bCs/>
        </w:rPr>
        <w:t>sektory dřevozpracujícího pr</w:t>
      </w:r>
      <w:r w:rsidR="00046D2C">
        <w:rPr>
          <w:rFonts w:cstheme="minorHAnsi"/>
          <w:bCs/>
        </w:rPr>
        <w:t>ůmyslu, papírenství a celulózy.</w:t>
      </w:r>
    </w:p>
    <w:p w:rsidR="00CD2A59" w:rsidRPr="0092047B" w:rsidRDefault="000B701E" w:rsidP="00184DC1">
      <w:pPr>
        <w:rPr>
          <w:rFonts w:cstheme="minorHAnsi"/>
          <w:bCs/>
        </w:rPr>
      </w:pPr>
      <w:r w:rsidRPr="0092047B">
        <w:rPr>
          <w:rFonts w:cstheme="minorHAnsi"/>
          <w:bCs/>
        </w:rPr>
        <w:t>U </w:t>
      </w:r>
      <w:r w:rsidRPr="0092047B">
        <w:rPr>
          <w:rFonts w:cstheme="minorHAnsi"/>
          <w:bCs/>
          <w:u w:val="single"/>
        </w:rPr>
        <w:t>středních zdrojů</w:t>
      </w:r>
      <w:r w:rsidRPr="0092047B">
        <w:rPr>
          <w:rFonts w:cstheme="minorHAnsi"/>
          <w:bCs/>
        </w:rPr>
        <w:t xml:space="preserve"> (P</w:t>
      </w:r>
      <w:r w:rsidRPr="0092047B">
        <w:rPr>
          <w:rFonts w:cstheme="minorHAnsi"/>
          <w:bCs/>
          <w:vertAlign w:val="subscript"/>
        </w:rPr>
        <w:t>inst</w:t>
      </w:r>
      <w:r w:rsidRPr="0092047B">
        <w:rPr>
          <w:rFonts w:cstheme="minorHAnsi"/>
          <w:bCs/>
        </w:rPr>
        <w:t xml:space="preserve"> v jednotkách MW) je třeba primárně podporovat plynové kogenerační zdroje zapojené do sítí vysokého napětí (podpora decentrální výroby do sítí vysokého napětí). Jedná se o nejčistší způsob výroby elektřiny a tepla a při stávající podpoře výroby elektřiny i ekonomicky udržitelnou variantu. Spalování biomasy</w:t>
      </w:r>
      <w:r w:rsidR="005A13F4">
        <w:rPr>
          <w:rFonts w:cstheme="minorHAnsi"/>
          <w:bCs/>
        </w:rPr>
        <w:t xml:space="preserve"> pro výrobu tepla</w:t>
      </w:r>
      <w:r w:rsidR="00481663">
        <w:rPr>
          <w:rFonts w:cstheme="minorHAnsi"/>
          <w:bCs/>
        </w:rPr>
        <w:t xml:space="preserve"> </w:t>
      </w:r>
      <w:r w:rsidR="00046D2C">
        <w:rPr>
          <w:rFonts w:cstheme="minorHAnsi"/>
          <w:bCs/>
        </w:rPr>
        <w:t>ve</w:t>
      </w:r>
      <w:r w:rsidRPr="0092047B">
        <w:rPr>
          <w:rFonts w:cstheme="minorHAnsi"/>
          <w:bCs/>
        </w:rPr>
        <w:t> zdroj</w:t>
      </w:r>
      <w:r w:rsidR="00046D2C">
        <w:rPr>
          <w:rFonts w:cstheme="minorHAnsi"/>
          <w:bCs/>
        </w:rPr>
        <w:t>ích</w:t>
      </w:r>
      <w:r w:rsidRPr="0092047B">
        <w:rPr>
          <w:rFonts w:cstheme="minorHAnsi"/>
          <w:bCs/>
        </w:rPr>
        <w:t xml:space="preserve"> této kategorie je žádoucí umísťovat tam, kde není připojení k plynárenské síti nebo k elektrizační soustavě nebo </w:t>
      </w:r>
      <w:r w:rsidR="00BB08E2">
        <w:rPr>
          <w:rFonts w:cstheme="minorHAnsi"/>
          <w:bCs/>
        </w:rPr>
        <w:t xml:space="preserve">tam, kde </w:t>
      </w:r>
      <w:r w:rsidRPr="0092047B">
        <w:rPr>
          <w:rFonts w:cstheme="minorHAnsi"/>
          <w:bCs/>
        </w:rPr>
        <w:t>je v blízkém okolí dostatečný potenciál biomasy a </w:t>
      </w:r>
      <w:r w:rsidR="00046D2C">
        <w:rPr>
          <w:rFonts w:cstheme="minorHAnsi"/>
          <w:bCs/>
        </w:rPr>
        <w:t xml:space="preserve">již </w:t>
      </w:r>
      <w:r w:rsidRPr="0092047B">
        <w:rPr>
          <w:rFonts w:cstheme="minorHAnsi"/>
          <w:bCs/>
        </w:rPr>
        <w:t>existuj</w:t>
      </w:r>
      <w:r w:rsidR="00046D2C">
        <w:rPr>
          <w:rFonts w:cstheme="minorHAnsi"/>
          <w:bCs/>
        </w:rPr>
        <w:t>ící soustavy zásobování teplem.</w:t>
      </w:r>
    </w:p>
    <w:p w:rsidR="000B701E" w:rsidRPr="0092047B" w:rsidRDefault="000B701E" w:rsidP="00184DC1">
      <w:pPr>
        <w:rPr>
          <w:rFonts w:cstheme="minorHAnsi"/>
          <w:bCs/>
        </w:rPr>
      </w:pPr>
      <w:r w:rsidRPr="0092047B">
        <w:rPr>
          <w:rFonts w:cstheme="minorHAnsi"/>
          <w:bCs/>
          <w:u w:val="single"/>
        </w:rPr>
        <w:t>Malé zdroje</w:t>
      </w:r>
      <w:r w:rsidRPr="0092047B">
        <w:rPr>
          <w:rFonts w:cstheme="minorHAnsi"/>
          <w:bCs/>
        </w:rPr>
        <w:t xml:space="preserve"> (P</w:t>
      </w:r>
      <w:r w:rsidRPr="0092047B">
        <w:rPr>
          <w:rFonts w:cstheme="minorHAnsi"/>
          <w:bCs/>
          <w:vertAlign w:val="subscript"/>
        </w:rPr>
        <w:t>inst</w:t>
      </w:r>
      <w:r w:rsidRPr="0092047B">
        <w:rPr>
          <w:rFonts w:cstheme="minorHAnsi"/>
          <w:bCs/>
        </w:rPr>
        <w:t xml:space="preserve"> stovky kW) je třeba podporovat výběrově, neboť tyto stávající zdroje na uhlí mají nejnižší účinnost a největší vliv na imise znečišťujících látek. Jako variantní řešení se nabízí využití malé plynové kogenerace nebo peletové kotelny tam, kde je to vhodné. Zdroje na úrovni domácností není vhodné, s ohledem na neúměrnou administrativní náročnost, podporovat systémově. Efektivnější je však přímá investiční podpora obyvatelstva, například pro výměnu spalovacího zdroje, která může zajistit i kontrolu nad žádoucí technologickou úrovní zařízení a emisemi.</w:t>
      </w:r>
    </w:p>
    <w:p w:rsidR="00934F24" w:rsidRPr="0092047B" w:rsidRDefault="000B701E" w:rsidP="00184DC1">
      <w:pPr>
        <w:rPr>
          <w:rFonts w:cstheme="minorHAnsi"/>
          <w:bCs/>
        </w:rPr>
      </w:pPr>
      <w:r w:rsidRPr="0092047B">
        <w:rPr>
          <w:rFonts w:cstheme="minorHAnsi"/>
          <w:bCs/>
        </w:rPr>
        <w:t>Do roku 2020 se Česká republika zavázala, že 13</w:t>
      </w:r>
      <w:r w:rsidR="00F811B6" w:rsidRPr="0092047B">
        <w:rPr>
          <w:rFonts w:cstheme="minorHAnsi"/>
          <w:bCs/>
        </w:rPr>
        <w:t> </w:t>
      </w:r>
      <w:r w:rsidRPr="0092047B">
        <w:rPr>
          <w:rFonts w:cstheme="minorHAnsi"/>
          <w:bCs/>
        </w:rPr>
        <w:t>% hrubé konečné spotřeby energie bude kryto z OZE. Takto formulovaný cíl se střetává s dalšími požadavky, jako jsou environmentální normy ochrany ovzduší, vody a půdy a dodržení podílu deficitu státního rozpočtu na HDP menším než 3</w:t>
      </w:r>
      <w:r w:rsidR="00F811B6" w:rsidRPr="0092047B">
        <w:rPr>
          <w:rFonts w:cstheme="minorHAnsi"/>
          <w:bCs/>
        </w:rPr>
        <w:t> </w:t>
      </w:r>
      <w:r w:rsidRPr="0092047B">
        <w:rPr>
          <w:rFonts w:cstheme="minorHAnsi"/>
          <w:bCs/>
        </w:rPr>
        <w:t xml:space="preserve">%. Problémem se pak stává konkurenceschopnost EU vůči ekonomicky vyspělým či dynamicky se rozvíjejícím státům s nižšími náklady na výrobu energie či nižšími závazky a požadavky na ochranu klimatu, případně i ovzduší a obecně životního prostředí (USA, Čína, Indie, Brazílie). I přes veškerou nejistotu týkající se společné politiky EU po roce 2020 ČR vyvine úsilí splnit za přijatelných podmínek </w:t>
      </w:r>
      <w:r w:rsidR="00583ADD" w:rsidRPr="0092047B">
        <w:rPr>
          <w:rFonts w:cstheme="minorHAnsi"/>
          <w:bCs/>
        </w:rPr>
        <w:t xml:space="preserve">požadavek týkající se </w:t>
      </w:r>
      <w:r w:rsidR="00D5011D">
        <w:rPr>
          <w:rFonts w:cstheme="minorHAnsi"/>
          <w:bCs/>
        </w:rPr>
        <w:t>spotřeby</w:t>
      </w:r>
      <w:r w:rsidR="00D5011D" w:rsidRPr="0092047B">
        <w:rPr>
          <w:rFonts w:cstheme="minorHAnsi"/>
          <w:bCs/>
        </w:rPr>
        <w:t xml:space="preserve"> energie</w:t>
      </w:r>
      <w:r w:rsidRPr="0092047B">
        <w:rPr>
          <w:rFonts w:cstheme="minorHAnsi"/>
          <w:bCs/>
        </w:rPr>
        <w:t xml:space="preserve"> z obnovitelných zdrojů</w:t>
      </w:r>
      <w:r w:rsidR="00BB08E2" w:rsidRPr="00BB08E2">
        <w:rPr>
          <w:rFonts w:cstheme="minorHAnsi"/>
          <w:bCs/>
        </w:rPr>
        <w:t xml:space="preserve"> </w:t>
      </w:r>
      <w:r w:rsidR="00BB08E2">
        <w:rPr>
          <w:rFonts w:cstheme="minorHAnsi"/>
          <w:bCs/>
        </w:rPr>
        <w:t xml:space="preserve">ve výši </w:t>
      </w:r>
      <w:r w:rsidR="00BB08E2" w:rsidRPr="0092047B">
        <w:rPr>
          <w:rFonts w:cstheme="minorHAnsi"/>
          <w:bCs/>
        </w:rPr>
        <w:t>13 %</w:t>
      </w:r>
      <w:r w:rsidRPr="0092047B">
        <w:rPr>
          <w:rFonts w:cstheme="minorHAnsi"/>
          <w:bCs/>
        </w:rPr>
        <w:t>. Tohoto cíle nelze v této chvíli dosáhnout bez podpory, která</w:t>
      </w:r>
      <w:r w:rsidR="00E54F94">
        <w:rPr>
          <w:rFonts w:cstheme="minorHAnsi"/>
          <w:bCs/>
        </w:rPr>
        <w:t xml:space="preserve"> by měla být nízká, flexibilní,</w:t>
      </w:r>
      <w:r w:rsidRPr="0092047B">
        <w:rPr>
          <w:rFonts w:cstheme="minorHAnsi"/>
          <w:bCs/>
        </w:rPr>
        <w:t> postupně utlumovaná</w:t>
      </w:r>
      <w:r w:rsidR="00E54F94">
        <w:rPr>
          <w:rFonts w:cstheme="minorHAnsi"/>
          <w:bCs/>
        </w:rPr>
        <w:t xml:space="preserve"> a v dalším období cílená na ekonomicky a technologicky perspektivní zdroje</w:t>
      </w:r>
      <w:r w:rsidRPr="0092047B">
        <w:rPr>
          <w:rFonts w:cstheme="minorHAnsi"/>
          <w:bCs/>
        </w:rPr>
        <w:t xml:space="preserve">. </w:t>
      </w:r>
      <w:r w:rsidR="00E54F94">
        <w:rPr>
          <w:rFonts w:cstheme="minorHAnsi"/>
          <w:bCs/>
        </w:rPr>
        <w:t>I</w:t>
      </w:r>
      <w:r w:rsidR="00D5011D">
        <w:rPr>
          <w:rFonts w:cstheme="minorHAnsi"/>
          <w:bCs/>
        </w:rPr>
        <w:t xml:space="preserve"> v</w:t>
      </w:r>
      <w:r w:rsidR="00E54F94">
        <w:rPr>
          <w:rFonts w:cstheme="minorHAnsi"/>
          <w:bCs/>
        </w:rPr>
        <w:t xml:space="preserve"> oblasti </w:t>
      </w:r>
      <w:r w:rsidR="00D5011D">
        <w:rPr>
          <w:rFonts w:cstheme="minorHAnsi"/>
          <w:bCs/>
        </w:rPr>
        <w:t>OZE</w:t>
      </w:r>
      <w:r w:rsidR="00E54F94">
        <w:rPr>
          <w:rFonts w:cstheme="minorHAnsi"/>
          <w:bCs/>
        </w:rPr>
        <w:t xml:space="preserve"> musí vývoj</w:t>
      </w:r>
      <w:r w:rsidRPr="0092047B">
        <w:rPr>
          <w:rFonts w:cstheme="minorHAnsi"/>
          <w:bCs/>
        </w:rPr>
        <w:t xml:space="preserve"> směřovat k tržním mechanismům vzájemné konkurence různých zdrojů a technologií. V případě ekonomicky neúměrné zátěže při plnění požadavku na cíl pro obnovitelné zdroje existují i doplňující řešení. Například „statistické převody“ z jiných členských států, možné společné projekty v zahraničí apod. V situaci, kdy např. zdroje v Německu zatěžují neúměrně naše sítě, by bylo takové řešení naopak dobrým příkladem mezinárodní spolupráce, kdy jeden stát, který má vhodnější podmínky pro rozvoj OZE, staví zdroje, a druhý stát, který má příhodnou geografickou polohu, posiluje infrastrukturu, aby mohl celý region spolehlivě fungovat, přičemž země s nadměrnou instalací zdrojů by</w:t>
      </w:r>
      <w:r w:rsidR="00B72547" w:rsidRPr="0092047B">
        <w:rPr>
          <w:rFonts w:cstheme="minorHAnsi"/>
          <w:bCs/>
        </w:rPr>
        <w:t xml:space="preserve"> se měly podílet na nákladech v </w:t>
      </w:r>
      <w:r w:rsidRPr="0092047B">
        <w:rPr>
          <w:rFonts w:cstheme="minorHAnsi"/>
          <w:bCs/>
        </w:rPr>
        <w:t>regionu, kde se projeví problémy s</w:t>
      </w:r>
      <w:r w:rsidR="00D14BFE">
        <w:rPr>
          <w:rFonts w:cstheme="minorHAnsi"/>
          <w:bCs/>
        </w:rPr>
        <w:t> </w:t>
      </w:r>
      <w:r w:rsidRPr="0092047B">
        <w:rPr>
          <w:rFonts w:cstheme="minorHAnsi"/>
          <w:bCs/>
        </w:rPr>
        <w:t>kapacitou</w:t>
      </w:r>
      <w:r w:rsidR="00D14BFE">
        <w:rPr>
          <w:rFonts w:cstheme="minorHAnsi"/>
          <w:bCs/>
        </w:rPr>
        <w:t xml:space="preserve"> sítí</w:t>
      </w:r>
      <w:r w:rsidR="00046D2C">
        <w:rPr>
          <w:rFonts w:cstheme="minorHAnsi"/>
          <w:bCs/>
        </w:rPr>
        <w:t>.</w:t>
      </w:r>
    </w:p>
    <w:p w:rsidR="000B701E" w:rsidRPr="0092047B" w:rsidRDefault="000B701E" w:rsidP="00184DC1">
      <w:pPr>
        <w:rPr>
          <w:rFonts w:cstheme="minorHAnsi"/>
          <w:bCs/>
        </w:rPr>
      </w:pPr>
      <w:r w:rsidRPr="0092047B">
        <w:rPr>
          <w:rFonts w:cstheme="minorHAnsi"/>
          <w:bCs/>
        </w:rPr>
        <w:t xml:space="preserve">Dlouhodobě se v Česku využívají </w:t>
      </w:r>
      <w:r w:rsidRPr="0092047B">
        <w:rPr>
          <w:rFonts w:cstheme="minorHAnsi"/>
          <w:bCs/>
          <w:u w:val="single"/>
        </w:rPr>
        <w:t>vodní zdroje</w:t>
      </w:r>
      <w:r w:rsidRPr="0092047B">
        <w:rPr>
          <w:rFonts w:cstheme="minorHAnsi"/>
          <w:bCs/>
        </w:rPr>
        <w:t>. Jejich možnosti jsou už však v současné době do značné míry vyčerpány a jejich podíl, který je v </w:t>
      </w:r>
      <w:r w:rsidR="00CF6ECF" w:rsidRPr="0092047B">
        <w:rPr>
          <w:rFonts w:cstheme="minorHAnsi"/>
          <w:bCs/>
        </w:rPr>
        <w:t>současné době kolem</w:t>
      </w:r>
      <w:r w:rsidRPr="0092047B">
        <w:rPr>
          <w:rFonts w:cstheme="minorHAnsi"/>
          <w:bCs/>
        </w:rPr>
        <w:t xml:space="preserve"> 3</w:t>
      </w:r>
      <w:r w:rsidR="000D4ABA" w:rsidRPr="0092047B">
        <w:rPr>
          <w:rFonts w:cstheme="minorHAnsi"/>
          <w:bCs/>
        </w:rPr>
        <w:t> </w:t>
      </w:r>
      <w:r w:rsidRPr="0092047B">
        <w:rPr>
          <w:rFonts w:cstheme="minorHAnsi"/>
          <w:bCs/>
        </w:rPr>
        <w:t xml:space="preserve">%, se už nebude zásadně zvyšovat. Důležitá je pružnost těchto zdrojů, které mohou vykrývat </w:t>
      </w:r>
      <w:r w:rsidR="00D14BFE">
        <w:rPr>
          <w:rFonts w:cstheme="minorHAnsi"/>
          <w:bCs/>
        </w:rPr>
        <w:t>kolísání</w:t>
      </w:r>
      <w:r w:rsidRPr="0092047B">
        <w:rPr>
          <w:rFonts w:cstheme="minorHAnsi"/>
          <w:bCs/>
        </w:rPr>
        <w:t xml:space="preserve"> intermitentních zdrojů. Několik přečerpávacích elektráren, které máme, jsou jedinými zdroji v ČR akumulačního typu. Spolu s ostatními vodními zdroji, za předpokladu dostatečného stavu vody, jsou zdroji pro špičkovou spotřebu. Jisté možnosti jsou ve formě malých zdrojů a několika potenciálních větších přehrad, které by měly být postupně využity.</w:t>
      </w:r>
    </w:p>
    <w:p w:rsidR="000B701E" w:rsidRPr="0092047B" w:rsidRDefault="000B701E" w:rsidP="00184DC1">
      <w:pPr>
        <w:rPr>
          <w:rFonts w:cstheme="minorHAnsi"/>
          <w:bCs/>
        </w:rPr>
      </w:pPr>
      <w:r w:rsidRPr="0092047B">
        <w:rPr>
          <w:rFonts w:cstheme="minorHAnsi"/>
          <w:bCs/>
        </w:rPr>
        <w:t xml:space="preserve">Česká republika má vzhledem ke svým geografickým </w:t>
      </w:r>
      <w:r w:rsidR="00BB08E2">
        <w:rPr>
          <w:rFonts w:cstheme="minorHAnsi"/>
          <w:bCs/>
        </w:rPr>
        <w:t>a klimatickým</w:t>
      </w:r>
      <w:r w:rsidR="00BB08E2" w:rsidRPr="0092047B">
        <w:rPr>
          <w:rFonts w:cstheme="minorHAnsi"/>
          <w:bCs/>
        </w:rPr>
        <w:t xml:space="preserve"> </w:t>
      </w:r>
      <w:r w:rsidRPr="0092047B">
        <w:rPr>
          <w:rFonts w:cstheme="minorHAnsi"/>
          <w:bCs/>
        </w:rPr>
        <w:t xml:space="preserve">podmínkám relativně omezené možnosti využití </w:t>
      </w:r>
      <w:r w:rsidRPr="0092047B">
        <w:rPr>
          <w:rFonts w:cstheme="minorHAnsi"/>
          <w:bCs/>
          <w:u w:val="single"/>
        </w:rPr>
        <w:t>větrné a solární energie</w:t>
      </w:r>
      <w:r w:rsidRPr="0092047B">
        <w:rPr>
          <w:rFonts w:cstheme="minorHAnsi"/>
          <w:bCs/>
        </w:rPr>
        <w:t xml:space="preserve">. Oblasti s pravidelným, dostatečně silným a stabilním větrem jsou </w:t>
      </w:r>
      <w:r w:rsidR="00CF6ECF" w:rsidRPr="0092047B">
        <w:rPr>
          <w:rFonts w:cstheme="minorHAnsi"/>
          <w:bCs/>
        </w:rPr>
        <w:t>relativně</w:t>
      </w:r>
      <w:r w:rsidRPr="0092047B">
        <w:rPr>
          <w:rFonts w:cstheme="minorHAnsi"/>
          <w:bCs/>
        </w:rPr>
        <w:t xml:space="preserve"> omezené a nacházejí se spíše v horských přírodních i chráněných oblastech. Využití sluneční energie pro výrobu elektřiny vzhledem k nepřiměřené podpoře zaznamenalo prudký nárůst. Tento nárůst naráží na limity sítí a ochranu zemědělské půdy a vyústil v omezení nákladů na podporu. V budoucnu bude především možné a vhodné využít solární energii jako zdroj malých výkonů na budovách.</w:t>
      </w:r>
    </w:p>
    <w:p w:rsidR="000B701E" w:rsidRPr="0092047B" w:rsidRDefault="000B701E" w:rsidP="00184DC1">
      <w:pPr>
        <w:rPr>
          <w:rFonts w:cstheme="minorHAnsi"/>
          <w:bCs/>
        </w:rPr>
      </w:pPr>
      <w:r w:rsidRPr="0092047B">
        <w:rPr>
          <w:rFonts w:cstheme="minorHAnsi"/>
          <w:bCs/>
        </w:rPr>
        <w:t xml:space="preserve">Negativa nepřiměřených dotací se v nedávné době projevila u nás i v dalších evropských státech, přičemž jejich vlády situaci již postupně řeší. Při případném nahrazování ropy </w:t>
      </w:r>
      <w:r w:rsidRPr="0092047B">
        <w:rPr>
          <w:rFonts w:cstheme="minorHAnsi"/>
          <w:bCs/>
          <w:u w:val="single"/>
        </w:rPr>
        <w:t>biopalivy</w:t>
      </w:r>
      <w:r w:rsidRPr="0092047B">
        <w:rPr>
          <w:rFonts w:cstheme="minorHAnsi"/>
          <w:bCs/>
        </w:rPr>
        <w:t xml:space="preserve"> </w:t>
      </w:r>
      <w:r w:rsidR="009E02E4" w:rsidRPr="0092047B">
        <w:rPr>
          <w:rFonts w:cstheme="minorHAnsi"/>
          <w:bCs/>
        </w:rPr>
        <w:t>je potřeba</w:t>
      </w:r>
      <w:r w:rsidRPr="0092047B">
        <w:rPr>
          <w:rFonts w:cstheme="minorHAnsi"/>
          <w:bCs/>
        </w:rPr>
        <w:t xml:space="preserve"> pečlivě sledovat efektivitu celého cyklu jejich výroby. Dále je nutné zajistit, aby konkurencí s potravinami biopaliva neohrožovala potravinovou bezpečnost České republiky a aby biomasa vyprodukovaná v ČR našla uplatnění v domácí energetice.</w:t>
      </w:r>
    </w:p>
    <w:p w:rsidR="000B701E" w:rsidRPr="0092047B" w:rsidRDefault="000B701E" w:rsidP="00184DC1">
      <w:pPr>
        <w:rPr>
          <w:rFonts w:cstheme="minorHAnsi"/>
          <w:bCs/>
        </w:rPr>
      </w:pPr>
      <w:r w:rsidRPr="0092047B">
        <w:rPr>
          <w:rFonts w:cstheme="minorHAnsi"/>
          <w:bCs/>
          <w:u w:val="single"/>
        </w:rPr>
        <w:t>Geotermální energie</w:t>
      </w:r>
      <w:r w:rsidRPr="0092047B">
        <w:rPr>
          <w:rFonts w:cstheme="minorHAnsi"/>
          <w:bCs/>
        </w:rPr>
        <w:t xml:space="preserve"> má v ČR jen omezený potenciál, a to zvláště v oblasti vytápění a klimatizace. Geotermální elektrárny, které by u nás potřebovaly extrémně hluboké vrty, jsou na našem území realizovatelné v omezeném rozsahu. Ekonomicky opodstatněné využití geotermální energie v širším měřítku v podmínkách střední Evropy bude případně záležitostí vzdálenější budoucnosti.</w:t>
      </w:r>
    </w:p>
    <w:p w:rsidR="000B701E" w:rsidRPr="0092047B" w:rsidRDefault="000B701E" w:rsidP="00184DC1">
      <w:pPr>
        <w:rPr>
          <w:rFonts w:cstheme="minorHAnsi"/>
          <w:bCs/>
        </w:rPr>
      </w:pPr>
      <w:r w:rsidRPr="0092047B">
        <w:rPr>
          <w:rFonts w:cstheme="minorHAnsi"/>
          <w:bCs/>
        </w:rPr>
        <w:t>Nevyužitý potenciál pro náhradu uhlí má i </w:t>
      </w:r>
      <w:r w:rsidRPr="0092047B">
        <w:rPr>
          <w:rFonts w:cstheme="minorHAnsi"/>
          <w:bCs/>
          <w:u w:val="single"/>
        </w:rPr>
        <w:t>energetické využívání odpadu</w:t>
      </w:r>
      <w:r w:rsidRPr="0092047B">
        <w:rPr>
          <w:rFonts w:cstheme="minorHAnsi"/>
          <w:bCs/>
        </w:rPr>
        <w:t xml:space="preserve">. Energetické využívání </w:t>
      </w:r>
      <w:r w:rsidR="00DF6370" w:rsidRPr="0092047B">
        <w:rPr>
          <w:rFonts w:cstheme="minorHAnsi"/>
          <w:bCs/>
        </w:rPr>
        <w:t xml:space="preserve">účelově selektovaného </w:t>
      </w:r>
      <w:r w:rsidRPr="0092047B">
        <w:rPr>
          <w:rFonts w:cstheme="minorHAnsi"/>
          <w:bCs/>
        </w:rPr>
        <w:t xml:space="preserve">komunálního odpadu přináší nezanedbatelný efekt. </w:t>
      </w:r>
      <w:r w:rsidR="00E46BE8" w:rsidRPr="0092047B">
        <w:rPr>
          <w:rFonts w:cstheme="minorHAnsi"/>
          <w:bCs/>
        </w:rPr>
        <w:t>J</w:t>
      </w:r>
      <w:r w:rsidRPr="0092047B">
        <w:rPr>
          <w:rFonts w:cstheme="minorHAnsi"/>
          <w:bCs/>
        </w:rPr>
        <w:t>edná</w:t>
      </w:r>
      <w:r w:rsidR="00E46BE8" w:rsidRPr="0092047B">
        <w:rPr>
          <w:rFonts w:cstheme="minorHAnsi"/>
          <w:bCs/>
        </w:rPr>
        <w:t xml:space="preserve"> se</w:t>
      </w:r>
      <w:r w:rsidRPr="0092047B">
        <w:rPr>
          <w:rFonts w:cstheme="minorHAnsi"/>
          <w:bCs/>
        </w:rPr>
        <w:t xml:space="preserve"> o </w:t>
      </w:r>
      <w:r w:rsidR="00E46BE8" w:rsidRPr="0092047B">
        <w:rPr>
          <w:rFonts w:cstheme="minorHAnsi"/>
          <w:bCs/>
        </w:rPr>
        <w:t>potenciální</w:t>
      </w:r>
      <w:r w:rsidRPr="0092047B">
        <w:rPr>
          <w:rFonts w:cstheme="minorHAnsi"/>
          <w:bCs/>
        </w:rPr>
        <w:t xml:space="preserve"> náhradu primárních </w:t>
      </w:r>
      <w:r w:rsidR="00E46BE8" w:rsidRPr="0092047B">
        <w:rPr>
          <w:rFonts w:cstheme="minorHAnsi"/>
          <w:bCs/>
        </w:rPr>
        <w:t>energetických</w:t>
      </w:r>
      <w:r w:rsidRPr="0092047B">
        <w:rPr>
          <w:rFonts w:cstheme="minorHAnsi"/>
          <w:bCs/>
        </w:rPr>
        <w:t xml:space="preserve"> zdrojů (ve smyslu výroby elektrické energie a tepla) a zároveň </w:t>
      </w:r>
      <w:r w:rsidR="00BB08E2">
        <w:rPr>
          <w:rFonts w:cstheme="minorHAnsi"/>
          <w:bCs/>
        </w:rPr>
        <w:t>se</w:t>
      </w:r>
      <w:r w:rsidR="00BB08E2" w:rsidRPr="0092047B">
        <w:rPr>
          <w:rFonts w:cstheme="minorHAnsi"/>
          <w:bCs/>
        </w:rPr>
        <w:t xml:space="preserve"> </w:t>
      </w:r>
      <w:r w:rsidRPr="0092047B">
        <w:rPr>
          <w:rFonts w:cstheme="minorHAnsi"/>
          <w:bCs/>
        </w:rPr>
        <w:t>řeší i </w:t>
      </w:r>
      <w:r w:rsidR="00DF6370" w:rsidRPr="0092047B">
        <w:rPr>
          <w:rFonts w:cstheme="minorHAnsi"/>
          <w:bCs/>
        </w:rPr>
        <w:t xml:space="preserve"> </w:t>
      </w:r>
      <w:r w:rsidRPr="0092047B">
        <w:rPr>
          <w:rFonts w:cstheme="minorHAnsi"/>
          <w:bCs/>
        </w:rPr>
        <w:t xml:space="preserve">odstranění </w:t>
      </w:r>
      <w:r w:rsidR="00DF6370" w:rsidRPr="0092047B">
        <w:rPr>
          <w:rFonts w:cstheme="minorHAnsi"/>
          <w:bCs/>
        </w:rPr>
        <w:t xml:space="preserve">nevyužité složky </w:t>
      </w:r>
      <w:r w:rsidRPr="0092047B">
        <w:rPr>
          <w:rFonts w:cstheme="minorHAnsi"/>
          <w:bCs/>
        </w:rPr>
        <w:t xml:space="preserve">odpadu. Ve světě jsou k dispozici vyspělé technologie, vyhovující všem technickým i environmentálním požadavkům současnosti. Směrnice 1999/31/ES o skládkách odpadů stanoví pro členské státy požadavek na snížení množství biologicky rozložitelného komunálního odpadu (dále jen „BRKO“) ukládaného na skládky. Z celkové hmotnosti BRKO produkovaných v roce 1995 </w:t>
      </w:r>
      <w:r w:rsidR="00FF7AAE">
        <w:rPr>
          <w:rFonts w:cstheme="minorHAnsi"/>
          <w:bCs/>
        </w:rPr>
        <w:t>bylo</w:t>
      </w:r>
      <w:r w:rsidR="00FF7AAE" w:rsidRPr="0092047B">
        <w:rPr>
          <w:rFonts w:cstheme="minorHAnsi"/>
          <w:bCs/>
        </w:rPr>
        <w:t xml:space="preserve"> </w:t>
      </w:r>
      <w:r w:rsidRPr="0092047B">
        <w:rPr>
          <w:rFonts w:cstheme="minorHAnsi"/>
          <w:bCs/>
        </w:rPr>
        <w:t>třeba snížit množství, které</w:t>
      </w:r>
      <w:r w:rsidR="00CE109E">
        <w:rPr>
          <w:rFonts w:cstheme="minorHAnsi"/>
          <w:bCs/>
        </w:rPr>
        <w:t xml:space="preserve"> </w:t>
      </w:r>
      <w:r w:rsidR="00FF7AAE">
        <w:rPr>
          <w:rFonts w:cstheme="minorHAnsi"/>
          <w:bCs/>
        </w:rPr>
        <w:t>je</w:t>
      </w:r>
      <w:r w:rsidRPr="0092047B">
        <w:rPr>
          <w:rFonts w:cstheme="minorHAnsi"/>
          <w:bCs/>
        </w:rPr>
        <w:t xml:space="preserve"> ukládáno na skládky do roku 2006 na 75</w:t>
      </w:r>
      <w:r w:rsidR="000D4ABA" w:rsidRPr="0092047B">
        <w:rPr>
          <w:rFonts w:cstheme="minorHAnsi"/>
          <w:bCs/>
        </w:rPr>
        <w:t> </w:t>
      </w:r>
      <w:r w:rsidRPr="0092047B">
        <w:rPr>
          <w:rFonts w:cstheme="minorHAnsi"/>
          <w:bCs/>
        </w:rPr>
        <w:t>% (množství vyprodukovaného BRKO v roce 1995), do roku 2009 na 50</w:t>
      </w:r>
      <w:r w:rsidR="000D4ABA" w:rsidRPr="0092047B">
        <w:rPr>
          <w:rFonts w:cstheme="minorHAnsi"/>
          <w:bCs/>
        </w:rPr>
        <w:t> </w:t>
      </w:r>
      <w:r w:rsidRPr="0092047B">
        <w:rPr>
          <w:rFonts w:cstheme="minorHAnsi"/>
          <w:bCs/>
        </w:rPr>
        <w:t>% a do roku 2016 na 35</w:t>
      </w:r>
      <w:r w:rsidR="000D4ABA" w:rsidRPr="0092047B">
        <w:rPr>
          <w:rFonts w:cstheme="minorHAnsi"/>
          <w:bCs/>
        </w:rPr>
        <w:t> </w:t>
      </w:r>
      <w:r w:rsidRPr="0092047B">
        <w:rPr>
          <w:rFonts w:cstheme="minorHAnsi"/>
          <w:bCs/>
        </w:rPr>
        <w:t>% této hodnoty. Česká republika využila možnosti odložení těchto cílů o čtyři roky pro ty státy, které v roce 1995 ukládaly na skládky více než 80</w:t>
      </w:r>
      <w:r w:rsidR="000D4ABA" w:rsidRPr="0092047B">
        <w:rPr>
          <w:rFonts w:cstheme="minorHAnsi"/>
          <w:bCs/>
        </w:rPr>
        <w:t> </w:t>
      </w:r>
      <w:r w:rsidRPr="0092047B">
        <w:rPr>
          <w:rFonts w:cstheme="minorHAnsi"/>
          <w:bCs/>
        </w:rPr>
        <w:t>% komunálních odpadů. V závazném právním předpisu definuje hierarchii nakládání s </w:t>
      </w:r>
      <w:r w:rsidR="004D43B8" w:rsidRPr="0092047B">
        <w:rPr>
          <w:rFonts w:cstheme="minorHAnsi"/>
          <w:bCs/>
        </w:rPr>
        <w:t>nimi, při</w:t>
      </w:r>
      <w:r w:rsidRPr="0092047B">
        <w:rPr>
          <w:rFonts w:cstheme="minorHAnsi"/>
          <w:bCs/>
        </w:rPr>
        <w:t>čemž na první místo klade prevenci vzniku odpadů, poté je</w:t>
      </w:r>
      <w:r w:rsidR="005E25DD">
        <w:rPr>
          <w:rFonts w:cstheme="minorHAnsi"/>
          <w:bCs/>
        </w:rPr>
        <w:t>jich</w:t>
      </w:r>
      <w:r w:rsidRPr="0092047B">
        <w:rPr>
          <w:rFonts w:cstheme="minorHAnsi"/>
          <w:bCs/>
        </w:rPr>
        <w:t xml:space="preserve"> opětovné používání a recyklaci následovanou energetickým využitím. Plnění tohoto závazku se v ČR doposud nedaří </w:t>
      </w:r>
      <w:r w:rsidR="00A616E3" w:rsidRPr="0092047B">
        <w:rPr>
          <w:rFonts w:cstheme="minorHAnsi"/>
          <w:bCs/>
        </w:rPr>
        <w:t xml:space="preserve">zcela </w:t>
      </w:r>
      <w:r w:rsidRPr="0092047B">
        <w:rPr>
          <w:rFonts w:cstheme="minorHAnsi"/>
          <w:bCs/>
        </w:rPr>
        <w:t>naplňovat a napomoci jeho splnění je i  jedním z cílů Státní energetické koncepce. Nyní připadá na jednoho obyvatele ČR zhruba 5</w:t>
      </w:r>
      <w:r w:rsidR="00CF4253">
        <w:rPr>
          <w:rFonts w:cstheme="minorHAnsi"/>
          <w:bCs/>
        </w:rPr>
        <w:t>0</w:t>
      </w:r>
      <w:r w:rsidR="00583ADD" w:rsidRPr="0092047B">
        <w:rPr>
          <w:rFonts w:cstheme="minorHAnsi"/>
          <w:bCs/>
        </w:rPr>
        <w:t>0 </w:t>
      </w:r>
      <w:r w:rsidRPr="0092047B">
        <w:rPr>
          <w:rFonts w:cstheme="minorHAnsi"/>
          <w:bCs/>
        </w:rPr>
        <w:t>kg komunálních odpadů ročně</w:t>
      </w:r>
      <w:r w:rsidR="005A13F4">
        <w:rPr>
          <w:rStyle w:val="Znakapoznpodarou"/>
          <w:rFonts w:cstheme="minorHAnsi"/>
          <w:bCs/>
        </w:rPr>
        <w:footnoteReference w:id="7"/>
      </w:r>
      <w:r w:rsidRPr="0092047B">
        <w:rPr>
          <w:rFonts w:cstheme="minorHAnsi"/>
          <w:bCs/>
        </w:rPr>
        <w:t xml:space="preserve">, ve „starých“ zemích EU je to 600-700 kg za rok. Produkce odpadů roste s ekonomickou silou obyvatelstva. Přestože existují efektivní, dlouhodobě ověřené technologie pro energetické využívání směsných komunálních odpadů, jsou v ČR provozována pouze tři zařízení energetického využití odpadů se zpracovatelskou kapacitou 654 tis. tun ročně. </w:t>
      </w:r>
      <w:r w:rsidR="00A433C8" w:rsidRPr="0092047B">
        <w:t xml:space="preserve">V roce 2012 pak bylo vyprodukováno přes </w:t>
      </w:r>
      <w:r w:rsidR="00CF4253">
        <w:t>2</w:t>
      </w:r>
      <w:r w:rsidR="00A433C8" w:rsidRPr="0092047B">
        <w:t>,</w:t>
      </w:r>
      <w:r w:rsidR="00CF4253">
        <w:t>9</w:t>
      </w:r>
      <w:r w:rsidR="00A433C8" w:rsidRPr="0092047B">
        <w:t xml:space="preserve"> mil. tun směsného komunálního odpadu, přičemž většina tohoto odpadu byla umístěna na skládky.“</w:t>
      </w:r>
      <w:r w:rsidR="00A616E3" w:rsidRPr="0092047B">
        <w:rPr>
          <w:rFonts w:cstheme="minorHAnsi"/>
          <w:bCs/>
        </w:rPr>
        <w:t xml:space="preserve"> Skládkuje se zde cca</w:t>
      </w:r>
      <w:r w:rsidRPr="0092047B">
        <w:rPr>
          <w:rFonts w:cstheme="minorHAnsi"/>
          <w:bCs/>
        </w:rPr>
        <w:t xml:space="preserve"> 60 % komunálního odpadu</w:t>
      </w:r>
      <w:r w:rsidR="00A616E3" w:rsidRPr="0092047B">
        <w:rPr>
          <w:rStyle w:val="Znakapoznpodarou"/>
          <w:rFonts w:cstheme="minorHAnsi"/>
          <w:bCs/>
        </w:rPr>
        <w:footnoteReference w:id="8"/>
      </w:r>
      <w:r w:rsidRPr="0092047B">
        <w:rPr>
          <w:rFonts w:cstheme="minorHAnsi"/>
          <w:bCs/>
        </w:rPr>
        <w:t>, přitom jsou v EU země, ve kterých se neskládkuje vůbec, nebo téměř vůbec. Odpad se tam materiálově a energeticky využívá téměř beze zbytku. V žebříčku evropských zemí ve skládkování patří ČR 17. místo. V roce 20</w:t>
      </w:r>
      <w:r w:rsidR="00CF4253">
        <w:rPr>
          <w:rFonts w:cstheme="minorHAnsi"/>
          <w:bCs/>
        </w:rPr>
        <w:t>12</w:t>
      </w:r>
      <w:r w:rsidRPr="0092047B">
        <w:rPr>
          <w:rFonts w:cstheme="minorHAnsi"/>
          <w:bCs/>
        </w:rPr>
        <w:t xml:space="preserve"> bylo v</w:t>
      </w:r>
      <w:r w:rsidR="003B5E0B">
        <w:rPr>
          <w:rFonts w:cstheme="minorHAnsi"/>
          <w:bCs/>
        </w:rPr>
        <w:t> zařízeních pro energetické využití odpadu (</w:t>
      </w:r>
      <w:r w:rsidR="00CD3EAF">
        <w:rPr>
          <w:rFonts w:cstheme="minorHAnsi"/>
          <w:bCs/>
        </w:rPr>
        <w:t>ZEVO</w:t>
      </w:r>
      <w:r w:rsidR="003B5E0B">
        <w:rPr>
          <w:rFonts w:cstheme="minorHAnsi"/>
          <w:bCs/>
        </w:rPr>
        <w:t>)</w:t>
      </w:r>
      <w:r w:rsidR="00CD3EAF" w:rsidRPr="0092047B">
        <w:rPr>
          <w:rFonts w:cstheme="minorHAnsi"/>
          <w:bCs/>
        </w:rPr>
        <w:t xml:space="preserve"> </w:t>
      </w:r>
      <w:r w:rsidRPr="0092047B">
        <w:rPr>
          <w:rFonts w:cstheme="minorHAnsi"/>
          <w:bCs/>
        </w:rPr>
        <w:t xml:space="preserve">provozech energeticky využito </w:t>
      </w:r>
      <w:r w:rsidR="00CF4253">
        <w:rPr>
          <w:rFonts w:cstheme="minorHAnsi"/>
          <w:bCs/>
        </w:rPr>
        <w:t>11,8</w:t>
      </w:r>
      <w:r w:rsidR="000D4ABA" w:rsidRPr="0092047B">
        <w:rPr>
          <w:rFonts w:cstheme="minorHAnsi"/>
          <w:bCs/>
        </w:rPr>
        <w:t> </w:t>
      </w:r>
      <w:r w:rsidRPr="0092047B">
        <w:rPr>
          <w:rFonts w:cstheme="minorHAnsi"/>
          <w:bCs/>
        </w:rPr>
        <w:t>% z celkové produkce směsného komunálního odpadu.</w:t>
      </w:r>
      <w:r w:rsidR="00CF4253">
        <w:rPr>
          <w:rStyle w:val="Znakapoznpodarou"/>
          <w:rFonts w:cstheme="minorHAnsi"/>
          <w:bCs/>
        </w:rPr>
        <w:footnoteReference w:id="9"/>
      </w:r>
    </w:p>
    <w:p w:rsidR="000B701E" w:rsidRPr="0092047B" w:rsidRDefault="000B701E" w:rsidP="00184DC1">
      <w:pPr>
        <w:rPr>
          <w:rFonts w:cstheme="minorHAnsi"/>
          <w:bCs/>
        </w:rPr>
      </w:pPr>
      <w:r w:rsidRPr="0092047B">
        <w:rPr>
          <w:rFonts w:cstheme="minorHAnsi"/>
          <w:bCs/>
        </w:rPr>
        <w:t>Dnešní stav techniky i legislativy zaručuje vysokou účinnost transformace energie (např. při kombinované výrobě) a kontrolovan</w:t>
      </w:r>
      <w:r w:rsidR="004D43B8" w:rsidRPr="0092047B">
        <w:rPr>
          <w:rFonts w:cstheme="minorHAnsi"/>
          <w:bCs/>
        </w:rPr>
        <w:t>ou</w:t>
      </w:r>
      <w:r w:rsidRPr="0092047B">
        <w:rPr>
          <w:rFonts w:cstheme="minorHAnsi"/>
          <w:bCs/>
        </w:rPr>
        <w:t xml:space="preserve"> velmi nízk</w:t>
      </w:r>
      <w:r w:rsidR="004D43B8" w:rsidRPr="0092047B">
        <w:rPr>
          <w:rFonts w:cstheme="minorHAnsi"/>
          <w:bCs/>
        </w:rPr>
        <w:t>ou</w:t>
      </w:r>
      <w:r w:rsidRPr="0092047B">
        <w:rPr>
          <w:rFonts w:cstheme="minorHAnsi"/>
          <w:bCs/>
        </w:rPr>
        <w:t xml:space="preserve"> emisní koncentrac</w:t>
      </w:r>
      <w:r w:rsidR="004D43B8" w:rsidRPr="0092047B">
        <w:rPr>
          <w:rFonts w:cstheme="minorHAnsi"/>
          <w:bCs/>
        </w:rPr>
        <w:t>i</w:t>
      </w:r>
      <w:r w:rsidRPr="0092047B">
        <w:rPr>
          <w:rFonts w:cstheme="minorHAnsi"/>
          <w:bCs/>
        </w:rPr>
        <w:t xml:space="preserve"> celé řady škodlivin. Obnovitelným zdrojům bude v příštích letech náležet stále větší role, ale </w:t>
      </w:r>
      <w:r w:rsidR="004D43B8" w:rsidRPr="0092047B">
        <w:rPr>
          <w:rFonts w:cstheme="minorHAnsi"/>
          <w:bCs/>
        </w:rPr>
        <w:t xml:space="preserve">podle </w:t>
      </w:r>
      <w:r w:rsidR="00A85C30" w:rsidRPr="0092047B">
        <w:rPr>
          <w:rFonts w:cstheme="minorHAnsi"/>
          <w:bCs/>
        </w:rPr>
        <w:t>řady</w:t>
      </w:r>
      <w:r w:rsidRPr="0092047B">
        <w:rPr>
          <w:rFonts w:cstheme="minorHAnsi"/>
          <w:bCs/>
        </w:rPr>
        <w:t xml:space="preserve"> zahraničních studií </w:t>
      </w:r>
      <w:r w:rsidR="00A85C30" w:rsidRPr="0092047B">
        <w:rPr>
          <w:rFonts w:cstheme="minorHAnsi"/>
          <w:bCs/>
        </w:rPr>
        <w:t xml:space="preserve">(např. IEA) a i v souladu s energetickými strategiemi významných členských zemí EU, </w:t>
      </w:r>
      <w:r w:rsidRPr="0092047B">
        <w:rPr>
          <w:rFonts w:cstheme="minorHAnsi"/>
          <w:bCs/>
        </w:rPr>
        <w:t xml:space="preserve">se počítá s tím, že ještě minimálně dvě až tři desetiletí se bude jednat o doplňkový zdroj, který neřeší hlavní energetickou spotřebu, ale je vhodný pro malé a v některých případech střední odběratele. Je zapotřebí </w:t>
      </w:r>
      <w:r w:rsidR="000A24E6" w:rsidRPr="0092047B">
        <w:rPr>
          <w:rFonts w:cstheme="minorHAnsi"/>
          <w:bCs/>
        </w:rPr>
        <w:t xml:space="preserve">pohlížet </w:t>
      </w:r>
      <w:r w:rsidRPr="0092047B">
        <w:rPr>
          <w:rFonts w:cstheme="minorHAnsi"/>
          <w:bCs/>
        </w:rPr>
        <w:t>na obnovitelné zdroje energie jako na rozptýlený, decentralizovaný zdroj, který snižuje závislost na dovozu a ve většině případů je šetrný k životnímu prostředí. Pojem obnoviteln</w:t>
      </w:r>
      <w:r w:rsidR="005E25DD">
        <w:rPr>
          <w:rFonts w:cstheme="minorHAnsi"/>
          <w:bCs/>
        </w:rPr>
        <w:t>ý</w:t>
      </w:r>
      <w:r w:rsidRPr="0092047B">
        <w:rPr>
          <w:rFonts w:cstheme="minorHAnsi"/>
          <w:bCs/>
        </w:rPr>
        <w:t xml:space="preserve"> zdroj energie </w:t>
      </w:r>
      <w:r w:rsidR="000A24E6" w:rsidRPr="0092047B">
        <w:rPr>
          <w:rFonts w:cstheme="minorHAnsi"/>
          <w:bCs/>
        </w:rPr>
        <w:t xml:space="preserve">nicméně neznamená </w:t>
      </w:r>
      <w:r w:rsidRPr="0092047B">
        <w:rPr>
          <w:rFonts w:cstheme="minorHAnsi"/>
          <w:bCs/>
        </w:rPr>
        <w:t>automaticky, že se jedná o ekologický zdroj.</w:t>
      </w:r>
    </w:p>
    <w:p w:rsidR="000B701E" w:rsidRPr="0092047B" w:rsidRDefault="000B701E" w:rsidP="00184DC1">
      <w:pPr>
        <w:rPr>
          <w:rFonts w:cstheme="minorHAnsi"/>
          <w:bCs/>
        </w:rPr>
      </w:pPr>
      <w:r w:rsidRPr="0092047B">
        <w:rPr>
          <w:rFonts w:cstheme="minorHAnsi"/>
          <w:bCs/>
        </w:rPr>
        <w:t xml:space="preserve">Dalším </w:t>
      </w:r>
      <w:r w:rsidRPr="0092047B">
        <w:rPr>
          <w:rFonts w:cstheme="minorHAnsi"/>
          <w:b/>
          <w:bCs/>
        </w:rPr>
        <w:t>omezením jsou rozpočtové možnosti České republiky</w:t>
      </w:r>
      <w:r w:rsidRPr="0092047B">
        <w:rPr>
          <w:rFonts w:cstheme="minorHAnsi"/>
          <w:bCs/>
        </w:rPr>
        <w:t xml:space="preserve">. Naše země se v rámci snahy o splnění cíle pro využití obnovitelných zdrojů energie dostala do nesnadné situace, kdy vyšší výrobu z těchto zdrojů částečně „dotuje“. Zdroje na toto financování musí pak získávat různými způsoby a většina z nich vede k znevýhodňování českých </w:t>
      </w:r>
      <w:r w:rsidR="000A24E6" w:rsidRPr="0092047B">
        <w:rPr>
          <w:rFonts w:cstheme="minorHAnsi"/>
          <w:bCs/>
        </w:rPr>
        <w:t xml:space="preserve">(především energeticky intenzivních) </w:t>
      </w:r>
      <w:r w:rsidRPr="0092047B">
        <w:rPr>
          <w:rFonts w:cstheme="minorHAnsi"/>
          <w:bCs/>
        </w:rPr>
        <w:t>firem z pohledu konkurenceschopnosti a </w:t>
      </w:r>
      <w:r w:rsidR="005E25DD">
        <w:rPr>
          <w:rFonts w:cstheme="minorHAnsi"/>
          <w:bCs/>
        </w:rPr>
        <w:t>má</w:t>
      </w:r>
      <w:r w:rsidRPr="0092047B">
        <w:rPr>
          <w:rFonts w:cstheme="minorHAnsi"/>
          <w:bCs/>
        </w:rPr>
        <w:t> dopady do sociální stability. Program podpory, ať už v oblasti výroby energie i úspor, nemůže překračovat finanční a tím i sociální možnosti státu.</w:t>
      </w:r>
    </w:p>
    <w:p w:rsidR="000B701E" w:rsidRPr="0092047B" w:rsidRDefault="000B701E" w:rsidP="00184DC1">
      <w:pPr>
        <w:rPr>
          <w:rFonts w:cstheme="minorHAnsi"/>
          <w:bCs/>
        </w:rPr>
      </w:pPr>
      <w:r w:rsidRPr="0092047B">
        <w:rPr>
          <w:rFonts w:cstheme="minorHAnsi"/>
          <w:b/>
          <w:bCs/>
        </w:rPr>
        <w:t>Účelná podpora či sankce</w:t>
      </w:r>
      <w:r w:rsidRPr="0092047B">
        <w:rPr>
          <w:rFonts w:cstheme="minorHAnsi"/>
          <w:bCs/>
        </w:rPr>
        <w:t xml:space="preserve"> by měly být využity pro prosazování základních cílů Státní energetické koncepce. Těmi je už zmiňovaný postupný přechod od uhlí k jiným zdrojům, zlepšení ekologických podmínek snížením emisí polétavého prachu a aerosolů a docílení efektivních úspor energií. Stát bude usilovat o to, aby systém subvencí a daní byl co nejjednodušší, nejsrozumitelnější a hlavně dlouhodobě stabilní, vyvážený a finančně únosný. Zásadou by mělo být to, že prostředky získané pomocí emisních povolenek nebo jiným finančním zatížením ekologických negativ energetických zdrojů budou prioritně využity k posílení energetických úspor a snížení ekologických dopadů produkce energií</w:t>
      </w:r>
      <w:r w:rsidR="005E25DD">
        <w:rPr>
          <w:rFonts w:cstheme="minorHAnsi"/>
          <w:bCs/>
        </w:rPr>
        <w:t>,</w:t>
      </w:r>
      <w:r w:rsidRPr="0092047B">
        <w:rPr>
          <w:rFonts w:cstheme="minorHAnsi"/>
          <w:bCs/>
        </w:rPr>
        <w:t xml:space="preserve"> včetně financování nákladů spojených s již existujícími dotacemi OZE.</w:t>
      </w:r>
    </w:p>
    <w:p w:rsidR="000B701E" w:rsidRPr="0092047B" w:rsidRDefault="000B701E" w:rsidP="00184DC1">
      <w:pPr>
        <w:rPr>
          <w:rFonts w:cstheme="minorHAnsi"/>
          <w:bCs/>
        </w:rPr>
      </w:pPr>
      <w:r w:rsidRPr="0092047B">
        <w:rPr>
          <w:rFonts w:cstheme="minorHAnsi"/>
          <w:bCs/>
        </w:rPr>
        <w:t>Pro elektroenergetiku a plynárenství je důležitá</w:t>
      </w:r>
      <w:r w:rsidR="007863CA">
        <w:rPr>
          <w:rFonts w:cstheme="minorHAnsi"/>
          <w:bCs/>
        </w:rPr>
        <w:t xml:space="preserve"> také</w:t>
      </w:r>
      <w:r w:rsidRPr="0092047B">
        <w:rPr>
          <w:rFonts w:cstheme="minorHAnsi"/>
          <w:b/>
          <w:bCs/>
        </w:rPr>
        <w:t xml:space="preserve"> dopravní koncepce</w:t>
      </w:r>
      <w:r w:rsidRPr="0092047B">
        <w:rPr>
          <w:rFonts w:cstheme="minorHAnsi"/>
          <w:bCs/>
        </w:rPr>
        <w:t>, a to zejména z následujících důvodů:</w:t>
      </w:r>
    </w:p>
    <w:p w:rsidR="000B701E" w:rsidRPr="0092047B" w:rsidRDefault="000B701E" w:rsidP="00184DC1">
      <w:pPr>
        <w:numPr>
          <w:ilvl w:val="0"/>
          <w:numId w:val="11"/>
        </w:numPr>
        <w:spacing w:before="120" w:after="120"/>
        <w:rPr>
          <w:rFonts w:cstheme="minorHAnsi"/>
          <w:bCs/>
        </w:rPr>
      </w:pPr>
      <w:r w:rsidRPr="0092047B">
        <w:rPr>
          <w:rFonts w:cstheme="minorHAnsi"/>
          <w:bCs/>
        </w:rPr>
        <w:t>Důvody bilanční. Nástup využití CNG pro dopravu a později i elektromobilitu je nutné zabezpečit příslušným dovozem zemního plynu resp. výrobou elektřiny.</w:t>
      </w:r>
    </w:p>
    <w:p w:rsidR="000B701E" w:rsidRPr="0092047B" w:rsidRDefault="000B701E" w:rsidP="00184DC1">
      <w:pPr>
        <w:numPr>
          <w:ilvl w:val="0"/>
          <w:numId w:val="11"/>
        </w:numPr>
        <w:spacing w:before="120" w:after="120"/>
        <w:rPr>
          <w:rFonts w:cstheme="minorHAnsi"/>
          <w:bCs/>
        </w:rPr>
      </w:pPr>
      <w:r w:rsidRPr="0092047B">
        <w:rPr>
          <w:rFonts w:cstheme="minorHAnsi"/>
          <w:bCs/>
        </w:rPr>
        <w:t>Důvody síťové. Nejde jen o infrastrukturu pro nabíjecí stanice elektromobilů a čerpací stanice CNG, ale i o řízení akumulace s ohledem na stabilitu sítě.</w:t>
      </w:r>
    </w:p>
    <w:p w:rsidR="000B701E" w:rsidRPr="0092047B" w:rsidRDefault="000B701E" w:rsidP="00184DC1">
      <w:pPr>
        <w:numPr>
          <w:ilvl w:val="0"/>
          <w:numId w:val="11"/>
        </w:numPr>
        <w:spacing w:before="120"/>
        <w:ind w:left="714" w:hanging="357"/>
        <w:rPr>
          <w:rFonts w:cstheme="minorHAnsi"/>
          <w:bCs/>
        </w:rPr>
      </w:pPr>
      <w:r w:rsidRPr="0092047B">
        <w:rPr>
          <w:rFonts w:cstheme="minorHAnsi"/>
          <w:bCs/>
        </w:rPr>
        <w:t xml:space="preserve">Důvody bezpečnostní. </w:t>
      </w:r>
      <w:r w:rsidR="000D29D9">
        <w:rPr>
          <w:rFonts w:cstheme="minorHAnsi"/>
          <w:bCs/>
        </w:rPr>
        <w:t>V</w:t>
      </w:r>
      <w:r w:rsidRPr="0092047B">
        <w:rPr>
          <w:rFonts w:cstheme="minorHAnsi"/>
          <w:bCs/>
        </w:rPr>
        <w:t xml:space="preserve"> pojetí EU tvoří doprava a energetika oblasti evropské kritické infrastruktury, které se musí vzájemně zajišťovat.</w:t>
      </w:r>
    </w:p>
    <w:p w:rsidR="000B701E" w:rsidRPr="0092047B" w:rsidRDefault="000B701E" w:rsidP="00184DC1">
      <w:pPr>
        <w:rPr>
          <w:rFonts w:cstheme="minorHAnsi"/>
        </w:rPr>
      </w:pPr>
      <w:r w:rsidRPr="0092047B">
        <w:rPr>
          <w:rFonts w:cstheme="minorHAnsi"/>
          <w:bCs/>
        </w:rPr>
        <w:t>Jako velmi vhodná oblast se jeví příměstská doprava, a to jak kolejová, tak i možné obnovení trolejbusů, nebo částečné nahrazování motorové nafty a automobilových benzínů zemním plynem. Jsou místa k tomu vhodná, s budoucím odběrem elektřiny a plynu je nutno počítat dopředu.</w:t>
      </w:r>
    </w:p>
    <w:p w:rsidR="000B701E" w:rsidRPr="0092047B" w:rsidRDefault="000B701E" w:rsidP="00184DC1">
      <w:pPr>
        <w:rPr>
          <w:rFonts w:cstheme="minorHAnsi"/>
        </w:rPr>
      </w:pPr>
      <w:r w:rsidRPr="0092047B">
        <w:rPr>
          <w:rFonts w:cstheme="minorHAnsi"/>
        </w:rPr>
        <w:t xml:space="preserve">V ukazatelích </w:t>
      </w:r>
      <w:r w:rsidRPr="0092047B">
        <w:rPr>
          <w:rFonts w:cstheme="minorHAnsi"/>
          <w:b/>
        </w:rPr>
        <w:t xml:space="preserve">energetické náročnosti </w:t>
      </w:r>
      <w:r w:rsidRPr="0092047B">
        <w:rPr>
          <w:rFonts w:cstheme="minorHAnsi"/>
        </w:rPr>
        <w:t>se ČR v současnosti nachází nad průměrem EU27. Toto postavení odpovídá tradiční průmyslové orientaci ČR a pozici členských zemí nově přijatých do EU v letech 2004 a 2007. Z hlediska spotřeby energie na obyvatele i z hlediska spotřeby elektřiny na obyvatele se ČR nachází zhruba v průměru zemí EU. Přetrvává relativně vysoký podíl tuhých paliv v konečné spotřebě a nízká účinnost užití elektřiny v konečné spotřebě zejména pro elektro-teplo a chlazení. Relativně významný potenciál úspor existuje v oblasti snižování energetické náročnosti budov a rozvoji pasivních budov. Ovšem i v této oblasti je třeba počítat s investičně a časově náročným vývojem. Strukturu průmyslu nelze měnit rychle či nerozvážně a náš vývoz je do značné míry postaven na strojírenství, které bude vždy spotřebovávat hodně energie.</w:t>
      </w:r>
      <w:r w:rsidR="0041440C">
        <w:rPr>
          <w:rStyle w:val="Znakapoznpodarou"/>
          <w:rFonts w:cstheme="minorHAnsi"/>
        </w:rPr>
        <w:footnoteReference w:id="10"/>
      </w:r>
    </w:p>
    <w:p w:rsidR="005E25DD" w:rsidRDefault="000B701E" w:rsidP="00184DC1">
      <w:pPr>
        <w:rPr>
          <w:rFonts w:cstheme="minorHAnsi"/>
          <w:szCs w:val="20"/>
        </w:rPr>
      </w:pPr>
      <w:r w:rsidRPr="0092047B">
        <w:rPr>
          <w:rFonts w:cstheme="minorHAnsi"/>
          <w:b/>
        </w:rPr>
        <w:t>Technologický vývoj</w:t>
      </w:r>
      <w:r w:rsidRPr="0092047B">
        <w:rPr>
          <w:rFonts w:cstheme="minorHAnsi"/>
        </w:rPr>
        <w:t xml:space="preserve">, a to zejména v oblasti obnovitelných zdrojů, je sice velmi rychlý, ale odhad doby, ve které budou nové technologie plně konkurenceschopné a ve které bude vyřešena možnost efektivní akumulace energie, je stále vysoce spekulativní. Výrazná orientace na tyto zdroje v současné době proto představuje značné riziko. Přitom aktivní účast českého průmyslu na vývoji a výrobě těchto technologií (s ohledem na jejich masovou produkci) není podmíněna jejich umístěním a přímou podporou v ČR. To naopak plně platí </w:t>
      </w:r>
      <w:r w:rsidR="007863CA">
        <w:rPr>
          <w:rFonts w:cstheme="minorHAnsi"/>
        </w:rPr>
        <w:t>pro</w:t>
      </w:r>
      <w:r w:rsidRPr="0092047B">
        <w:rPr>
          <w:rFonts w:cstheme="minorHAnsi"/>
        </w:rPr>
        <w:t> pokročil</w:t>
      </w:r>
      <w:r w:rsidR="007863CA">
        <w:rPr>
          <w:rFonts w:cstheme="minorHAnsi"/>
        </w:rPr>
        <w:t>é</w:t>
      </w:r>
      <w:r w:rsidRPr="0092047B">
        <w:rPr>
          <w:rFonts w:cstheme="minorHAnsi"/>
        </w:rPr>
        <w:t xml:space="preserve"> konvenční technologi</w:t>
      </w:r>
      <w:r w:rsidR="007863CA">
        <w:rPr>
          <w:rFonts w:cstheme="minorHAnsi"/>
        </w:rPr>
        <w:t>e</w:t>
      </w:r>
      <w:r w:rsidRPr="0092047B">
        <w:rPr>
          <w:rFonts w:cstheme="minorHAnsi"/>
        </w:rPr>
        <w:t xml:space="preserve"> (jaderná energie, vysokoúčinné uhlí, velk</w:t>
      </w:r>
      <w:r w:rsidR="007863CA">
        <w:rPr>
          <w:rFonts w:cstheme="minorHAnsi"/>
        </w:rPr>
        <w:t>á</w:t>
      </w:r>
      <w:r w:rsidRPr="0092047B">
        <w:rPr>
          <w:rFonts w:cstheme="minorHAnsi"/>
        </w:rPr>
        <w:t xml:space="preserve"> kogenerace), kde úspěšné referenční projekty představují významný prvek konkurenceschopnosti. Know-how při budování složitých technologických celků je dlouhodobě budované a konkurenční výhoda v této oblasti dlouhodobě udržitelná. Současně i multiplikační efekty na ekonomiku jsou významně větší.</w:t>
      </w:r>
      <w:r w:rsidRPr="0092047B">
        <w:rPr>
          <w:rFonts w:cstheme="minorHAnsi"/>
          <w:bCs/>
        </w:rPr>
        <w:t xml:space="preserve"> </w:t>
      </w:r>
      <w:r w:rsidR="00D278FA">
        <w:rPr>
          <w:rFonts w:cstheme="minorHAnsi"/>
          <w:bCs/>
        </w:rPr>
        <w:t>Pro další technologický vývoj je klíčové vytvoření atraktivního prostředí především prostřednictvím národních programů aplikovaného výzkumu a vývoje</w:t>
      </w:r>
      <w:r w:rsidR="007863CA">
        <w:rPr>
          <w:rFonts w:cstheme="minorHAnsi"/>
          <w:bCs/>
        </w:rPr>
        <w:t>, j</w:t>
      </w:r>
      <w:r w:rsidRPr="0092047B">
        <w:rPr>
          <w:rFonts w:cstheme="minorHAnsi"/>
          <w:bCs/>
        </w:rPr>
        <w:t>ak k tomu zavazuje výsledek prověrky české energetické politiky</w:t>
      </w:r>
      <w:r w:rsidR="005E25DD" w:rsidRPr="005E25DD">
        <w:rPr>
          <w:rFonts w:cstheme="minorHAnsi"/>
          <w:bCs/>
        </w:rPr>
        <w:t xml:space="preserve"> </w:t>
      </w:r>
      <w:r w:rsidR="005E25DD">
        <w:rPr>
          <w:rFonts w:cstheme="minorHAnsi"/>
          <w:bCs/>
        </w:rPr>
        <w:t>ze strany</w:t>
      </w:r>
      <w:r w:rsidRPr="0092047B">
        <w:rPr>
          <w:rFonts w:cstheme="minorHAnsi"/>
          <w:bCs/>
        </w:rPr>
        <w:t xml:space="preserve"> IEA OECD</w:t>
      </w:r>
      <w:r w:rsidR="007863CA">
        <w:rPr>
          <w:rFonts w:cstheme="minorHAnsi"/>
          <w:bCs/>
        </w:rPr>
        <w:t>.</w:t>
      </w:r>
      <w:r w:rsidRPr="0092047B">
        <w:rPr>
          <w:rFonts w:cstheme="minorHAnsi"/>
          <w:bCs/>
        </w:rPr>
        <w:t xml:space="preserve"> </w:t>
      </w:r>
      <w:r w:rsidR="007863CA">
        <w:rPr>
          <w:rFonts w:cstheme="minorHAnsi"/>
          <w:bCs/>
        </w:rPr>
        <w:t>V</w:t>
      </w:r>
      <w:r w:rsidRPr="0092047B">
        <w:rPr>
          <w:rFonts w:cstheme="minorHAnsi"/>
          <w:bCs/>
        </w:rPr>
        <w:t>hodným a</w:t>
      </w:r>
      <w:r w:rsidR="007863CA">
        <w:rPr>
          <w:rFonts w:cstheme="minorHAnsi"/>
          <w:bCs/>
        </w:rPr>
        <w:t xml:space="preserve"> také </w:t>
      </w:r>
      <w:r w:rsidRPr="0092047B">
        <w:rPr>
          <w:rFonts w:cstheme="minorHAnsi"/>
          <w:bCs/>
        </w:rPr>
        <w:t>účinným nástrojem se jeví</w:t>
      </w:r>
      <w:r w:rsidR="007863CA">
        <w:rPr>
          <w:rFonts w:cstheme="minorHAnsi"/>
          <w:bCs/>
        </w:rPr>
        <w:t xml:space="preserve"> být</w:t>
      </w:r>
      <w:r w:rsidRPr="0092047B">
        <w:rPr>
          <w:rFonts w:cstheme="minorHAnsi"/>
          <w:bCs/>
        </w:rPr>
        <w:t xml:space="preserve"> možnost hlubšího a ucelenějšího zapojení české výzkumné a</w:t>
      </w:r>
      <w:r w:rsidR="007863CA">
        <w:rPr>
          <w:rFonts w:cstheme="minorHAnsi"/>
          <w:bCs/>
        </w:rPr>
        <w:t> </w:t>
      </w:r>
      <w:r w:rsidRPr="0092047B">
        <w:rPr>
          <w:rFonts w:cstheme="minorHAnsi"/>
          <w:bCs/>
        </w:rPr>
        <w:t>akademické obce do aktuálně zpřesňovaných mezinárodních výzkumných energetických programů jak v rámci Evropské energetické výzkumné aliance, tak i např. v rámci Energy Technology Perspectives OECD, či vybraných bilaterálních výzkumných programů (s USA, Japonskem, Koreou apod.), což je vázáno na existenci uceleného vládního programu energetického výzkumu. Úspěchů dosáhli čeští vědci například v oblasti mobilních úložišť elektrické energie, při konstrukci vanadových redoxních průtočných baterií a v dalších oblastech výzkumu.</w:t>
      </w:r>
      <w:r w:rsidRPr="0092047B">
        <w:rPr>
          <w:rFonts w:cstheme="minorHAnsi"/>
        </w:rPr>
        <w:t xml:space="preserve"> </w:t>
      </w:r>
      <w:r w:rsidRPr="0092047B">
        <w:rPr>
          <w:rFonts w:cstheme="minorHAnsi"/>
          <w:szCs w:val="20"/>
        </w:rPr>
        <w:t xml:space="preserve">V oblasti </w:t>
      </w:r>
      <w:r w:rsidRPr="0092047B">
        <w:rPr>
          <w:rFonts w:cstheme="minorHAnsi"/>
          <w:b/>
          <w:szCs w:val="20"/>
        </w:rPr>
        <w:t xml:space="preserve">vědy a výzkumu </w:t>
      </w:r>
      <w:r w:rsidR="008F682C" w:rsidRPr="0092047B">
        <w:rPr>
          <w:rFonts w:cstheme="minorHAnsi"/>
          <w:szCs w:val="20"/>
        </w:rPr>
        <w:t>(VaV</w:t>
      </w:r>
      <w:r w:rsidR="008F682C" w:rsidRPr="007863CA">
        <w:rPr>
          <w:rFonts w:cstheme="minorHAnsi"/>
          <w:szCs w:val="20"/>
        </w:rPr>
        <w:t xml:space="preserve">) </w:t>
      </w:r>
      <w:r w:rsidR="007863CA" w:rsidRPr="007863CA">
        <w:rPr>
          <w:rFonts w:cstheme="minorHAnsi"/>
          <w:szCs w:val="20"/>
        </w:rPr>
        <w:t xml:space="preserve">pak </w:t>
      </w:r>
      <w:r w:rsidRPr="007863CA">
        <w:rPr>
          <w:rFonts w:cstheme="minorHAnsi"/>
          <w:szCs w:val="20"/>
        </w:rPr>
        <w:t>e</w:t>
      </w:r>
      <w:r w:rsidRPr="0092047B">
        <w:rPr>
          <w:rFonts w:cstheme="minorHAnsi"/>
          <w:szCs w:val="20"/>
        </w:rPr>
        <w:t xml:space="preserve">xistují jednotlivé podporované programy v rámci grantových schémat. Kromě oblasti bezpečnostního výzkumu však chybí ucelená dlouhodobá strategie podpory konkrétních oblastí a mechanismus jejího naplňování. V oblasti energetiky také chybí specializované výzkumné pracoviště. Na výzkumu v oblasti energetiky se </w:t>
      </w:r>
      <w:r w:rsidR="00812E53" w:rsidRPr="0092047B">
        <w:rPr>
          <w:rFonts w:cstheme="minorHAnsi"/>
          <w:szCs w:val="20"/>
        </w:rPr>
        <w:t xml:space="preserve">vysoké školy podílejí </w:t>
      </w:r>
      <w:r w:rsidRPr="0092047B">
        <w:rPr>
          <w:rFonts w:cstheme="minorHAnsi"/>
          <w:szCs w:val="20"/>
        </w:rPr>
        <w:t xml:space="preserve">dosud jen omezeně. Mezinárodní dimenze VaV v energetice nabízí české straně efektivní přístup k nejnovějším poznatkům či výzkumným projektům, kterými se energetický sektor světové ekonomiky zabývá, a při efektivním zapojení českého výzkumu a průmyslových energetických partnerů otevírá prostor nejen pro výzkum, ale i pro průmysl a český zahraniční obchod. </w:t>
      </w:r>
    </w:p>
    <w:p w:rsidR="000B701E" w:rsidRPr="0092047B" w:rsidRDefault="005E25DD" w:rsidP="00184DC1">
      <w:pPr>
        <w:rPr>
          <w:rFonts w:cstheme="minorHAnsi"/>
        </w:rPr>
      </w:pPr>
      <w:r w:rsidRPr="0092047B">
        <w:rPr>
          <w:rFonts w:cstheme="minorHAnsi"/>
          <w:szCs w:val="20"/>
        </w:rPr>
        <w:t>Nelze opominout aspekt, že s</w:t>
      </w:r>
      <w:r w:rsidRPr="0092047B">
        <w:rPr>
          <w:rFonts w:cstheme="minorHAnsi"/>
        </w:rPr>
        <w:t xml:space="preserve">ektor energetiky a související odvětví </w:t>
      </w:r>
      <w:r>
        <w:rPr>
          <w:rFonts w:cstheme="minorHAnsi"/>
        </w:rPr>
        <w:t>jsou</w:t>
      </w:r>
      <w:r w:rsidRPr="0092047B">
        <w:rPr>
          <w:rFonts w:cstheme="minorHAnsi"/>
        </w:rPr>
        <w:t xml:space="preserve"> důležit</w:t>
      </w:r>
      <w:r>
        <w:rPr>
          <w:rFonts w:cstheme="minorHAnsi"/>
        </w:rPr>
        <w:t>é</w:t>
      </w:r>
      <w:r w:rsidRPr="0092047B">
        <w:rPr>
          <w:rFonts w:cstheme="minorHAnsi"/>
        </w:rPr>
        <w:t xml:space="preserve"> z hlediska zaměstnanosti</w:t>
      </w:r>
      <w:r>
        <w:rPr>
          <w:rFonts w:cstheme="minorHAnsi"/>
        </w:rPr>
        <w:t>. V</w:t>
      </w:r>
      <w:r w:rsidRPr="0092047B">
        <w:rPr>
          <w:rFonts w:cstheme="minorHAnsi"/>
        </w:rPr>
        <w:t>ýrazněji se to projevuje zejména v některých regionech. Podíl elektroenergetiky, plynárenství, teplárenství a těžby surovin na celkové zaměstnanosti v roce 2010 činil téměř 2 %</w:t>
      </w:r>
      <w:r w:rsidR="000B701E" w:rsidRPr="0092047B">
        <w:rPr>
          <w:rFonts w:cstheme="minorHAnsi"/>
        </w:rPr>
        <w:t xml:space="preserve"> (45 % ve výrobě, rozvodu a distribuci elektřiny, tepla a plynu, 55 % v těžbě surovin). Podstatnější než číselný údaj je skutečnost, že jak těžební průmysl, tak i energetika mají schopnost multiplikačně vytvářet další pracovní i podnikatelské příležitosti v navazujících odvětvích. Nepříznivá je věková struktura pracovníků v energetickém sektoru (věkový průměr je 44 let). Náročnost na kvalifikované profese se ve výrobě energií zvyšuje (podíl technických pracovníků z 29 % v roce 2002 na 37 % v roce 2007). </w:t>
      </w:r>
      <w:r w:rsidR="00BD09C9" w:rsidRPr="0092047B">
        <w:rPr>
          <w:rFonts w:cstheme="minorHAnsi"/>
        </w:rPr>
        <w:t xml:space="preserve">Relativně nízký je </w:t>
      </w:r>
      <w:r w:rsidR="000B701E" w:rsidRPr="0092047B">
        <w:rPr>
          <w:rFonts w:cstheme="minorHAnsi"/>
        </w:rPr>
        <w:t xml:space="preserve">podíl odborníků s vysokoškolským </w:t>
      </w:r>
      <w:r w:rsidR="000B701E" w:rsidRPr="0092047B">
        <w:rPr>
          <w:rFonts w:cstheme="minorHAnsi"/>
          <w:b/>
        </w:rPr>
        <w:t xml:space="preserve">vzděláním </w:t>
      </w:r>
      <w:r w:rsidR="000B701E" w:rsidRPr="0092047B">
        <w:rPr>
          <w:rFonts w:cstheme="minorHAnsi"/>
        </w:rPr>
        <w:t>oproti</w:t>
      </w:r>
      <w:r w:rsidR="00583ADD" w:rsidRPr="0092047B">
        <w:rPr>
          <w:rFonts w:cstheme="minorHAnsi"/>
        </w:rPr>
        <w:t xml:space="preserve"> vyspělým zemím EU (17 % vs. 31 </w:t>
      </w:r>
      <w:r w:rsidR="000B701E" w:rsidRPr="0092047B">
        <w:rPr>
          <w:rFonts w:cstheme="minorHAnsi"/>
        </w:rPr>
        <w:t>%). Předpokládaný počet absolventů vysokých a středních škol v období 2010 až 2016 nezajišťuje dostatek odborníků pro náhradu pracovníků v důchodovém věku. Energetiku ohrožuje též snižování kvality výuky a  nedostatek multioborových znalostí.</w:t>
      </w:r>
    </w:p>
    <w:p w:rsidR="00CD3EAF" w:rsidRDefault="00CD3EAF" w:rsidP="00184DC1">
      <w:pPr>
        <w:rPr>
          <w:rFonts w:cstheme="minorHAnsi"/>
        </w:rPr>
      </w:pPr>
      <w:r w:rsidRPr="00CD3EAF">
        <w:rPr>
          <w:rFonts w:cstheme="minorHAnsi"/>
          <w:b/>
        </w:rPr>
        <w:t xml:space="preserve">Dobudování síťové infrastruktury </w:t>
      </w:r>
      <w:r>
        <w:rPr>
          <w:rFonts w:cstheme="minorHAnsi"/>
        </w:rPr>
        <w:t xml:space="preserve">je nezbytným předpokladem realizace a fungování tohoto trhu. Rovněž integrace obnovitelných, zejména intermitentních zdrojů nebude bez dobudování infrastruktury efektivně možná. Zapojení ČR do tohoto procesu je nezbytně nutné i z pohledu jejího tranzitního charakteru. </w:t>
      </w:r>
      <w:r w:rsidR="000B701E" w:rsidRPr="0092047B">
        <w:rPr>
          <w:rFonts w:cstheme="minorHAnsi"/>
        </w:rPr>
        <w:t xml:space="preserve">V souvislosti </w:t>
      </w:r>
      <w:r w:rsidR="005E25DD">
        <w:rPr>
          <w:rFonts w:cstheme="minorHAnsi"/>
        </w:rPr>
        <w:t xml:space="preserve">s </w:t>
      </w:r>
      <w:r>
        <w:rPr>
          <w:rFonts w:cstheme="minorHAnsi"/>
        </w:rPr>
        <w:t>narůstajícím instalovaným výkonem</w:t>
      </w:r>
      <w:r w:rsidRPr="0092047B" w:rsidDel="00CD3EAF">
        <w:rPr>
          <w:rFonts w:cstheme="minorHAnsi"/>
        </w:rPr>
        <w:t xml:space="preserve"> </w:t>
      </w:r>
      <w:r w:rsidR="000B701E" w:rsidRPr="0092047B">
        <w:rPr>
          <w:rFonts w:cstheme="minorHAnsi"/>
        </w:rPr>
        <w:t>decentralizovaných intermitentních zdrojů, a poklesem ceny řídících a měřících prvků, je potřeba rozvíjet využívání inteligentních sítí a neomezit se pouze na „inteligentní měření“. Je nutno se vyvarovat řešení</w:t>
      </w:r>
      <w:r w:rsidR="005E25DD">
        <w:rPr>
          <w:rFonts w:cstheme="minorHAnsi"/>
        </w:rPr>
        <w:t>m</w:t>
      </w:r>
      <w:r w:rsidR="000B701E" w:rsidRPr="0092047B">
        <w:rPr>
          <w:rFonts w:cstheme="minorHAnsi"/>
        </w:rPr>
        <w:t xml:space="preserve"> umožňujícím kyberútoky na energetické systémy. </w:t>
      </w:r>
    </w:p>
    <w:p w:rsidR="000B701E" w:rsidRPr="0092047B" w:rsidRDefault="000B701E" w:rsidP="00184DC1">
      <w:pPr>
        <w:rPr>
          <w:rFonts w:cstheme="minorHAnsi"/>
        </w:rPr>
      </w:pPr>
      <w:r w:rsidRPr="0092047B">
        <w:rPr>
          <w:rFonts w:cstheme="minorHAnsi"/>
        </w:rPr>
        <w:t>Žádoucí je intenzivní zapojení českého výzkumu a vývoje do mezinárodní spolupráce</w:t>
      </w:r>
      <w:r w:rsidR="003B5E0B">
        <w:rPr>
          <w:rFonts w:cstheme="minorHAnsi"/>
        </w:rPr>
        <w:t xml:space="preserve"> </w:t>
      </w:r>
      <w:r w:rsidR="00CD3EAF">
        <w:rPr>
          <w:rFonts w:cstheme="minorHAnsi"/>
        </w:rPr>
        <w:t>v obou výše uvedených oblastech</w:t>
      </w:r>
      <w:r w:rsidRPr="0092047B">
        <w:rPr>
          <w:rFonts w:cstheme="minorHAnsi"/>
        </w:rPr>
        <w:t>. Pro efektivní využití inteligentních sítí je důležitý i rozvoj právního prostředí, které umožní příslušné vypínání a zapínání zdrojů a spotřebičů k nim připojených.</w:t>
      </w:r>
    </w:p>
    <w:p w:rsidR="000B701E" w:rsidRPr="0092047B" w:rsidRDefault="001D74E4" w:rsidP="00184DC1">
      <w:pPr>
        <w:rPr>
          <w:rFonts w:cstheme="minorHAnsi"/>
        </w:rPr>
      </w:pPr>
      <w:r w:rsidRPr="0092047B">
        <w:rPr>
          <w:rFonts w:cstheme="minorHAnsi"/>
        </w:rPr>
        <w:t xml:space="preserve">Energetický mix i energetické soustavy je nutno budovat systematicky tak, aby bylo možno v případě potřeby energetiku doplňovat o nové zdroje bez nutnosti zásadních rekonstrukcí systému nebo jeho přestavby. </w:t>
      </w:r>
      <w:r w:rsidR="000B701E" w:rsidRPr="0092047B">
        <w:rPr>
          <w:rFonts w:cstheme="minorHAnsi"/>
        </w:rPr>
        <w:t xml:space="preserve">Pro zajištění </w:t>
      </w:r>
      <w:r w:rsidR="000B701E" w:rsidRPr="0092047B">
        <w:rPr>
          <w:rFonts w:cstheme="minorHAnsi"/>
          <w:b/>
        </w:rPr>
        <w:t>energetické bezpečnosti a odolnosti</w:t>
      </w:r>
      <w:r w:rsidR="000B701E" w:rsidRPr="0092047B">
        <w:rPr>
          <w:rFonts w:cstheme="minorHAnsi"/>
        </w:rPr>
        <w:t xml:space="preserve"> ČR je klíčové disponovat robustní přenosovou soustavou s dostatkem regulačních výkonů a přiměřenou distribuční soustavou, což česká soustava naplňuje. Struktura výkonových a regulačních rezerv je v současnosti plně dostačující pro udržení spolehlivého provozu. V případech rozpadu evropské sítě je elektroenergetická soustava ČR jako přebytková soustava schopna bezpečného přechodu do krátkodobého ostrovního provozu a </w:t>
      </w:r>
      <w:r w:rsidR="005E25DD" w:rsidRPr="0092047B">
        <w:rPr>
          <w:rFonts w:cstheme="minorHAnsi"/>
        </w:rPr>
        <w:t> </w:t>
      </w:r>
      <w:r w:rsidR="005E25DD">
        <w:rPr>
          <w:rFonts w:cstheme="minorHAnsi"/>
        </w:rPr>
        <w:t>je schopna</w:t>
      </w:r>
      <w:r w:rsidR="005E25DD" w:rsidRPr="0092047B">
        <w:rPr>
          <w:rFonts w:cstheme="minorHAnsi"/>
        </w:rPr>
        <w:t xml:space="preserve"> </w:t>
      </w:r>
      <w:r w:rsidR="000B701E" w:rsidRPr="0092047B">
        <w:rPr>
          <w:rFonts w:cstheme="minorHAnsi"/>
        </w:rPr>
        <w:t xml:space="preserve">garantovat zajištění dodávek odběratelům. Pro dlouhodobý ostrovní provoz ČR není zajištěna dostatečná výše rychlých rezerv. V případě kumulace poruch či útoků na více místech a následné dezintegrace přenosové sítě </w:t>
      </w:r>
      <w:r w:rsidR="00CE566C">
        <w:rPr>
          <w:rFonts w:cstheme="minorHAnsi"/>
        </w:rPr>
        <w:t>musí být</w:t>
      </w:r>
      <w:r w:rsidR="00CE566C" w:rsidRPr="0092047B">
        <w:rPr>
          <w:rFonts w:cstheme="minorHAnsi"/>
        </w:rPr>
        <w:t xml:space="preserve"> </w:t>
      </w:r>
      <w:r w:rsidR="000B701E" w:rsidRPr="0092047B">
        <w:rPr>
          <w:rFonts w:cstheme="minorHAnsi"/>
        </w:rPr>
        <w:t xml:space="preserve">garantována včasná obnova dodávky elektřiny pro všechny velké aglomerace. Územní energetické koncepce dosud komplexním způsobem neřeší zásobování daného území elektřinou a teplem a zajištění chodu nezbytné infrastruktury pro případ dlouhodobé poruchy. Pro dodávky zemního plynu existuje rozvinutá přepravní a distribuční síť a je zajištěna významná kapacita zásobníků plynu. V oblasti ropy existují v současnosti nouzové zásoby přesahující výši </w:t>
      </w:r>
      <w:r w:rsidR="001C0237">
        <w:rPr>
          <w:rFonts w:cstheme="minorHAnsi"/>
        </w:rPr>
        <w:t>9</w:t>
      </w:r>
      <w:r w:rsidR="001C0237" w:rsidRPr="0092047B">
        <w:rPr>
          <w:rFonts w:cstheme="minorHAnsi"/>
        </w:rPr>
        <w:t xml:space="preserve">0 </w:t>
      </w:r>
      <w:r w:rsidR="000B701E" w:rsidRPr="0092047B">
        <w:rPr>
          <w:rFonts w:cstheme="minorHAnsi"/>
        </w:rPr>
        <w:t>denní spotřeby. Soustavy zásobování teplem, založené na uhlí, jsou pr</w:t>
      </w:r>
      <w:r w:rsidR="00812E53">
        <w:rPr>
          <w:rFonts w:cstheme="minorHAnsi"/>
        </w:rPr>
        <w:t>ovozuschopné i v případě nouze.</w:t>
      </w:r>
    </w:p>
    <w:p w:rsidR="004A6A4B" w:rsidRPr="0092047B" w:rsidRDefault="00D762C7" w:rsidP="00184DC1">
      <w:pPr>
        <w:pStyle w:val="Nadpis2"/>
      </w:pPr>
      <w:bookmarkStart w:id="386" w:name="_Ref367885891"/>
      <w:bookmarkStart w:id="387" w:name="_Toc396923382"/>
      <w:r w:rsidRPr="0092047B">
        <w:t xml:space="preserve">Vnější a vnitřní podmínky </w:t>
      </w:r>
      <w:r w:rsidR="004A6A4B" w:rsidRPr="0092047B">
        <w:t>ovlivňující českou energetiku</w:t>
      </w:r>
      <w:bookmarkEnd w:id="386"/>
      <w:bookmarkEnd w:id="387"/>
    </w:p>
    <w:p w:rsidR="00B822F0" w:rsidRPr="0092047B" w:rsidRDefault="00B822F0" w:rsidP="00184DC1">
      <w:pPr>
        <w:rPr>
          <w:rFonts w:cstheme="minorHAnsi"/>
          <w:bCs/>
        </w:rPr>
      </w:pPr>
      <w:r w:rsidRPr="0092047B">
        <w:rPr>
          <w:rFonts w:cstheme="minorHAnsi"/>
          <w:bCs/>
        </w:rPr>
        <w:t xml:space="preserve">Pro formulování dlouhodobé energetické strategie má klíčový význam odhad </w:t>
      </w:r>
      <w:r w:rsidRPr="0092047B">
        <w:rPr>
          <w:rFonts w:cstheme="minorHAnsi"/>
        </w:rPr>
        <w:t>vývoje vnějších i vnitřních podmínek</w:t>
      </w:r>
      <w:r w:rsidRPr="0092047B">
        <w:rPr>
          <w:rFonts w:cstheme="minorHAnsi"/>
          <w:bCs/>
        </w:rPr>
        <w:t>, v nichž se bude v průběhu zvoleného časového horizontu realizovat rozvoj české energetiky.</w:t>
      </w:r>
    </w:p>
    <w:p w:rsidR="00B822F0" w:rsidRPr="0092047B" w:rsidRDefault="00B822F0" w:rsidP="00184DC1">
      <w:pPr>
        <w:spacing w:after="120"/>
        <w:rPr>
          <w:rFonts w:cstheme="minorHAnsi"/>
          <w:b/>
          <w:bCs/>
        </w:rPr>
      </w:pPr>
      <w:r w:rsidRPr="0092047B">
        <w:rPr>
          <w:rFonts w:cstheme="minorHAnsi"/>
          <w:b/>
          <w:bCs/>
        </w:rPr>
        <w:t>Z vnějších podmínek se zejména jedná o:</w:t>
      </w:r>
    </w:p>
    <w:p w:rsidR="00B822F0" w:rsidRPr="0092047B" w:rsidRDefault="00B822F0" w:rsidP="00184DC1">
      <w:pPr>
        <w:numPr>
          <w:ilvl w:val="0"/>
          <w:numId w:val="10"/>
        </w:numPr>
        <w:spacing w:after="120"/>
        <w:rPr>
          <w:rFonts w:cstheme="minorHAnsi"/>
          <w:bCs/>
        </w:rPr>
      </w:pPr>
      <w:r w:rsidRPr="0092047B">
        <w:rPr>
          <w:rFonts w:cstheme="minorHAnsi"/>
          <w:bCs/>
        </w:rPr>
        <w:t>Globální soupeření o primární zdroje energie, zesílené dlouhodobým růstem ekonomik dynamicky se rozvíjejících zemí a jejich energetických potřeb</w:t>
      </w:r>
      <w:r w:rsidR="00812E53">
        <w:rPr>
          <w:rFonts w:cstheme="minorHAnsi"/>
          <w:bCs/>
        </w:rPr>
        <w:t>,</w:t>
      </w:r>
      <w:r w:rsidRPr="0092047B">
        <w:rPr>
          <w:rFonts w:cstheme="minorHAnsi"/>
          <w:bCs/>
        </w:rPr>
        <w:t xml:space="preserve"> a současně zvyšující se dovozní závislost zemí EU</w:t>
      </w:r>
      <w:r w:rsidR="00812E53">
        <w:rPr>
          <w:rFonts w:cstheme="minorHAnsi"/>
          <w:bCs/>
        </w:rPr>
        <w:t>,</w:t>
      </w:r>
      <w:r w:rsidRPr="0092047B">
        <w:rPr>
          <w:rFonts w:cstheme="minorHAnsi"/>
          <w:bCs/>
        </w:rPr>
        <w:t xml:space="preserve"> v důsledku snižování </w:t>
      </w:r>
      <w:r w:rsidR="001D74E4" w:rsidRPr="0092047B">
        <w:rPr>
          <w:rFonts w:cstheme="minorHAnsi"/>
          <w:bCs/>
        </w:rPr>
        <w:t>disponibility</w:t>
      </w:r>
      <w:r w:rsidRPr="0092047B">
        <w:rPr>
          <w:rFonts w:cstheme="minorHAnsi"/>
          <w:bCs/>
        </w:rPr>
        <w:t xml:space="preserve"> jejich vlastních zdrojů</w:t>
      </w:r>
      <w:r w:rsidR="005E25DD">
        <w:rPr>
          <w:rFonts w:cstheme="minorHAnsi"/>
          <w:bCs/>
        </w:rPr>
        <w:t xml:space="preserve"> a</w:t>
      </w:r>
      <w:r w:rsidRPr="0092047B">
        <w:rPr>
          <w:rFonts w:cstheme="minorHAnsi"/>
          <w:bCs/>
        </w:rPr>
        <w:t xml:space="preserve"> neúměrně rychlé</w:t>
      </w:r>
      <w:r w:rsidR="00812E53">
        <w:rPr>
          <w:rFonts w:cstheme="minorHAnsi"/>
          <w:bCs/>
        </w:rPr>
        <w:t>mu</w:t>
      </w:r>
      <w:r w:rsidRPr="0092047B">
        <w:rPr>
          <w:rFonts w:cstheme="minorHAnsi"/>
          <w:bCs/>
        </w:rPr>
        <w:t xml:space="preserve"> uzavírání</w:t>
      </w:r>
      <w:r w:rsidR="00515344">
        <w:rPr>
          <w:rFonts w:cstheme="minorHAnsi"/>
          <w:bCs/>
        </w:rPr>
        <w:t xml:space="preserve"> ložisek energetických surovin v EU</w:t>
      </w:r>
      <w:r w:rsidRPr="0092047B">
        <w:rPr>
          <w:rFonts w:cstheme="minorHAnsi"/>
          <w:bCs/>
        </w:rPr>
        <w:t>.</w:t>
      </w:r>
    </w:p>
    <w:p w:rsidR="00B822F0" w:rsidRPr="0092047B" w:rsidRDefault="00B822F0" w:rsidP="00184DC1">
      <w:pPr>
        <w:numPr>
          <w:ilvl w:val="0"/>
          <w:numId w:val="10"/>
        </w:numPr>
        <w:spacing w:after="120"/>
        <w:rPr>
          <w:rFonts w:cstheme="minorHAnsi"/>
          <w:bCs/>
        </w:rPr>
      </w:pPr>
      <w:r w:rsidRPr="0092047B">
        <w:rPr>
          <w:rFonts w:cstheme="minorHAnsi"/>
          <w:bCs/>
        </w:rPr>
        <w:t xml:space="preserve">Liberalizaci trhu s energií v EU a vytvoření jednotného trhu projevující se omezením role státu v energetickém sektoru, a tím i souboru nástrojů, které mohou použít členské země pro prosazování </w:t>
      </w:r>
      <w:r w:rsidR="005678C6" w:rsidRPr="0092047B">
        <w:rPr>
          <w:rFonts w:cstheme="minorHAnsi"/>
          <w:bCs/>
        </w:rPr>
        <w:t xml:space="preserve">své </w:t>
      </w:r>
      <w:r w:rsidRPr="0092047B">
        <w:rPr>
          <w:rFonts w:cstheme="minorHAnsi"/>
          <w:bCs/>
        </w:rPr>
        <w:t>energetické politiky</w:t>
      </w:r>
      <w:r w:rsidR="00CE566C">
        <w:rPr>
          <w:rFonts w:cstheme="minorHAnsi"/>
          <w:bCs/>
        </w:rPr>
        <w:t>.</w:t>
      </w:r>
    </w:p>
    <w:p w:rsidR="00B822F0" w:rsidRPr="0092047B" w:rsidRDefault="00B822F0" w:rsidP="00184DC1">
      <w:pPr>
        <w:numPr>
          <w:ilvl w:val="0"/>
          <w:numId w:val="10"/>
        </w:numPr>
        <w:spacing w:after="120"/>
        <w:rPr>
          <w:rFonts w:cstheme="minorHAnsi"/>
          <w:bCs/>
        </w:rPr>
      </w:pPr>
      <w:r w:rsidRPr="0092047B">
        <w:rPr>
          <w:rFonts w:cstheme="minorHAnsi"/>
          <w:bCs/>
        </w:rPr>
        <w:t>Postupný přesun kompetencí z členských států na Evropskou komisi a byrokratizace rozhodovacího procesu.</w:t>
      </w:r>
    </w:p>
    <w:p w:rsidR="00B822F0" w:rsidRPr="0092047B" w:rsidRDefault="00B822F0" w:rsidP="00184DC1">
      <w:pPr>
        <w:numPr>
          <w:ilvl w:val="0"/>
          <w:numId w:val="10"/>
        </w:numPr>
        <w:spacing w:after="120"/>
        <w:rPr>
          <w:rFonts w:cstheme="minorHAnsi"/>
          <w:bCs/>
        </w:rPr>
      </w:pPr>
      <w:r w:rsidRPr="0092047B">
        <w:rPr>
          <w:rFonts w:cstheme="minorHAnsi"/>
          <w:bCs/>
        </w:rPr>
        <w:t xml:space="preserve">Globalizaci </w:t>
      </w:r>
      <w:r w:rsidR="007B163D" w:rsidRPr="0092047B">
        <w:rPr>
          <w:rFonts w:cstheme="minorHAnsi"/>
          <w:bCs/>
        </w:rPr>
        <w:t xml:space="preserve">a liberalizaci </w:t>
      </w:r>
      <w:r w:rsidRPr="0092047B">
        <w:rPr>
          <w:rFonts w:cstheme="minorHAnsi"/>
          <w:bCs/>
        </w:rPr>
        <w:t>propojující národní energetické trhy s evropskými a světovými a rovněž kapitálové trhy s komoditními. Specifická lokální cena komodity (elektřina, plyn, ropné produkty) již téměř neexistuje. Významným prvkem konkurenceschopnosti je však spolehlivost dodávek a nekomoditní složky ceny (náklady na infrastrukturu, řízení spolehlivosti a organizace trhu, dotace na OZE a</w:t>
      </w:r>
      <w:r w:rsidR="008C6EAA">
        <w:rPr>
          <w:rFonts w:cstheme="minorHAnsi"/>
          <w:bCs/>
        </w:rPr>
        <w:t xml:space="preserve"> kombinovanou výrobu elektrické a tepelné energie</w:t>
      </w:r>
      <w:r w:rsidRPr="0092047B">
        <w:rPr>
          <w:rFonts w:cstheme="minorHAnsi"/>
          <w:bCs/>
        </w:rPr>
        <w:t> </w:t>
      </w:r>
      <w:r w:rsidR="008C6EAA">
        <w:rPr>
          <w:rFonts w:cstheme="minorHAnsi"/>
          <w:bCs/>
        </w:rPr>
        <w:t>(</w:t>
      </w:r>
      <w:r w:rsidRPr="0092047B">
        <w:rPr>
          <w:rFonts w:cstheme="minorHAnsi"/>
          <w:bCs/>
        </w:rPr>
        <w:t>KVET</w:t>
      </w:r>
      <w:r w:rsidR="008C6EAA">
        <w:rPr>
          <w:rFonts w:cstheme="minorHAnsi"/>
          <w:bCs/>
        </w:rPr>
        <w:t>)</w:t>
      </w:r>
      <w:r w:rsidRPr="0092047B">
        <w:t xml:space="preserve"> </w:t>
      </w:r>
      <w:r w:rsidRPr="0092047B">
        <w:rPr>
          <w:rFonts w:cstheme="minorHAnsi"/>
          <w:bCs/>
        </w:rPr>
        <w:t>a samozřejmě též daňové zatížení), které činí u elektřiny přes 50 % konečné ceny, u plynu téměř 30</w:t>
      </w:r>
      <w:r w:rsidR="000D06F7" w:rsidRPr="0092047B">
        <w:rPr>
          <w:rFonts w:cstheme="minorHAnsi"/>
          <w:bCs/>
        </w:rPr>
        <w:t> </w:t>
      </w:r>
      <w:r w:rsidRPr="0092047B">
        <w:rPr>
          <w:rFonts w:cstheme="minorHAnsi"/>
          <w:bCs/>
        </w:rPr>
        <w:t>%.</w:t>
      </w:r>
    </w:p>
    <w:p w:rsidR="00B822F0" w:rsidRDefault="00B822F0" w:rsidP="00184DC1">
      <w:pPr>
        <w:numPr>
          <w:ilvl w:val="0"/>
          <w:numId w:val="10"/>
        </w:numPr>
        <w:spacing w:after="120"/>
        <w:rPr>
          <w:rFonts w:cstheme="minorHAnsi"/>
          <w:bCs/>
        </w:rPr>
      </w:pPr>
      <w:r w:rsidRPr="0092047B">
        <w:rPr>
          <w:rFonts w:cstheme="minorHAnsi"/>
          <w:bCs/>
        </w:rPr>
        <w:t>Energetickou a klimatickou politiku EU s cílem dosažení nízkouhlíkového hospodářství a zejména nízkouhlíkové energetiky do roku 2050</w:t>
      </w:r>
      <w:r w:rsidR="002C2F31" w:rsidRPr="0092047B">
        <w:rPr>
          <w:rFonts w:cstheme="minorHAnsi"/>
          <w:bCs/>
        </w:rPr>
        <w:t xml:space="preserve">, </w:t>
      </w:r>
      <w:r w:rsidR="00CB1134">
        <w:rPr>
          <w:rFonts w:cstheme="minorHAnsi"/>
          <w:bCs/>
        </w:rPr>
        <w:t xml:space="preserve">již přijaté závazky klimaticko-energetické politiky do roku 2020, </w:t>
      </w:r>
      <w:r w:rsidR="002C2F31" w:rsidRPr="0092047B">
        <w:rPr>
          <w:rFonts w:cstheme="minorHAnsi"/>
          <w:bCs/>
        </w:rPr>
        <w:t xml:space="preserve">včetně diskusí o </w:t>
      </w:r>
      <w:r w:rsidR="000970ED" w:rsidRPr="0092047B">
        <w:rPr>
          <w:rFonts w:cstheme="minorHAnsi"/>
          <w:bCs/>
        </w:rPr>
        <w:t>budoucí podobě rámce klimaticko-</w:t>
      </w:r>
      <w:r w:rsidR="002C2F31" w:rsidRPr="0092047B">
        <w:rPr>
          <w:rFonts w:cstheme="minorHAnsi"/>
          <w:bCs/>
        </w:rPr>
        <w:t>energetické politiky EU do roku 2030</w:t>
      </w:r>
      <w:r w:rsidR="00812E53">
        <w:rPr>
          <w:rFonts w:cstheme="minorHAnsi"/>
          <w:bCs/>
        </w:rPr>
        <w:t>.</w:t>
      </w:r>
      <w:r w:rsidR="00247192">
        <w:rPr>
          <w:rStyle w:val="Znakapoznpodarou"/>
          <w:rFonts w:cstheme="minorHAnsi"/>
          <w:bCs/>
        </w:rPr>
        <w:footnoteReference w:id="11"/>
      </w:r>
    </w:p>
    <w:p w:rsidR="00CB1134" w:rsidRPr="0092047B" w:rsidRDefault="00CB1134" w:rsidP="00184DC1">
      <w:pPr>
        <w:numPr>
          <w:ilvl w:val="0"/>
          <w:numId w:val="10"/>
        </w:numPr>
        <w:spacing w:after="120"/>
        <w:rPr>
          <w:rFonts w:cstheme="minorHAnsi"/>
          <w:bCs/>
        </w:rPr>
      </w:pPr>
      <w:r w:rsidRPr="0092047B">
        <w:rPr>
          <w:rFonts w:cstheme="minorHAnsi"/>
          <w:bCs/>
        </w:rPr>
        <w:t>Obecný tlak na snižování emisí produkovaných sektorem energetiky a tlak na zvyšování účinnosti a úspor jak na straně výroby, tak na straně spotřeby.</w:t>
      </w:r>
    </w:p>
    <w:p w:rsidR="00B822F0" w:rsidRPr="0092047B" w:rsidRDefault="00B822F0" w:rsidP="00184DC1">
      <w:pPr>
        <w:numPr>
          <w:ilvl w:val="0"/>
          <w:numId w:val="10"/>
        </w:numPr>
        <w:spacing w:before="120"/>
        <w:rPr>
          <w:rFonts w:cstheme="minorHAnsi"/>
          <w:bCs/>
        </w:rPr>
      </w:pPr>
      <w:r w:rsidRPr="0092047B">
        <w:rPr>
          <w:rFonts w:cstheme="minorHAnsi"/>
          <w:bCs/>
        </w:rPr>
        <w:t>Integraci trhů s energií napříč Evropou, relokace zdrojů do oblastí s vhodnými přírodními podmínkami (elektroenergetika) a diverzifikace dodávek (plyn a ropa) vyvolávají nároky na přebudování evropských dopravních cest, a to zejména v ose sever/jih. ČR bude nadále významnou tranzitní cestou pro všechna síťová energetická odvětví a její role se bude (zejména v odvětví elektroenergetiky) zvyšovat.</w:t>
      </w:r>
    </w:p>
    <w:p w:rsidR="00CB1134" w:rsidRDefault="00CB1134" w:rsidP="00184DC1">
      <w:pPr>
        <w:numPr>
          <w:ilvl w:val="0"/>
          <w:numId w:val="10"/>
        </w:numPr>
        <w:spacing w:after="120"/>
        <w:rPr>
          <w:rFonts w:cstheme="minorHAnsi"/>
          <w:bCs/>
        </w:rPr>
      </w:pPr>
      <w:r>
        <w:rPr>
          <w:rFonts w:cstheme="minorHAnsi"/>
          <w:bCs/>
        </w:rPr>
        <w:t>Jednostranné změny energetických politik velkých států EU, které díky významnému propojení trhů nutně ovlivňují energetické politiky ostatních států, včetně ČR, především tzv. Energiewende Spolkové republiky Německo.</w:t>
      </w:r>
    </w:p>
    <w:p w:rsidR="00CB1134" w:rsidRPr="0092047B" w:rsidRDefault="00CB1134" w:rsidP="00184DC1">
      <w:pPr>
        <w:numPr>
          <w:ilvl w:val="0"/>
          <w:numId w:val="10"/>
        </w:numPr>
        <w:spacing w:after="120"/>
        <w:rPr>
          <w:rFonts w:cstheme="minorHAnsi"/>
          <w:bCs/>
        </w:rPr>
      </w:pPr>
      <w:r>
        <w:rPr>
          <w:rFonts w:cstheme="minorHAnsi"/>
          <w:bCs/>
        </w:rPr>
        <w:t>Tendence k oddělování platby za elektřinu (MWh) a zavádění samostatné platby za disponibilní kapacitu (MW) prostřednictvím různých forem kapacitních mechanismů v některých zemích EU.</w:t>
      </w:r>
    </w:p>
    <w:p w:rsidR="00B822F0" w:rsidRPr="0092047B" w:rsidRDefault="00B822F0" w:rsidP="00184DC1">
      <w:pPr>
        <w:numPr>
          <w:ilvl w:val="0"/>
          <w:numId w:val="10"/>
        </w:numPr>
        <w:spacing w:before="120"/>
        <w:ind w:left="714" w:hanging="357"/>
        <w:rPr>
          <w:rFonts w:cstheme="minorHAnsi"/>
          <w:bCs/>
        </w:rPr>
      </w:pPr>
      <w:r w:rsidRPr="0092047B">
        <w:rPr>
          <w:rFonts w:cstheme="minorHAnsi"/>
          <w:bCs/>
        </w:rPr>
        <w:t>Technologický vývoj zejména v oblasti obnovitelných, obecně distribuovaných zdrojů, systémů řízení sítí, komunikačních a informačních technologií, stejně jako technologický rozvoj na straně spotřeby, který ne</w:t>
      </w:r>
      <w:r w:rsidR="005E25DD">
        <w:rPr>
          <w:rFonts w:cstheme="minorHAnsi"/>
          <w:bCs/>
        </w:rPr>
        <w:t>lze</w:t>
      </w:r>
      <w:r w:rsidRPr="0092047B">
        <w:rPr>
          <w:rFonts w:cstheme="minorHAnsi"/>
          <w:bCs/>
        </w:rPr>
        <w:t xml:space="preserve"> vždy zcela přesně odhadnout (např. stále očekávaný pokrok v oblasti dopravy a elektromobility).</w:t>
      </w:r>
    </w:p>
    <w:p w:rsidR="00B822F0" w:rsidRPr="0092047B" w:rsidRDefault="00B822F0" w:rsidP="00184DC1">
      <w:pPr>
        <w:spacing w:after="120"/>
        <w:rPr>
          <w:rFonts w:cstheme="minorHAnsi"/>
          <w:b/>
          <w:bCs/>
        </w:rPr>
      </w:pPr>
      <w:r w:rsidRPr="0092047B">
        <w:rPr>
          <w:rFonts w:cstheme="minorHAnsi"/>
          <w:b/>
          <w:bCs/>
        </w:rPr>
        <w:t>Z vnitřních podmínek lze za nejvýznamnější považovat:</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Zajištění spolehlivosti dodávek energií z pohledu bezpečnosti a ochrany obyvatelstva.</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 xml:space="preserve">Potřebu obnovy zastaralé a budování nové síťové infrastruktury a její diverzifikace. </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Významnou roli a tradici energetiky a energetického strojírenství s vysokou úrovní know-how v klasických technologiích</w:t>
      </w:r>
      <w:r w:rsidR="00CE566C">
        <w:rPr>
          <w:rFonts w:cstheme="minorHAnsi"/>
          <w:bCs/>
        </w:rPr>
        <w:t xml:space="preserve"> i v jaderných technologiích</w:t>
      </w:r>
      <w:r w:rsidRPr="0092047B">
        <w:rPr>
          <w:rFonts w:cstheme="minorHAnsi"/>
          <w:bCs/>
        </w:rPr>
        <w:t>, včetně velkého proexportního potenciálu</w:t>
      </w:r>
      <w:r w:rsidR="00000C82" w:rsidRPr="0092047B">
        <w:rPr>
          <w:rFonts w:cstheme="minorHAnsi"/>
          <w:bCs/>
        </w:rPr>
        <w:t xml:space="preserve"> energetického strojírenství</w:t>
      </w:r>
      <w:r w:rsidRPr="0092047B">
        <w:rPr>
          <w:rFonts w:cstheme="minorHAnsi"/>
          <w:bCs/>
        </w:rPr>
        <w:t>.</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Dominantní roli průmyslu v domácím hospodářství. Podíl průmyslu (včetně energetiky</w:t>
      </w:r>
      <w:r w:rsidR="00147BB8" w:rsidRPr="0092047B">
        <w:rPr>
          <w:rFonts w:cstheme="minorHAnsi"/>
          <w:bCs/>
        </w:rPr>
        <w:t>)</w:t>
      </w:r>
      <w:r w:rsidRPr="0092047B">
        <w:rPr>
          <w:rFonts w:cstheme="minorHAnsi"/>
          <w:bCs/>
        </w:rPr>
        <w:t xml:space="preserve"> </w:t>
      </w:r>
      <w:r w:rsidR="005E25DD">
        <w:rPr>
          <w:rFonts w:cstheme="minorHAnsi"/>
          <w:bCs/>
        </w:rPr>
        <w:t xml:space="preserve">s </w:t>
      </w:r>
      <w:r w:rsidRPr="0092047B">
        <w:rPr>
          <w:rFonts w:cstheme="minorHAnsi"/>
          <w:bCs/>
        </w:rPr>
        <w:t xml:space="preserve">cca 30 % na hrubé přidané hodnotě činí z ČR silně průmyslovou zemi (průměr EU </w:t>
      </w:r>
      <w:r w:rsidR="005E25DD">
        <w:rPr>
          <w:rFonts w:cstheme="minorHAnsi"/>
          <w:bCs/>
        </w:rPr>
        <w:t>je</w:t>
      </w:r>
      <w:r w:rsidRPr="0092047B">
        <w:rPr>
          <w:rFonts w:cstheme="minorHAnsi"/>
          <w:bCs/>
        </w:rPr>
        <w:t xml:space="preserve"> na hodnotě cca 19 %). To má zásadní vliv na energetickou náročnost celého národního hospodářství ČR.</w:t>
      </w:r>
      <w:r w:rsidR="0041440C">
        <w:rPr>
          <w:rStyle w:val="Znakapoznpodarou"/>
          <w:rFonts w:cstheme="minorHAnsi"/>
          <w:bCs/>
        </w:rPr>
        <w:footnoteReference w:id="12"/>
      </w:r>
    </w:p>
    <w:p w:rsidR="00B822F0" w:rsidRPr="0092047B" w:rsidRDefault="00B822F0" w:rsidP="00184DC1">
      <w:pPr>
        <w:numPr>
          <w:ilvl w:val="0"/>
          <w:numId w:val="10"/>
        </w:numPr>
        <w:spacing w:after="120"/>
        <w:rPr>
          <w:rFonts w:cstheme="minorHAnsi"/>
          <w:bCs/>
        </w:rPr>
      </w:pPr>
      <w:r w:rsidRPr="0092047B">
        <w:rPr>
          <w:rFonts w:cstheme="minorHAnsi"/>
          <w:bCs/>
        </w:rPr>
        <w:t>Postupně se snižující zásoby uhlí a postupný pokles jeho těžby vytvářející z uhlí stále cennější surovinu.</w:t>
      </w:r>
    </w:p>
    <w:p w:rsidR="00B822F0" w:rsidRPr="0092047B" w:rsidRDefault="00885359" w:rsidP="00184DC1">
      <w:pPr>
        <w:numPr>
          <w:ilvl w:val="0"/>
          <w:numId w:val="10"/>
        </w:numPr>
        <w:spacing w:after="120"/>
        <w:ind w:left="714" w:hanging="357"/>
        <w:rPr>
          <w:rFonts w:cstheme="minorHAnsi"/>
          <w:bCs/>
        </w:rPr>
      </w:pPr>
      <w:r w:rsidRPr="0092047B">
        <w:rPr>
          <w:rFonts w:cstheme="minorHAnsi"/>
          <w:bCs/>
        </w:rPr>
        <w:t>Převažující v</w:t>
      </w:r>
      <w:r w:rsidR="00B822F0" w:rsidRPr="0092047B">
        <w:rPr>
          <w:rFonts w:cstheme="minorHAnsi"/>
          <w:bCs/>
        </w:rPr>
        <w:t xml:space="preserve">eřejnou </w:t>
      </w:r>
      <w:r w:rsidRPr="0092047B">
        <w:rPr>
          <w:rFonts w:cstheme="minorHAnsi"/>
          <w:bCs/>
        </w:rPr>
        <w:t>podporu</w:t>
      </w:r>
      <w:r w:rsidR="00B822F0" w:rsidRPr="0092047B">
        <w:rPr>
          <w:rFonts w:cstheme="minorHAnsi"/>
          <w:bCs/>
        </w:rPr>
        <w:t xml:space="preserve"> jaderné energetiky.</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Omezenou dostupnost obnovitelné energie v ČR a její nižší konkurenceschopnost za stávajících podmínek.</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Rozvinuté soustavy zásobování teplem s nízkými náklady založenými na dosud cenově dostupném hnědém uhlí.</w:t>
      </w:r>
    </w:p>
    <w:p w:rsidR="00B822F0" w:rsidRPr="0092047B" w:rsidRDefault="00B822F0" w:rsidP="00184DC1">
      <w:pPr>
        <w:pStyle w:val="Odstavecseseznamem"/>
        <w:numPr>
          <w:ilvl w:val="0"/>
          <w:numId w:val="10"/>
        </w:numPr>
        <w:spacing w:after="120" w:line="240" w:lineRule="auto"/>
        <w:ind w:left="714" w:hanging="357"/>
        <w:rPr>
          <w:rFonts w:asciiTheme="minorHAnsi" w:hAnsiTheme="minorHAnsi" w:cstheme="minorHAnsi"/>
          <w:bCs/>
          <w:sz w:val="24"/>
          <w:szCs w:val="24"/>
        </w:rPr>
      </w:pPr>
      <w:r w:rsidRPr="0092047B">
        <w:rPr>
          <w:rFonts w:asciiTheme="minorHAnsi" w:hAnsiTheme="minorHAnsi" w:cstheme="minorHAnsi"/>
          <w:bCs/>
          <w:sz w:val="24"/>
          <w:szCs w:val="24"/>
        </w:rPr>
        <w:t>Zdravotně nepříznivé a emisně neudržitel</w:t>
      </w:r>
      <w:r w:rsidR="005E25DD">
        <w:rPr>
          <w:rFonts w:asciiTheme="minorHAnsi" w:hAnsiTheme="minorHAnsi" w:cstheme="minorHAnsi"/>
          <w:bCs/>
          <w:sz w:val="24"/>
          <w:szCs w:val="24"/>
        </w:rPr>
        <w:t>né individuální vytápění domů</w:t>
      </w:r>
      <w:r w:rsidRPr="0092047B">
        <w:rPr>
          <w:rFonts w:asciiTheme="minorHAnsi" w:hAnsiTheme="minorHAnsi" w:cstheme="minorHAnsi"/>
          <w:bCs/>
          <w:sz w:val="24"/>
          <w:szCs w:val="24"/>
        </w:rPr>
        <w:t xml:space="preserve"> uhlí</w:t>
      </w:r>
      <w:r w:rsidR="005E25DD">
        <w:rPr>
          <w:rFonts w:asciiTheme="minorHAnsi" w:hAnsiTheme="minorHAnsi" w:cstheme="minorHAnsi"/>
          <w:bCs/>
          <w:sz w:val="24"/>
          <w:szCs w:val="24"/>
        </w:rPr>
        <w:t>m</w:t>
      </w:r>
      <w:r w:rsidRPr="0092047B">
        <w:rPr>
          <w:rFonts w:asciiTheme="minorHAnsi" w:hAnsiTheme="minorHAnsi" w:cstheme="minorHAnsi"/>
          <w:bCs/>
          <w:sz w:val="24"/>
          <w:szCs w:val="24"/>
        </w:rPr>
        <w:t xml:space="preserve"> v obcích a městech za vzniku karcinogenních a mutagenních emisí (PAH; PM10; PM 2,5; polétavého prachu).</w:t>
      </w:r>
    </w:p>
    <w:p w:rsidR="00B822F0" w:rsidRPr="0092047B" w:rsidRDefault="00B822F0" w:rsidP="00184DC1">
      <w:pPr>
        <w:numPr>
          <w:ilvl w:val="0"/>
          <w:numId w:val="10"/>
        </w:numPr>
        <w:spacing w:after="120"/>
        <w:ind w:left="714" w:hanging="357"/>
        <w:rPr>
          <w:rFonts w:cstheme="minorHAnsi"/>
          <w:bCs/>
        </w:rPr>
      </w:pPr>
      <w:r w:rsidRPr="0092047B">
        <w:rPr>
          <w:rFonts w:cstheme="minorHAnsi"/>
          <w:bCs/>
        </w:rPr>
        <w:t>Geografickou polohu předurčující ČR k plnění úlohy tranzitní země pro všechny síťové komodity a zajišťující vysokou flexibilitu dodávek.</w:t>
      </w:r>
    </w:p>
    <w:p w:rsidR="00D2744D" w:rsidRPr="0092047B" w:rsidRDefault="00B822F0" w:rsidP="00184DC1">
      <w:pPr>
        <w:numPr>
          <w:ilvl w:val="0"/>
          <w:numId w:val="10"/>
        </w:numPr>
        <w:ind w:left="714" w:hanging="357"/>
        <w:rPr>
          <w:rFonts w:cstheme="minorHAnsi"/>
          <w:bCs/>
        </w:rPr>
      </w:pPr>
      <w:r w:rsidRPr="0092047B">
        <w:rPr>
          <w:rFonts w:cstheme="minorHAnsi"/>
          <w:bCs/>
        </w:rPr>
        <w:t>Postupné stárnutí stávající technické inteligence a nezbytnost její včasné a adekvátní náhrady. Snižující se odborná úroveň absolventů.</w:t>
      </w:r>
    </w:p>
    <w:p w:rsidR="00B822F0" w:rsidRPr="0092047B" w:rsidRDefault="00B822F0" w:rsidP="00184DC1">
      <w:pPr>
        <w:rPr>
          <w:rFonts w:cstheme="minorHAnsi"/>
        </w:rPr>
      </w:pPr>
      <w:r w:rsidRPr="0092047B">
        <w:rPr>
          <w:rFonts w:cstheme="minorHAnsi"/>
        </w:rPr>
        <w:t>Český trh energií je součástí evropského trhu, který je v globálním měřítku největším regionálním trhem a současně největším dovozcem energie. Výzvám, kterým čelí EU, tj. změna klimatu, snižování dovozní energetické závislosti, technologický rozvoj a energetická účinnost, čelí i další země ve světě. Mezinárodní energetická politika ČR je proto též významným nástrojem realizace Státní energetické koncepce. Vztahy s producentskými a tranzitními zeměmi energie i s významnými spotřebitelskými zeměmi jsou nedílnou součástí této politiky.</w:t>
      </w:r>
      <w:r w:rsidRPr="0092047B">
        <w:t xml:space="preserve"> </w:t>
      </w:r>
      <w:r w:rsidRPr="0092047B">
        <w:rPr>
          <w:rFonts w:cstheme="minorHAnsi"/>
        </w:rPr>
        <w:t xml:space="preserve">Česká energetická politika je jednoznačně determinovaná mezinárodní/světovou energetickou politikou a globálním trhem, na kterém nejméně dvě nezbytné energetické suroviny, plyn a ropu, česká ekonomika řeší výlučně jejich dovozem. Legislativní rámec české energetické politiky je </w:t>
      </w:r>
      <w:r w:rsidR="00EE42E6">
        <w:rPr>
          <w:rFonts w:cstheme="minorHAnsi"/>
        </w:rPr>
        <w:t>vymezen členstvím ČR v</w:t>
      </w:r>
      <w:r w:rsidRPr="0092047B">
        <w:rPr>
          <w:rFonts w:cstheme="minorHAnsi"/>
        </w:rPr>
        <w:t xml:space="preserve"> EU a českým členstvím ve vybraných mnohostranných energetických organizacích (IEA, IEF, IRENA, ECT, Euratom</w:t>
      </w:r>
      <w:r w:rsidR="00CE566C">
        <w:rPr>
          <w:rFonts w:cstheme="minorHAnsi"/>
        </w:rPr>
        <w:t>, ENTSO-E, ENTSOG</w:t>
      </w:r>
      <w:r w:rsidR="00387C4B" w:rsidRPr="0092047B">
        <w:rPr>
          <w:rFonts w:cstheme="minorHAnsi"/>
        </w:rPr>
        <w:t xml:space="preserve"> a </w:t>
      </w:r>
      <w:r w:rsidRPr="0092047B">
        <w:rPr>
          <w:rFonts w:cstheme="minorHAnsi"/>
        </w:rPr>
        <w:t>dalších).</w:t>
      </w:r>
    </w:p>
    <w:p w:rsidR="00B822F0" w:rsidRPr="0092047B" w:rsidRDefault="00B822F0" w:rsidP="00184DC1">
      <w:pPr>
        <w:rPr>
          <w:rFonts w:cstheme="minorHAnsi"/>
        </w:rPr>
      </w:pPr>
      <w:r w:rsidRPr="0092047B">
        <w:rPr>
          <w:rFonts w:cstheme="minorHAnsi"/>
        </w:rPr>
        <w:t>Nadnárodním rámcem pro nár</w:t>
      </w:r>
      <w:r w:rsidR="00BB0ECC">
        <w:rPr>
          <w:rFonts w:cstheme="minorHAnsi"/>
        </w:rPr>
        <w:t>odní energetickou politiku jsou sektorové</w:t>
      </w:r>
      <w:r w:rsidRPr="0092047B">
        <w:rPr>
          <w:rFonts w:cstheme="minorHAnsi"/>
        </w:rPr>
        <w:t xml:space="preserve"> politiky Evropské unie. Řada těchto politik v oblasti </w:t>
      </w:r>
      <w:r w:rsidR="00BC4DA0" w:rsidRPr="0092047B">
        <w:rPr>
          <w:rFonts w:cstheme="minorHAnsi"/>
        </w:rPr>
        <w:t xml:space="preserve">energetiky, </w:t>
      </w:r>
      <w:r w:rsidRPr="0092047B">
        <w:rPr>
          <w:rFonts w:cstheme="minorHAnsi"/>
        </w:rPr>
        <w:t xml:space="preserve">životního prostředí, hospodářské soutěže </w:t>
      </w:r>
      <w:r w:rsidR="00BB0ECC">
        <w:rPr>
          <w:rFonts w:cstheme="minorHAnsi"/>
        </w:rPr>
        <w:t>i</w:t>
      </w:r>
      <w:r w:rsidR="00891F8B">
        <w:rPr>
          <w:rFonts w:cstheme="minorHAnsi"/>
        </w:rPr>
        <w:t> </w:t>
      </w:r>
      <w:r w:rsidR="00BB0ECC">
        <w:rPr>
          <w:rFonts w:cstheme="minorHAnsi"/>
        </w:rPr>
        <w:t xml:space="preserve">průmyslové politiky, obchodní politiky </w:t>
      </w:r>
      <w:r w:rsidRPr="0092047B">
        <w:rPr>
          <w:rFonts w:cstheme="minorHAnsi"/>
        </w:rPr>
        <w:t xml:space="preserve">a vnějších vztahů (včetně účasti v mezinárodních institucích) zásadním způsobem ovlivňuje budoucí prostředí energetiky. Ve všech síťových energetických odvětvích systematicky narůstá vzájemná závislost jednotlivých národních subsystémů. Zcela zásadním faktorem jsou regulační zásahy na úrovni </w:t>
      </w:r>
      <w:r w:rsidR="00FB6BA6">
        <w:rPr>
          <w:rFonts w:cstheme="minorHAnsi"/>
        </w:rPr>
        <w:t>Evropské unie</w:t>
      </w:r>
      <w:r w:rsidR="00CC5C3E">
        <w:rPr>
          <w:rFonts w:cstheme="minorHAnsi"/>
        </w:rPr>
        <w:t xml:space="preserve"> </w:t>
      </w:r>
      <w:r w:rsidRPr="0092047B">
        <w:rPr>
          <w:rFonts w:cstheme="minorHAnsi"/>
        </w:rPr>
        <w:t>směřující k prosazení politických cílů EU. Státní energetická koncepce respektuje základní směry očekávaného vývoje v EU a současně v jejich rámci formuluje priority, které bude ČR prosazovat ve spolupráci s ostatními státy na unijní úrovni.</w:t>
      </w:r>
    </w:p>
    <w:p w:rsidR="00432F06" w:rsidRPr="0092047B" w:rsidRDefault="009D1E12" w:rsidP="00184DC1">
      <w:pPr>
        <w:rPr>
          <w:rFonts w:cstheme="minorHAnsi"/>
        </w:rPr>
      </w:pPr>
      <w:r>
        <w:rPr>
          <w:rFonts w:cstheme="minorHAnsi"/>
        </w:rPr>
        <w:t xml:space="preserve">Liberalizace a částečná </w:t>
      </w:r>
      <w:r w:rsidR="00B822F0" w:rsidRPr="0092047B">
        <w:rPr>
          <w:rFonts w:cstheme="minorHAnsi"/>
        </w:rPr>
        <w:t>integrace trhu s elektřinou a plynem v EU proběhla v uplynulých 15 letech</w:t>
      </w:r>
      <w:r w:rsidR="00432F06" w:rsidRPr="0092047B">
        <w:rPr>
          <w:rFonts w:cstheme="minorHAnsi"/>
        </w:rPr>
        <w:t>.</w:t>
      </w:r>
      <w:r w:rsidR="00B822F0" w:rsidRPr="0092047B">
        <w:rPr>
          <w:rFonts w:cstheme="minorHAnsi"/>
        </w:rPr>
        <w:t xml:space="preserve"> </w:t>
      </w:r>
      <w:r w:rsidR="00432F06" w:rsidRPr="0092047B">
        <w:rPr>
          <w:rFonts w:cstheme="minorHAnsi"/>
        </w:rPr>
        <w:t>S</w:t>
      </w:r>
      <w:r w:rsidR="00B822F0" w:rsidRPr="0092047B">
        <w:rPr>
          <w:rFonts w:cstheme="minorHAnsi"/>
        </w:rPr>
        <w:t xml:space="preserve">polu s již nastartovanými procesy změn zdrojového mixu a mezinárodních závazků vytváří prostředí vzájemné závislosti, ve kterém prakticky žádná energetika členského státu již nemůže efektivně a dlouhodobě fungovat izolovaně od ostatních. Trh s elektřinou a plynem je </w:t>
      </w:r>
      <w:r w:rsidR="00432F06" w:rsidRPr="0092047B">
        <w:rPr>
          <w:rFonts w:cstheme="minorHAnsi"/>
        </w:rPr>
        <w:t>v současnosti</w:t>
      </w:r>
      <w:r w:rsidR="00B822F0" w:rsidRPr="0092047B">
        <w:rPr>
          <w:rFonts w:cstheme="minorHAnsi"/>
        </w:rPr>
        <w:t xml:space="preserve"> základním mechanismem, který zajišťuje v běžných podmínkách</w:t>
      </w:r>
      <w:r w:rsidR="00891F8B">
        <w:rPr>
          <w:rFonts w:cstheme="minorHAnsi"/>
        </w:rPr>
        <w:t xml:space="preserve"> dodávku energie spotřebitelům.</w:t>
      </w:r>
    </w:p>
    <w:p w:rsidR="00B822F0" w:rsidRPr="0092047B" w:rsidRDefault="00432F06" w:rsidP="00184DC1">
      <w:pPr>
        <w:rPr>
          <w:rFonts w:cstheme="minorHAnsi"/>
        </w:rPr>
      </w:pPr>
      <w:r w:rsidRPr="0092047B">
        <w:rPr>
          <w:rFonts w:cstheme="minorHAnsi"/>
        </w:rPr>
        <w:t>S</w:t>
      </w:r>
      <w:r w:rsidR="00B822F0" w:rsidRPr="0092047B">
        <w:rPr>
          <w:rFonts w:cstheme="minorHAnsi"/>
        </w:rPr>
        <w:t xml:space="preserve">truktura výroby </w:t>
      </w:r>
      <w:r w:rsidR="00BC4DA0" w:rsidRPr="0092047B">
        <w:rPr>
          <w:rFonts w:cstheme="minorHAnsi"/>
        </w:rPr>
        <w:t>a využití zdrojů j</w:t>
      </w:r>
      <w:r w:rsidR="00B822F0" w:rsidRPr="0092047B">
        <w:rPr>
          <w:rFonts w:cstheme="minorHAnsi"/>
        </w:rPr>
        <w:t>sou determinován</w:t>
      </w:r>
      <w:r w:rsidR="00BC4DA0" w:rsidRPr="0092047B">
        <w:rPr>
          <w:rFonts w:cstheme="minorHAnsi"/>
        </w:rPr>
        <w:t>y</w:t>
      </w:r>
      <w:r w:rsidR="00B822F0" w:rsidRPr="0092047B">
        <w:rPr>
          <w:rFonts w:cstheme="minorHAnsi"/>
        </w:rPr>
        <w:t xml:space="preserve"> tržními signály, do kterých stát může, resp. při realizaci závazných legislativních aktů EU musí zasáhnout prostřednictvím daní a poplatků</w:t>
      </w:r>
      <w:r w:rsidR="00B822F0" w:rsidRPr="0092047B">
        <w:rPr>
          <w:rStyle w:val="Znakapoznpodarou"/>
          <w:rFonts w:cstheme="minorHAnsi"/>
        </w:rPr>
        <w:footnoteReference w:id="13"/>
      </w:r>
      <w:r w:rsidR="00B822F0" w:rsidRPr="0092047B">
        <w:rPr>
          <w:rFonts w:cstheme="minorHAnsi"/>
        </w:rPr>
        <w:t xml:space="preserve">, podpor vybraných typů zdrojů a povinnou platbou za externality. </w:t>
      </w:r>
      <w:r w:rsidR="00CB1B3D" w:rsidRPr="0092047B">
        <w:rPr>
          <w:rFonts w:cstheme="minorHAnsi"/>
        </w:rPr>
        <w:t>Má tak možnost</w:t>
      </w:r>
      <w:r w:rsidR="00B822F0" w:rsidRPr="0092047B">
        <w:rPr>
          <w:rFonts w:cstheme="minorHAnsi"/>
        </w:rPr>
        <w:t xml:space="preserve"> ovlivň</w:t>
      </w:r>
      <w:r w:rsidR="00CB1B3D" w:rsidRPr="0092047B">
        <w:rPr>
          <w:rFonts w:cstheme="minorHAnsi"/>
        </w:rPr>
        <w:t>ovat</w:t>
      </w:r>
      <w:r w:rsidR="00B822F0" w:rsidRPr="0092047B">
        <w:rPr>
          <w:rFonts w:cstheme="minorHAnsi"/>
        </w:rPr>
        <w:t xml:space="preserve"> dostupnost a ceny domácích primárních zdrojů energie a relativní ceny pro konečnou spotřebu. </w:t>
      </w:r>
      <w:r w:rsidR="00CB1B3D" w:rsidRPr="0092047B">
        <w:rPr>
          <w:rFonts w:cstheme="minorHAnsi"/>
        </w:rPr>
        <w:t>Podle predikcí ENTSO-E</w:t>
      </w:r>
      <w:r w:rsidR="00B822F0" w:rsidRPr="0092047B">
        <w:rPr>
          <w:rFonts w:cstheme="minorHAnsi"/>
        </w:rPr>
        <w:t xml:space="preserve"> </w:t>
      </w:r>
      <w:r w:rsidR="00CB1B3D" w:rsidRPr="0092047B">
        <w:rPr>
          <w:rFonts w:cstheme="minorHAnsi"/>
        </w:rPr>
        <w:t xml:space="preserve"> bude v následujících desetiletích docházet ke snižující se výkonové rezervě</w:t>
      </w:r>
      <w:r w:rsidR="00B822F0" w:rsidRPr="0092047B">
        <w:rPr>
          <w:rFonts w:cstheme="minorHAnsi"/>
        </w:rPr>
        <w:t xml:space="preserve"> v okolních státech i v celé Evropě a je pravděpodobné, že hlavně stabilní zdroje dodávek energie budou v budoucnu chybět. Pro zajištění energetické bezpečnosti a soběstačnosti je proto rozumné zajistit</w:t>
      </w:r>
      <w:r w:rsidR="005B7578">
        <w:rPr>
          <w:rFonts w:cstheme="minorHAnsi"/>
        </w:rPr>
        <w:t xml:space="preserve"> určitou rezervu</w:t>
      </w:r>
      <w:r w:rsidR="00B822F0" w:rsidRPr="0092047B">
        <w:rPr>
          <w:rFonts w:cstheme="minorHAnsi"/>
        </w:rPr>
        <w:t xml:space="preserve"> produkce elektřiny a zejména dostatek výrobních kapacit a jejich vhodný mix.</w:t>
      </w:r>
    </w:p>
    <w:p w:rsidR="002E5120" w:rsidRDefault="00B822F0" w:rsidP="00184DC1">
      <w:pPr>
        <w:rPr>
          <w:rFonts w:cstheme="minorHAnsi"/>
        </w:rPr>
      </w:pPr>
      <w:r w:rsidRPr="0092047B">
        <w:rPr>
          <w:rFonts w:cstheme="minorHAnsi"/>
        </w:rPr>
        <w:t>S modernizací rozvojových, často velmi lidnatých zemí dochází k intenzivnějšímu mezinárodnímu soupeření o nerostné zdroje, palivoenergetické suroviny nevyjímaje. Na světovém trhu s nerostnými surovinami došlo v posledním desetiletí k systémovým změnám, které byly způsobeny tím, že se z mnoha někdejších producentů či vývozců surovin stávají postupně jejich spotřebitelé či dokonce dovozci. Intenzivní soupeření o co nejlepší přístup k nerostným zdrojům vede k uzavírání nových spojenectví a celosvětovému akcentu na energetickou bezpečnost. Velmi aktivní</w:t>
      </w:r>
      <w:r w:rsidR="00F4420E" w:rsidRPr="0092047B">
        <w:rPr>
          <w:rFonts w:cstheme="minorHAnsi"/>
        </w:rPr>
        <w:t xml:space="preserve"> jsou</w:t>
      </w:r>
      <w:r w:rsidRPr="0092047B">
        <w:rPr>
          <w:rFonts w:cstheme="minorHAnsi"/>
        </w:rPr>
        <w:t xml:space="preserve"> v zajištění dostatku vstupních surovin pro své ekonomiky asijské státy. EU reagovala na tyto změny přijetím dokumentu </w:t>
      </w:r>
      <w:r w:rsidRPr="0092047B">
        <w:rPr>
          <w:rFonts w:cstheme="minorHAnsi"/>
          <w:i/>
        </w:rPr>
        <w:t>Raw Materials Initiative</w:t>
      </w:r>
      <w:r w:rsidRPr="0092047B">
        <w:rPr>
          <w:rFonts w:cstheme="minorHAnsi"/>
        </w:rPr>
        <w:t>, který jako cestu k zajištění lepšího přístupu k nerostným zdrojům nabízí kombinaci tří pilířů - vyšší míry využívání domácích (evropských) surovin, uzavírání vzájemně výhodných ekonomických vztahů se surovinově vybavenými státy světa a podpor</w:t>
      </w:r>
      <w:r w:rsidR="00F4420E" w:rsidRPr="0092047B">
        <w:rPr>
          <w:rFonts w:cstheme="minorHAnsi"/>
        </w:rPr>
        <w:t>y</w:t>
      </w:r>
      <w:r w:rsidRPr="0092047B">
        <w:rPr>
          <w:rFonts w:cstheme="minorHAnsi"/>
        </w:rPr>
        <w:t xml:space="preserve"> materiálově úsporných technologií. </w:t>
      </w:r>
      <w:r w:rsidR="00B557A2" w:rsidRPr="0092047B">
        <w:rPr>
          <w:rFonts w:cstheme="minorHAnsi"/>
        </w:rPr>
        <w:t>Zároveň se EU snaží adaptovat</w:t>
      </w:r>
      <w:r w:rsidRPr="0092047B">
        <w:rPr>
          <w:rFonts w:cstheme="minorHAnsi"/>
        </w:rPr>
        <w:t xml:space="preserve"> koncepční</w:t>
      </w:r>
      <w:r w:rsidR="00B557A2" w:rsidRPr="0092047B">
        <w:rPr>
          <w:rFonts w:cstheme="minorHAnsi"/>
        </w:rPr>
        <w:t xml:space="preserve"> politiky pro</w:t>
      </w:r>
      <w:r w:rsidRPr="0092047B">
        <w:rPr>
          <w:rFonts w:cstheme="minorHAnsi"/>
        </w:rPr>
        <w:t xml:space="preserve"> recyklaci a využívání druhotných surovin.</w:t>
      </w:r>
    </w:p>
    <w:p w:rsidR="002E5120" w:rsidRDefault="002E5120">
      <w:pPr>
        <w:spacing w:after="0"/>
        <w:jc w:val="left"/>
        <w:rPr>
          <w:rFonts w:cstheme="minorHAnsi"/>
        </w:rPr>
      </w:pPr>
      <w:r>
        <w:rPr>
          <w:rFonts w:cstheme="minorHAnsi"/>
        </w:rPr>
        <w:br w:type="page"/>
      </w:r>
    </w:p>
    <w:p w:rsidR="006948F2" w:rsidRPr="0092047B" w:rsidRDefault="00DD4F29" w:rsidP="00184DC1">
      <w:pPr>
        <w:pStyle w:val="Nadpis2"/>
      </w:pPr>
      <w:bookmarkStart w:id="388" w:name="_Ref369078010"/>
      <w:bookmarkStart w:id="389" w:name="_Toc396923383"/>
      <w:bookmarkEnd w:id="2"/>
      <w:bookmarkEnd w:id="3"/>
      <w:bookmarkEnd w:id="4"/>
      <w:r w:rsidRPr="0092047B">
        <w:t>Klíčové výstupy SWOT analýzy</w:t>
      </w:r>
      <w:bookmarkEnd w:id="388"/>
      <w:bookmarkEnd w:id="389"/>
    </w:p>
    <w:tbl>
      <w:tblPr>
        <w:tblStyle w:val="Mkatabulky"/>
        <w:tblW w:w="0" w:type="auto"/>
        <w:tblLook w:val="04A0" w:firstRow="1" w:lastRow="0" w:firstColumn="1" w:lastColumn="0" w:noHBand="0" w:noVBand="1"/>
      </w:tblPr>
      <w:tblGrid>
        <w:gridCol w:w="4606"/>
        <w:gridCol w:w="4606"/>
      </w:tblGrid>
      <w:tr w:rsidR="00DD4F29" w:rsidRPr="0092047B" w:rsidTr="00DD4F29">
        <w:tc>
          <w:tcPr>
            <w:tcW w:w="4606" w:type="dxa"/>
          </w:tcPr>
          <w:p w:rsidR="00DD4F29" w:rsidRPr="0092047B" w:rsidRDefault="00224D12" w:rsidP="00184DC1">
            <w:pPr>
              <w:rPr>
                <w:rFonts w:cstheme="minorHAnsi"/>
                <w:b/>
              </w:rPr>
            </w:pPr>
            <w:r w:rsidRPr="0092047B">
              <w:rPr>
                <w:rFonts w:cstheme="minorHAnsi"/>
                <w:b/>
              </w:rPr>
              <w:t>Silné stránky</w:t>
            </w:r>
          </w:p>
        </w:tc>
        <w:tc>
          <w:tcPr>
            <w:tcW w:w="4606" w:type="dxa"/>
          </w:tcPr>
          <w:p w:rsidR="00DD4F29" w:rsidRPr="0092047B" w:rsidRDefault="00224D12" w:rsidP="00184DC1">
            <w:pPr>
              <w:rPr>
                <w:rFonts w:cstheme="minorHAnsi"/>
                <w:b/>
              </w:rPr>
            </w:pPr>
            <w:r w:rsidRPr="0092047B">
              <w:rPr>
                <w:rFonts w:cstheme="minorHAnsi"/>
                <w:b/>
              </w:rPr>
              <w:t>Slabé stránky</w:t>
            </w:r>
          </w:p>
        </w:tc>
      </w:tr>
      <w:tr w:rsidR="00DD4F29" w:rsidRPr="0092047B" w:rsidTr="00DD4F29">
        <w:tc>
          <w:tcPr>
            <w:tcW w:w="4606" w:type="dxa"/>
          </w:tcPr>
          <w:p w:rsidR="00DD4F29" w:rsidRPr="0092047B" w:rsidRDefault="00C87DBF"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Vysoká kvalita</w:t>
            </w:r>
            <w:r w:rsidR="0073101B" w:rsidRPr="0092047B">
              <w:rPr>
                <w:rFonts w:asciiTheme="minorHAnsi" w:hAnsiTheme="minorHAnsi" w:cstheme="minorHAnsi"/>
                <w:sz w:val="24"/>
                <w:szCs w:val="24"/>
              </w:rPr>
              <w:t xml:space="preserve"> a </w:t>
            </w:r>
            <w:r w:rsidRPr="0092047B">
              <w:rPr>
                <w:rFonts w:asciiTheme="minorHAnsi" w:hAnsiTheme="minorHAnsi" w:cstheme="minorHAnsi"/>
                <w:sz w:val="24"/>
                <w:szCs w:val="24"/>
              </w:rPr>
              <w:t>spolehlivost dodávek energie</w:t>
            </w:r>
            <w:r w:rsidR="00F112F4" w:rsidRPr="0092047B">
              <w:rPr>
                <w:rFonts w:asciiTheme="minorHAnsi" w:hAnsiTheme="minorHAnsi" w:cstheme="minorHAnsi"/>
                <w:sz w:val="24"/>
                <w:szCs w:val="24"/>
              </w:rPr>
              <w:t>.</w:t>
            </w:r>
          </w:p>
          <w:p w:rsidR="00100B1B" w:rsidRPr="0092047B" w:rsidRDefault="00DF6370"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Zahájení transformace výrobní základny v elektroenergetice za účelem zachování její stability a dostatečné kapacity.</w:t>
            </w:r>
          </w:p>
          <w:p w:rsidR="003631A5" w:rsidRPr="0092047B" w:rsidRDefault="003631A5"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Veřejná akceptace jaderné energetiky</w:t>
            </w:r>
            <w:r w:rsidR="00F112F4" w:rsidRPr="0092047B">
              <w:rPr>
                <w:rFonts w:asciiTheme="minorHAnsi" w:hAnsiTheme="minorHAnsi" w:cstheme="minorHAnsi"/>
                <w:sz w:val="24"/>
                <w:szCs w:val="24"/>
              </w:rPr>
              <w:t>.</w:t>
            </w:r>
          </w:p>
          <w:p w:rsidR="003631A5" w:rsidRPr="0092047B" w:rsidRDefault="003631A5"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 xml:space="preserve">Rozvinuté soustavy </w:t>
            </w:r>
            <w:r w:rsidR="005667D0" w:rsidRPr="0092047B">
              <w:rPr>
                <w:rFonts w:asciiTheme="minorHAnsi" w:hAnsiTheme="minorHAnsi" w:cstheme="minorHAnsi"/>
                <w:sz w:val="24"/>
                <w:szCs w:val="24"/>
              </w:rPr>
              <w:t xml:space="preserve">zásobování </w:t>
            </w:r>
            <w:r w:rsidR="008C2223" w:rsidRPr="0092047B">
              <w:rPr>
                <w:rFonts w:asciiTheme="minorHAnsi" w:hAnsiTheme="minorHAnsi" w:cstheme="minorHAnsi"/>
                <w:sz w:val="24"/>
                <w:szCs w:val="24"/>
              </w:rPr>
              <w:t>tepelnou</w:t>
            </w:r>
            <w:r w:rsidR="005667D0" w:rsidRPr="0092047B">
              <w:rPr>
                <w:rFonts w:asciiTheme="minorHAnsi" w:hAnsiTheme="minorHAnsi" w:cstheme="minorHAnsi"/>
                <w:sz w:val="24"/>
                <w:szCs w:val="24"/>
              </w:rPr>
              <w:t xml:space="preserve"> energií</w:t>
            </w:r>
            <w:r w:rsidR="00F112F4" w:rsidRPr="0092047B">
              <w:rPr>
                <w:rFonts w:asciiTheme="minorHAnsi" w:hAnsiTheme="minorHAnsi" w:cstheme="minorHAnsi"/>
                <w:sz w:val="24"/>
                <w:szCs w:val="24"/>
              </w:rPr>
              <w:t>.</w:t>
            </w:r>
          </w:p>
          <w:p w:rsidR="003631A5" w:rsidRPr="0092047B" w:rsidRDefault="003631A5"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Relativně příznivý ukazatel dovozní energetické závislosti</w:t>
            </w:r>
            <w:r w:rsidR="00F112F4" w:rsidRPr="0092047B">
              <w:rPr>
                <w:rFonts w:asciiTheme="minorHAnsi" w:hAnsiTheme="minorHAnsi" w:cstheme="minorHAnsi"/>
                <w:sz w:val="24"/>
                <w:szCs w:val="24"/>
              </w:rPr>
              <w:t>.</w:t>
            </w:r>
          </w:p>
          <w:p w:rsidR="00C93EFF" w:rsidRDefault="00CE1F79"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Plná soběstačnost ve výrobě elektřiny a tepla</w:t>
            </w:r>
            <w:r w:rsidR="00F112F4" w:rsidRPr="0092047B">
              <w:rPr>
                <w:rFonts w:asciiTheme="minorHAnsi" w:hAnsiTheme="minorHAnsi" w:cstheme="minorHAnsi"/>
                <w:sz w:val="24"/>
                <w:szCs w:val="24"/>
              </w:rPr>
              <w:t>.</w:t>
            </w:r>
          </w:p>
          <w:p w:rsidR="00184DC1" w:rsidRPr="00184DC1" w:rsidRDefault="00184DC1"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Know-how při budování složitých technologických celků.</w:t>
            </w:r>
          </w:p>
        </w:tc>
        <w:tc>
          <w:tcPr>
            <w:tcW w:w="4606" w:type="dxa"/>
          </w:tcPr>
          <w:p w:rsidR="00DD4F29" w:rsidRPr="0092047B" w:rsidRDefault="00C87DBF"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Tržní deformace a pokřivené investiční signály</w:t>
            </w:r>
            <w:r w:rsidR="00F112F4" w:rsidRPr="0092047B">
              <w:rPr>
                <w:rFonts w:asciiTheme="minorHAnsi" w:hAnsiTheme="minorHAnsi" w:cstheme="minorHAnsi"/>
                <w:sz w:val="24"/>
                <w:szCs w:val="24"/>
              </w:rPr>
              <w:t>.</w:t>
            </w:r>
          </w:p>
          <w:p w:rsidR="003631A5" w:rsidRPr="0092047B" w:rsidRDefault="003631A5"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Stárnoucí zdrojová základna i síťová infrastruktura</w:t>
            </w:r>
            <w:r w:rsidR="00F112F4" w:rsidRPr="0092047B">
              <w:rPr>
                <w:rFonts w:asciiTheme="minorHAnsi" w:hAnsiTheme="minorHAnsi" w:cstheme="minorHAnsi"/>
                <w:sz w:val="24"/>
                <w:szCs w:val="24"/>
              </w:rPr>
              <w:t>.</w:t>
            </w:r>
          </w:p>
          <w:p w:rsidR="003C4D1C" w:rsidRPr="0092047B" w:rsidRDefault="003C4D1C"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Stárnoucí vysoce vzdělané lidské zdroje.</w:t>
            </w:r>
          </w:p>
          <w:p w:rsidR="003631A5" w:rsidRPr="0092047B" w:rsidRDefault="003631A5"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Omezený potenciál pro vyšší rozšíření obnovitelných zdrojů</w:t>
            </w:r>
            <w:r w:rsidR="00F112F4" w:rsidRPr="0092047B">
              <w:rPr>
                <w:rFonts w:asciiTheme="minorHAnsi" w:hAnsiTheme="minorHAnsi" w:cstheme="minorHAnsi"/>
                <w:sz w:val="24"/>
                <w:szCs w:val="24"/>
              </w:rPr>
              <w:t>.</w:t>
            </w:r>
          </w:p>
          <w:p w:rsidR="003631A5" w:rsidRPr="0092047B" w:rsidRDefault="003C4D1C"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Vysoký podíl lokálních zdrojů využívajících nekvalitní paliva s vysokou emisí znečišťujících látek do ovzduší, zejména v imisně zatížených oblastech</w:t>
            </w:r>
            <w:r w:rsidR="001F691F" w:rsidRPr="0092047B">
              <w:rPr>
                <w:rFonts w:asciiTheme="minorHAnsi" w:hAnsiTheme="minorHAnsi" w:cstheme="minorHAnsi"/>
                <w:sz w:val="24"/>
                <w:szCs w:val="24"/>
              </w:rPr>
              <w:t>.</w:t>
            </w:r>
          </w:p>
          <w:p w:rsidR="00C93EFF" w:rsidRDefault="00551EB3"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Vysoký podíl skládkování ko</w:t>
            </w:r>
            <w:r w:rsidR="00C93EFF" w:rsidRPr="0092047B">
              <w:rPr>
                <w:rFonts w:asciiTheme="minorHAnsi" w:hAnsiTheme="minorHAnsi" w:cstheme="minorHAnsi"/>
                <w:sz w:val="24"/>
                <w:szCs w:val="24"/>
              </w:rPr>
              <w:t>munálního odpadu</w:t>
            </w:r>
            <w:r w:rsidR="00F112F4" w:rsidRPr="0092047B">
              <w:rPr>
                <w:rFonts w:asciiTheme="minorHAnsi" w:hAnsiTheme="minorHAnsi" w:cstheme="minorHAnsi"/>
                <w:sz w:val="24"/>
                <w:szCs w:val="24"/>
              </w:rPr>
              <w:t>.</w:t>
            </w:r>
          </w:p>
          <w:p w:rsidR="005D47A4" w:rsidRDefault="005D47A4" w:rsidP="00184DC1">
            <w:pPr>
              <w:pStyle w:val="Odstavecseseznamem"/>
              <w:numPr>
                <w:ilvl w:val="0"/>
                <w:numId w:val="75"/>
              </w:numPr>
              <w:spacing w:after="0" w:line="240" w:lineRule="auto"/>
              <w:ind w:left="142" w:hanging="142"/>
              <w:rPr>
                <w:rFonts w:asciiTheme="minorHAnsi" w:hAnsiTheme="minorHAnsi" w:cstheme="minorHAnsi"/>
                <w:sz w:val="24"/>
                <w:szCs w:val="24"/>
              </w:rPr>
            </w:pPr>
            <w:r>
              <w:rPr>
                <w:rFonts w:asciiTheme="minorHAnsi" w:hAnsiTheme="minorHAnsi" w:cstheme="minorHAnsi"/>
                <w:sz w:val="24"/>
                <w:szCs w:val="24"/>
              </w:rPr>
              <w:t>Vnímání samozřejmosti vysokého standardu kvality a spolehlivosti.</w:t>
            </w:r>
          </w:p>
          <w:p w:rsidR="008A41E7" w:rsidRPr="0092047B" w:rsidRDefault="008A41E7" w:rsidP="00184DC1">
            <w:pPr>
              <w:pStyle w:val="Odstavecseseznamem"/>
              <w:numPr>
                <w:ilvl w:val="0"/>
                <w:numId w:val="75"/>
              </w:numPr>
              <w:spacing w:after="0" w:line="240" w:lineRule="auto"/>
              <w:ind w:left="142" w:hanging="142"/>
              <w:rPr>
                <w:rFonts w:asciiTheme="minorHAnsi" w:hAnsiTheme="minorHAnsi" w:cstheme="minorHAnsi"/>
                <w:sz w:val="24"/>
                <w:szCs w:val="24"/>
              </w:rPr>
            </w:pPr>
            <w:r>
              <w:rPr>
                <w:rFonts w:asciiTheme="minorHAnsi" w:hAnsiTheme="minorHAnsi" w:cstheme="minorHAnsi"/>
                <w:sz w:val="24"/>
                <w:szCs w:val="24"/>
              </w:rPr>
              <w:t>Vynucené plnění případných závazných cílů klimaticko-energetické politiky EU v rozporu s principem technologické neutrality při naplňování dekarbonizačních závazků, které by vyvolalo nepřiměřené finanční náklady na státní rozpočet a hospodářství ČR.</w:t>
            </w:r>
          </w:p>
        </w:tc>
      </w:tr>
    </w:tbl>
    <w:p w:rsidR="002E5120" w:rsidRDefault="002E5120" w:rsidP="00184DC1">
      <w:pPr>
        <w:spacing w:after="0"/>
        <w:jc w:val="left"/>
        <w:rPr>
          <w:rFonts w:cstheme="minorHAnsi"/>
        </w:rPr>
      </w:pPr>
    </w:p>
    <w:p w:rsidR="002E5120" w:rsidRDefault="002E5120">
      <w:pPr>
        <w:spacing w:after="0"/>
        <w:jc w:val="left"/>
        <w:rPr>
          <w:rFonts w:cstheme="minorHAnsi"/>
        </w:rPr>
      </w:pPr>
      <w:r>
        <w:rPr>
          <w:rFonts w:cstheme="minorHAnsi"/>
        </w:rPr>
        <w:br w:type="page"/>
      </w:r>
    </w:p>
    <w:p w:rsidR="00BB0ECC" w:rsidRDefault="00BB0ECC" w:rsidP="00184DC1">
      <w:pPr>
        <w:spacing w:after="0"/>
        <w:jc w:val="left"/>
        <w:rPr>
          <w:rFonts w:cstheme="minorHAnsi"/>
        </w:rPr>
      </w:pPr>
    </w:p>
    <w:tbl>
      <w:tblPr>
        <w:tblStyle w:val="Mkatabulky"/>
        <w:tblW w:w="0" w:type="auto"/>
        <w:tblLook w:val="04A0" w:firstRow="1" w:lastRow="0" w:firstColumn="1" w:lastColumn="0" w:noHBand="0" w:noVBand="1"/>
      </w:tblPr>
      <w:tblGrid>
        <w:gridCol w:w="4606"/>
        <w:gridCol w:w="4606"/>
      </w:tblGrid>
      <w:tr w:rsidR="00D2744D" w:rsidRPr="0092047B" w:rsidTr="00D2744D">
        <w:tc>
          <w:tcPr>
            <w:tcW w:w="4606" w:type="dxa"/>
          </w:tcPr>
          <w:p w:rsidR="00D2744D" w:rsidRPr="0092047B" w:rsidRDefault="00D2744D" w:rsidP="00184DC1">
            <w:pPr>
              <w:pStyle w:val="Normlnweb"/>
              <w:spacing w:before="0" w:beforeAutospacing="0" w:after="0" w:afterAutospacing="0"/>
              <w:rPr>
                <w:rFonts w:asciiTheme="minorHAnsi" w:hAnsiTheme="minorHAnsi" w:cstheme="minorHAnsi"/>
              </w:rPr>
            </w:pPr>
            <w:r w:rsidRPr="0092047B">
              <w:rPr>
                <w:rFonts w:asciiTheme="minorHAnsi" w:hAnsiTheme="minorHAnsi" w:cstheme="minorHAnsi"/>
                <w:b/>
              </w:rPr>
              <w:t>Příležitosti</w:t>
            </w:r>
          </w:p>
        </w:tc>
        <w:tc>
          <w:tcPr>
            <w:tcW w:w="4606" w:type="dxa"/>
          </w:tcPr>
          <w:p w:rsidR="00D2744D" w:rsidRPr="0092047B" w:rsidRDefault="00D2744D" w:rsidP="00184DC1">
            <w:pPr>
              <w:pStyle w:val="Normlnweb"/>
              <w:spacing w:before="0" w:beforeAutospacing="0" w:after="0" w:afterAutospacing="0"/>
              <w:rPr>
                <w:rFonts w:asciiTheme="minorHAnsi" w:hAnsiTheme="minorHAnsi" w:cstheme="minorHAnsi"/>
              </w:rPr>
            </w:pPr>
            <w:r w:rsidRPr="0092047B">
              <w:rPr>
                <w:rFonts w:asciiTheme="minorHAnsi" w:hAnsiTheme="minorHAnsi" w:cstheme="minorHAnsi"/>
                <w:b/>
              </w:rPr>
              <w:t>Ohrožení</w:t>
            </w:r>
          </w:p>
        </w:tc>
      </w:tr>
      <w:tr w:rsidR="00D2744D" w:rsidRPr="0092047B" w:rsidTr="00D2744D">
        <w:tc>
          <w:tcPr>
            <w:tcW w:w="4606" w:type="dxa"/>
          </w:tcPr>
          <w:p w:rsidR="00D2744D" w:rsidRPr="0092047B"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Tranzitní role síťových odvětví pro energetické komodity v regionu střední a východní Evropy.</w:t>
            </w:r>
          </w:p>
          <w:p w:rsidR="00D2744D" w:rsidRPr="0092047B"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Koncepční recyklace a využívání druhotných surovin, včetně energetického využití odpadů.</w:t>
            </w:r>
          </w:p>
          <w:p w:rsidR="00D2744D" w:rsidRPr="0092047B"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Využívání alternativních paliv (elektřina, CNG, atd.) v městské</w:t>
            </w:r>
            <w:r w:rsidR="00E745E3">
              <w:rPr>
                <w:rFonts w:asciiTheme="minorHAnsi" w:hAnsiTheme="minorHAnsi" w:cstheme="minorHAnsi"/>
                <w:sz w:val="24"/>
                <w:szCs w:val="24"/>
              </w:rPr>
              <w:t>,</w:t>
            </w:r>
            <w:r w:rsidRPr="0092047B">
              <w:rPr>
                <w:rFonts w:asciiTheme="minorHAnsi" w:hAnsiTheme="minorHAnsi" w:cstheme="minorHAnsi"/>
                <w:sz w:val="24"/>
                <w:szCs w:val="24"/>
              </w:rPr>
              <w:t xml:space="preserve"> příměstské </w:t>
            </w:r>
            <w:r w:rsidR="00E745E3">
              <w:rPr>
                <w:rFonts w:asciiTheme="minorHAnsi" w:hAnsiTheme="minorHAnsi" w:cstheme="minorHAnsi"/>
                <w:sz w:val="24"/>
                <w:szCs w:val="24"/>
              </w:rPr>
              <w:t>a</w:t>
            </w:r>
            <w:r w:rsidR="00E745E3" w:rsidRPr="0092047B">
              <w:rPr>
                <w:rFonts w:asciiTheme="minorHAnsi" w:hAnsiTheme="minorHAnsi" w:cstheme="minorHAnsi"/>
                <w:sz w:val="24"/>
                <w:szCs w:val="24"/>
              </w:rPr>
              <w:t xml:space="preserve"> </w:t>
            </w:r>
            <w:r w:rsidRPr="0092047B">
              <w:rPr>
                <w:rFonts w:asciiTheme="minorHAnsi" w:hAnsiTheme="minorHAnsi" w:cstheme="minorHAnsi"/>
                <w:sz w:val="24"/>
                <w:szCs w:val="24"/>
              </w:rPr>
              <w:t>kolejové dopravě.</w:t>
            </w:r>
          </w:p>
          <w:p w:rsidR="004047CD"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Snižování energetické náročnosti budov</w:t>
            </w:r>
            <w:r w:rsidR="00D12817">
              <w:rPr>
                <w:rFonts w:asciiTheme="minorHAnsi" w:hAnsiTheme="minorHAnsi" w:cstheme="minorHAnsi"/>
                <w:sz w:val="24"/>
                <w:szCs w:val="24"/>
              </w:rPr>
              <w:t xml:space="preserve"> a zvyšování energetické účinnosti technologických procesů v průmyslu</w:t>
            </w:r>
            <w:r w:rsidRPr="0092047B">
              <w:rPr>
                <w:rFonts w:asciiTheme="minorHAnsi" w:hAnsiTheme="minorHAnsi" w:cstheme="minorHAnsi"/>
                <w:sz w:val="24"/>
                <w:szCs w:val="24"/>
              </w:rPr>
              <w:t>.</w:t>
            </w:r>
          </w:p>
          <w:p w:rsidR="00D12817" w:rsidRPr="0092047B" w:rsidRDefault="00D12817"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Zapojení české výzkumné a akademické obce do mezinárodních energetických výzkumných programů.</w:t>
            </w:r>
          </w:p>
          <w:p w:rsidR="00D12817" w:rsidRDefault="00D12817"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Rozšíření technického školství a možnosti uplatnění absolventů v oblasti energetiky, ve vědě a výzkumu.</w:t>
            </w:r>
          </w:p>
          <w:p w:rsidR="00D12817" w:rsidRPr="0092047B" w:rsidRDefault="00D12817"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Rozvoj inteligentních sítí.</w:t>
            </w:r>
          </w:p>
          <w:p w:rsidR="00D12817" w:rsidRDefault="00D12817"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Restrukturalizace zdrojové základny směrem k moderním vysokoúčinným technologiím a palivům.</w:t>
            </w:r>
          </w:p>
          <w:p w:rsidR="00891F8B" w:rsidRPr="00D12817" w:rsidRDefault="00891F8B" w:rsidP="00184DC1">
            <w:pPr>
              <w:pStyle w:val="Odstavecseseznamem"/>
              <w:numPr>
                <w:ilvl w:val="0"/>
                <w:numId w:val="75"/>
              </w:numPr>
              <w:spacing w:after="0" w:line="240" w:lineRule="auto"/>
              <w:ind w:left="142" w:hanging="142"/>
              <w:rPr>
                <w:rFonts w:asciiTheme="minorHAnsi" w:hAnsiTheme="minorHAnsi" w:cstheme="minorHAnsi"/>
                <w:sz w:val="24"/>
                <w:szCs w:val="24"/>
              </w:rPr>
            </w:pPr>
            <w:r>
              <w:rPr>
                <w:rFonts w:asciiTheme="minorHAnsi" w:hAnsiTheme="minorHAnsi" w:cstheme="minorHAnsi"/>
                <w:sz w:val="24"/>
                <w:szCs w:val="24"/>
              </w:rPr>
              <w:t>Rozvoj nekonvenčních způsobů těžby uhlovodíků ve světě i EU (např. v Polsku).</w:t>
            </w:r>
          </w:p>
        </w:tc>
        <w:tc>
          <w:tcPr>
            <w:tcW w:w="4606" w:type="dxa"/>
          </w:tcPr>
          <w:p w:rsidR="00D2744D" w:rsidRDefault="00FB6BA6" w:rsidP="00184DC1">
            <w:pPr>
              <w:pStyle w:val="Odstavecseseznamem"/>
              <w:numPr>
                <w:ilvl w:val="0"/>
                <w:numId w:val="75"/>
              </w:numPr>
              <w:spacing w:after="0" w:line="240" w:lineRule="auto"/>
              <w:ind w:left="142" w:hanging="142"/>
              <w:rPr>
                <w:rFonts w:asciiTheme="minorHAnsi" w:hAnsiTheme="minorHAnsi" w:cstheme="minorHAnsi"/>
                <w:sz w:val="24"/>
                <w:szCs w:val="24"/>
              </w:rPr>
            </w:pPr>
            <w:r>
              <w:rPr>
                <w:rFonts w:asciiTheme="minorHAnsi" w:hAnsiTheme="minorHAnsi" w:cstheme="minorHAnsi"/>
                <w:sz w:val="24"/>
                <w:szCs w:val="24"/>
              </w:rPr>
              <w:t>Nestabilita právního rámce</w:t>
            </w:r>
            <w:r w:rsidR="00D2744D" w:rsidRPr="0092047B">
              <w:rPr>
                <w:rFonts w:asciiTheme="minorHAnsi" w:hAnsiTheme="minorHAnsi" w:cstheme="minorHAnsi"/>
                <w:sz w:val="24"/>
                <w:szCs w:val="24"/>
              </w:rPr>
              <w:t>.</w:t>
            </w:r>
          </w:p>
          <w:p w:rsidR="004047CD" w:rsidRPr="0092047B" w:rsidRDefault="004047CD" w:rsidP="00184DC1">
            <w:pPr>
              <w:pStyle w:val="Odstavecseseznamem"/>
              <w:numPr>
                <w:ilvl w:val="0"/>
                <w:numId w:val="75"/>
              </w:numPr>
              <w:spacing w:after="0" w:line="240" w:lineRule="auto"/>
              <w:ind w:left="142" w:hanging="142"/>
              <w:rPr>
                <w:rFonts w:asciiTheme="minorHAnsi" w:hAnsiTheme="minorHAnsi" w:cstheme="minorHAnsi"/>
                <w:sz w:val="24"/>
                <w:szCs w:val="24"/>
              </w:rPr>
            </w:pPr>
            <w:r>
              <w:rPr>
                <w:rFonts w:asciiTheme="minorHAnsi" w:hAnsiTheme="minorHAnsi" w:cstheme="minorHAnsi"/>
                <w:sz w:val="24"/>
                <w:szCs w:val="24"/>
              </w:rPr>
              <w:t>Jednostranné a nekoordinované zavádění kapacitních mechanismů v rámci EU, a především v okolních zemích ČR.</w:t>
            </w:r>
          </w:p>
          <w:p w:rsidR="00D2744D" w:rsidRPr="0092047B"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Omezené disponibilní zásoby hnědého uhlí a související zajištění dodávek tepla obyvatelstvu.</w:t>
            </w:r>
          </w:p>
          <w:p w:rsidR="00D2744D" w:rsidRPr="0092047B"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Časově náročný postup v budování moderních vysokoúčinných kapacit zdrojů jako náhrada za stávající zdroje.</w:t>
            </w:r>
          </w:p>
          <w:p w:rsidR="004047CD" w:rsidRDefault="00D2744D"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Bezpečné a spolehlivé zásobování energií v</w:t>
            </w:r>
            <w:r w:rsidR="0010182F">
              <w:rPr>
                <w:rFonts w:asciiTheme="minorHAnsi" w:hAnsiTheme="minorHAnsi" w:cstheme="minorHAnsi"/>
                <w:sz w:val="24"/>
                <w:szCs w:val="24"/>
              </w:rPr>
              <w:t xml:space="preserve"> </w:t>
            </w:r>
            <w:r w:rsidRPr="0092047B">
              <w:rPr>
                <w:rFonts w:asciiTheme="minorHAnsi" w:hAnsiTheme="minorHAnsi" w:cstheme="minorHAnsi"/>
                <w:sz w:val="24"/>
                <w:szCs w:val="24"/>
              </w:rPr>
              <w:t>po</w:t>
            </w:r>
            <w:r w:rsidR="0010182F">
              <w:rPr>
                <w:rFonts w:asciiTheme="minorHAnsi" w:hAnsiTheme="minorHAnsi" w:cstheme="minorHAnsi"/>
                <w:sz w:val="24"/>
                <w:szCs w:val="24"/>
              </w:rPr>
              <w:t xml:space="preserve">stupné organizačně i ekonomicky </w:t>
            </w:r>
            <w:r w:rsidRPr="0092047B">
              <w:rPr>
                <w:rFonts w:asciiTheme="minorHAnsi" w:hAnsiTheme="minorHAnsi" w:cstheme="minorHAnsi"/>
                <w:sz w:val="24"/>
                <w:szCs w:val="24"/>
              </w:rPr>
              <w:t>náročné realizaci režimu ostrovních provozů</w:t>
            </w:r>
            <w:r w:rsidR="005D47A4">
              <w:rPr>
                <w:rFonts w:asciiTheme="minorHAnsi" w:hAnsiTheme="minorHAnsi" w:cstheme="minorHAnsi"/>
                <w:sz w:val="24"/>
                <w:szCs w:val="24"/>
              </w:rPr>
              <w:t xml:space="preserve"> pro řešení nouzových stavů</w:t>
            </w:r>
            <w:r w:rsidRPr="0092047B">
              <w:rPr>
                <w:rFonts w:asciiTheme="minorHAnsi" w:hAnsiTheme="minorHAnsi" w:cstheme="minorHAnsi"/>
                <w:sz w:val="24"/>
                <w:szCs w:val="24"/>
              </w:rPr>
              <w:t>.</w:t>
            </w:r>
          </w:p>
          <w:p w:rsidR="00D12817" w:rsidRPr="0092047B" w:rsidRDefault="00D12817" w:rsidP="00184DC1">
            <w:pPr>
              <w:pStyle w:val="Odstavecseseznamem"/>
              <w:numPr>
                <w:ilvl w:val="0"/>
                <w:numId w:val="75"/>
              </w:numPr>
              <w:spacing w:after="0" w:line="240" w:lineRule="auto"/>
              <w:ind w:left="142" w:hanging="142"/>
              <w:rPr>
                <w:rFonts w:asciiTheme="minorHAnsi" w:hAnsiTheme="minorHAnsi" w:cstheme="minorHAnsi"/>
              </w:rPr>
            </w:pPr>
            <w:r w:rsidRPr="0092047B">
              <w:rPr>
                <w:rFonts w:asciiTheme="minorHAnsi" w:hAnsiTheme="minorHAnsi" w:cstheme="minorHAnsi"/>
                <w:sz w:val="24"/>
                <w:szCs w:val="24"/>
              </w:rPr>
              <w:t xml:space="preserve">Zhoršení provozní spolehlivosti elektrizační soustavy </w:t>
            </w:r>
            <w:r w:rsidR="00891F8B">
              <w:rPr>
                <w:rFonts w:asciiTheme="minorHAnsi" w:hAnsiTheme="minorHAnsi" w:cstheme="minorHAnsi"/>
                <w:sz w:val="24"/>
                <w:szCs w:val="24"/>
              </w:rPr>
              <w:t>vlivem</w:t>
            </w:r>
            <w:r w:rsidRPr="0092047B">
              <w:rPr>
                <w:rFonts w:asciiTheme="minorHAnsi" w:hAnsiTheme="minorHAnsi" w:cstheme="minorHAnsi"/>
                <w:sz w:val="24"/>
                <w:szCs w:val="24"/>
              </w:rPr>
              <w:t xml:space="preserve"> masivního rozvoje intermitentních OZE bez zavedení dodatečných opatření.</w:t>
            </w:r>
            <w:r w:rsidRPr="0092047B">
              <w:rPr>
                <w:rFonts w:asciiTheme="minorHAnsi" w:hAnsiTheme="minorHAnsi" w:cstheme="minorHAnsi"/>
              </w:rPr>
              <w:t xml:space="preserve"> </w:t>
            </w:r>
          </w:p>
          <w:p w:rsidR="00D12817" w:rsidRDefault="00D12817" w:rsidP="00184DC1">
            <w:pPr>
              <w:pStyle w:val="Odstavecseseznamem"/>
              <w:numPr>
                <w:ilvl w:val="0"/>
                <w:numId w:val="75"/>
              </w:numPr>
              <w:spacing w:after="0" w:line="240" w:lineRule="auto"/>
              <w:ind w:left="142" w:hanging="142"/>
              <w:rPr>
                <w:rFonts w:asciiTheme="minorHAnsi" w:hAnsiTheme="minorHAnsi" w:cstheme="minorHAnsi"/>
                <w:sz w:val="24"/>
                <w:szCs w:val="24"/>
              </w:rPr>
            </w:pPr>
            <w:r w:rsidRPr="0092047B">
              <w:rPr>
                <w:rFonts w:asciiTheme="minorHAnsi" w:hAnsiTheme="minorHAnsi" w:cstheme="minorHAnsi"/>
                <w:sz w:val="24"/>
                <w:szCs w:val="24"/>
              </w:rPr>
              <w:t>Riziko neplnění parametrů přiměřenosti</w:t>
            </w:r>
            <w:r w:rsidR="002C1D30">
              <w:rPr>
                <w:rFonts w:asciiTheme="minorHAnsi" w:hAnsiTheme="minorHAnsi" w:cstheme="minorHAnsi"/>
                <w:sz w:val="24"/>
                <w:szCs w:val="24"/>
              </w:rPr>
              <w:t xml:space="preserve"> výrobních kapacit</w:t>
            </w:r>
            <w:r w:rsidR="002D6612">
              <w:rPr>
                <w:rFonts w:asciiTheme="minorHAnsi" w:hAnsiTheme="minorHAnsi" w:cstheme="minorHAnsi"/>
                <w:sz w:val="24"/>
                <w:szCs w:val="24"/>
              </w:rPr>
              <w:t xml:space="preserve"> (Generation A</w:t>
            </w:r>
            <w:r w:rsidRPr="0092047B">
              <w:rPr>
                <w:rFonts w:asciiTheme="minorHAnsi" w:hAnsiTheme="minorHAnsi" w:cstheme="minorHAnsi"/>
                <w:sz w:val="24"/>
                <w:szCs w:val="24"/>
              </w:rPr>
              <w:t>dequacy) v důsledku</w:t>
            </w:r>
            <w:r w:rsidR="0010182F">
              <w:rPr>
                <w:rFonts w:asciiTheme="minorHAnsi" w:hAnsiTheme="minorHAnsi" w:cstheme="minorHAnsi"/>
                <w:sz w:val="24"/>
                <w:szCs w:val="24"/>
              </w:rPr>
              <w:t xml:space="preserve"> odstavování stárnoucích, vysoce </w:t>
            </w:r>
            <w:r w:rsidRPr="0092047B">
              <w:rPr>
                <w:rFonts w:asciiTheme="minorHAnsi" w:hAnsiTheme="minorHAnsi" w:cstheme="minorHAnsi"/>
                <w:sz w:val="24"/>
                <w:szCs w:val="24"/>
              </w:rPr>
              <w:t>emisních zdrojů a zdrojů bez zajištěných dodávek uhlí.</w:t>
            </w:r>
          </w:p>
          <w:p w:rsidR="00891F8B" w:rsidRPr="00D12817" w:rsidRDefault="00891F8B" w:rsidP="00184DC1">
            <w:pPr>
              <w:pStyle w:val="Odstavecseseznamem"/>
              <w:numPr>
                <w:ilvl w:val="0"/>
                <w:numId w:val="75"/>
              </w:numPr>
              <w:spacing w:after="0" w:line="240" w:lineRule="auto"/>
              <w:ind w:left="142" w:hanging="142"/>
              <w:rPr>
                <w:rFonts w:asciiTheme="minorHAnsi" w:hAnsiTheme="minorHAnsi" w:cstheme="minorHAnsi"/>
                <w:sz w:val="24"/>
                <w:szCs w:val="24"/>
              </w:rPr>
            </w:pPr>
            <w:r>
              <w:rPr>
                <w:rFonts w:asciiTheme="minorHAnsi" w:hAnsiTheme="minorHAnsi" w:cstheme="minorHAnsi"/>
                <w:sz w:val="24"/>
                <w:szCs w:val="24"/>
              </w:rPr>
              <w:t>Pokračující dynamický rozvoj intermitentních OZE v Evropě nekoordinovaný s příslušným rozvojem síťové infrastruktury.</w:t>
            </w:r>
          </w:p>
        </w:tc>
      </w:tr>
    </w:tbl>
    <w:p w:rsidR="002C48C1" w:rsidRDefault="0020567D" w:rsidP="00184DC1">
      <w:pPr>
        <w:spacing w:before="240"/>
      </w:pPr>
      <w:bookmarkStart w:id="390" w:name="_Toc333818869"/>
      <w:bookmarkStart w:id="391" w:name="_Toc361039049"/>
      <w:r>
        <w:t xml:space="preserve">Možnost využívání jednotlivých druhů energetických zdrojů je v ČR omezena přírodním potenciálem i ekonomickými danostmi země, které přirozeně určují jejich </w:t>
      </w:r>
      <w:r w:rsidR="00891F8B">
        <w:t>komparativní výhody a nevýhody.</w:t>
      </w:r>
    </w:p>
    <w:p w:rsidR="002C48C1" w:rsidRDefault="002C48C1" w:rsidP="00184DC1">
      <w:r>
        <w:t xml:space="preserve">Česká republika má přirozeně omezený potenciál pro rozvoj a využívání obnovitelných zdrojů, jak znázorňuje následující </w:t>
      </w:r>
      <w:r w:rsidR="00DE379A" w:rsidRPr="00DE379A">
        <w:fldChar w:fldCharType="begin"/>
      </w:r>
      <w:r w:rsidR="00DE379A" w:rsidRPr="00DE379A">
        <w:instrText xml:space="preserve"> REF _Ref395018294 \h  \* MERGEFORMAT </w:instrText>
      </w:r>
      <w:r w:rsidR="00DE379A" w:rsidRPr="00DE379A">
        <w:fldChar w:fldCharType="separate"/>
      </w:r>
      <w:r w:rsidR="0096423F" w:rsidRPr="0096423F">
        <w:t>Graf č. 1</w:t>
      </w:r>
      <w:r w:rsidR="00DE379A" w:rsidRPr="00DE379A">
        <w:fldChar w:fldCharType="end"/>
      </w:r>
      <w:r w:rsidR="00DE379A">
        <w:t>.</w:t>
      </w:r>
    </w:p>
    <w:p w:rsidR="00DE379A" w:rsidRDefault="00DE379A" w:rsidP="00184DC1">
      <w:pPr>
        <w:pStyle w:val="Titulek"/>
        <w:keepNext/>
        <w:spacing w:before="240" w:after="120"/>
      </w:pPr>
      <w:bookmarkStart w:id="392" w:name="_Ref395018294"/>
      <w:bookmarkStart w:id="393" w:name="_Toc396923117"/>
      <w:r w:rsidRPr="00DE379A">
        <w:rPr>
          <w:b/>
        </w:rPr>
        <w:t xml:space="preserve">Graf č. </w:t>
      </w:r>
      <w:r w:rsidRPr="00DE379A">
        <w:rPr>
          <w:b/>
        </w:rPr>
        <w:fldChar w:fldCharType="begin"/>
      </w:r>
      <w:r w:rsidRPr="00DE379A">
        <w:rPr>
          <w:b/>
        </w:rPr>
        <w:instrText xml:space="preserve"> SEQ Graf_č. \* ARABIC </w:instrText>
      </w:r>
      <w:r w:rsidRPr="00DE379A">
        <w:rPr>
          <w:b/>
        </w:rPr>
        <w:fldChar w:fldCharType="separate"/>
      </w:r>
      <w:r w:rsidR="0096423F">
        <w:rPr>
          <w:b/>
          <w:noProof/>
        </w:rPr>
        <w:t>1</w:t>
      </w:r>
      <w:r w:rsidRPr="00DE379A">
        <w:rPr>
          <w:b/>
        </w:rPr>
        <w:fldChar w:fldCharType="end"/>
      </w:r>
      <w:bookmarkEnd w:id="392"/>
      <w:r w:rsidRPr="00DE379A">
        <w:rPr>
          <w:b/>
        </w:rPr>
        <w:t xml:space="preserve">: </w:t>
      </w:r>
      <w:r w:rsidRPr="0001751A">
        <w:t>Potenciál konečné spotřeby OZE</w:t>
      </w:r>
      <w:bookmarkEnd w:id="393"/>
    </w:p>
    <w:p w:rsidR="00D20FE9" w:rsidRDefault="00D20FE9" w:rsidP="00184DC1">
      <w:pPr>
        <w:spacing w:before="120"/>
      </w:pPr>
      <w:r>
        <w:rPr>
          <w:noProof/>
        </w:rPr>
        <w:drawing>
          <wp:inline distT="0" distB="0" distL="0" distR="0" wp14:anchorId="2E32286A" wp14:editId="55453476">
            <wp:extent cx="5760000" cy="3780000"/>
            <wp:effectExtent l="0" t="0" r="12700" b="1143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32F6" w:rsidRPr="00530A50" w:rsidRDefault="00B432F6" w:rsidP="00184DC1">
      <w:r w:rsidRPr="00530A50">
        <w:t>Potenciál energie z obnovitelných zdrojů je omezen přírodními podmínkami České republiky (klimatickými, geologickými a půdními) a požadavky ochrany životního prostředí (půdy, vod, krajinného rázu, flory a fauny).  Pro jednotlivé typy zdrojů jsou nejvýznamnějšími limity:</w:t>
      </w:r>
    </w:p>
    <w:p w:rsidR="00B432F6" w:rsidRPr="00530A50" w:rsidRDefault="00B432F6" w:rsidP="00184DC1">
      <w:r w:rsidRPr="00530A50">
        <w:rPr>
          <w:b/>
        </w:rPr>
        <w:t xml:space="preserve">Potenciál </w:t>
      </w:r>
      <w:r>
        <w:rPr>
          <w:b/>
        </w:rPr>
        <w:t xml:space="preserve">větrné </w:t>
      </w:r>
      <w:r w:rsidRPr="00530A50">
        <w:rPr>
          <w:b/>
        </w:rPr>
        <w:t>energie</w:t>
      </w:r>
      <w:r>
        <w:t xml:space="preserve"> </w:t>
      </w:r>
      <w:r w:rsidRPr="00530A50">
        <w:t xml:space="preserve">je </w:t>
      </w:r>
      <w:r>
        <w:t>nejvíce</w:t>
      </w:r>
      <w:r w:rsidRPr="00530A50">
        <w:t xml:space="preserve"> limitován krajinným reliéfem, který definuje významnější </w:t>
      </w:r>
      <w:r>
        <w:t>lokality</w:t>
      </w:r>
      <w:r w:rsidRPr="00530A50">
        <w:t xml:space="preserve"> z hlediska proudění větru v oblastech Krušných hor, Vysočiny a Jeseníků. Dalším limitujícím prvkem jsou sídelní celky, chráněné přírodní oblasti typu </w:t>
      </w:r>
      <w:r w:rsidR="00B54F01">
        <w:t xml:space="preserve">národních </w:t>
      </w:r>
      <w:r w:rsidRPr="00530A50">
        <w:t xml:space="preserve">parků, CHKO a </w:t>
      </w:r>
      <w:r w:rsidR="00B54F01">
        <w:t>lokality soustavy</w:t>
      </w:r>
      <w:r w:rsidR="00660EB4">
        <w:t xml:space="preserve"> </w:t>
      </w:r>
      <w:r w:rsidRPr="00530A50">
        <w:t>Natura</w:t>
      </w:r>
      <w:r w:rsidR="00B54F01">
        <w:t xml:space="preserve"> 2000</w:t>
      </w:r>
      <w:r w:rsidRPr="00530A50">
        <w:t xml:space="preserve">, pásma vojenských radarů a další. Realistický potenciál stanovuje studie Ústavu fyziky atmosféry zpracovaná pro Českou společnost pro větrnou energii </w:t>
      </w:r>
      <w:r>
        <w:t>na hodnotu cca</w:t>
      </w:r>
      <w:r w:rsidRPr="00530A50">
        <w:t xml:space="preserve"> </w:t>
      </w:r>
      <w:r w:rsidR="00F35EF1">
        <w:t>2 300</w:t>
      </w:r>
      <w:r w:rsidRPr="00530A50">
        <w:t xml:space="preserve"> MW ve středním scénáři. Tento potenciál je ovšem realizovatelný </w:t>
      </w:r>
      <w:r>
        <w:t>pouze</w:t>
      </w:r>
      <w:r w:rsidRPr="00530A50">
        <w:t xml:space="preserve"> při velmi vstřícném přístupu místních komunit v</w:t>
      </w:r>
      <w:r>
        <w:t xml:space="preserve"> rámci povolovacích procesů a jeho naplnění </w:t>
      </w:r>
      <w:r w:rsidRPr="00530A50">
        <w:t>v</w:t>
      </w:r>
      <w:r>
        <w:t> </w:t>
      </w:r>
      <w:r w:rsidRPr="00530A50">
        <w:t xml:space="preserve">plném rozsahu </w:t>
      </w:r>
      <w:r>
        <w:t>je tedy</w:t>
      </w:r>
      <w:r w:rsidRPr="00530A50">
        <w:t xml:space="preserve"> spíše nepravděpodobné.</w:t>
      </w:r>
    </w:p>
    <w:p w:rsidR="00B432F6" w:rsidRPr="0036191A" w:rsidRDefault="00B432F6" w:rsidP="00184DC1">
      <w:r>
        <w:rPr>
          <w:b/>
        </w:rPr>
        <w:t>Potenciál sluneční energie</w:t>
      </w:r>
      <w:r w:rsidRPr="00530A50">
        <w:t xml:space="preserve"> je limitován </w:t>
      </w:r>
      <w:r>
        <w:t>především</w:t>
      </w:r>
      <w:r w:rsidRPr="00530A50">
        <w:t xml:space="preserve"> klimatickými podmínkami ČR</w:t>
      </w:r>
      <w:r>
        <w:t>,</w:t>
      </w:r>
      <w:r w:rsidRPr="00530A50">
        <w:t xml:space="preserve"> tedy </w:t>
      </w:r>
      <w:r>
        <w:t xml:space="preserve">hlavně jejími </w:t>
      </w:r>
      <w:r w:rsidRPr="00530A50">
        <w:t>meteorologickými poměr</w:t>
      </w:r>
      <w:r>
        <w:t>y a zeměpisnou šířkou</w:t>
      </w:r>
      <w:r w:rsidRPr="00530A50">
        <w:t xml:space="preserve">. Ochrana zemědělské půdy z hlediska dlouhodobé udržitelnosti vylučuje systematické využívání zemědělské půdy pro fotovoltaické zdroje. Potenciál je </w:t>
      </w:r>
      <w:r>
        <w:t>tak</w:t>
      </w:r>
      <w:r w:rsidRPr="00530A50">
        <w:t xml:space="preserve"> dán očekávanými parametry účinnosti nových technologií, rozsahem </w:t>
      </w:r>
      <w:r>
        <w:t xml:space="preserve">ploch </w:t>
      </w:r>
      <w:r w:rsidRPr="00530A50">
        <w:t xml:space="preserve">střech a brownfieldů </w:t>
      </w:r>
      <w:r>
        <w:t>v</w:t>
      </w:r>
      <w:r w:rsidRPr="00530A50">
        <w:t> ČR, jednotkovými parametry využití střech (</w:t>
      </w:r>
      <w:r>
        <w:t>daných</w:t>
      </w:r>
      <w:r w:rsidRPr="00530A50">
        <w:t xml:space="preserve"> sklonem střech a efektivním umístěním </w:t>
      </w:r>
      <w:r>
        <w:t>panelů na</w:t>
      </w:r>
      <w:r w:rsidRPr="00530A50">
        <w:t xml:space="preserve"> plochých střech</w:t>
      </w:r>
      <w:r>
        <w:t>ách</w:t>
      </w:r>
      <w:r w:rsidRPr="00530A50">
        <w:t xml:space="preserve">) a penetrací vyplývající ze způsobu využívání energie (zejména u rekreačních objektů s velmi nízkým využitím bude rozsah penetrace menší než u trvale obývaných objektů). Výkonově je realistický potenciál </w:t>
      </w:r>
      <w:r w:rsidR="006E41B2">
        <w:t xml:space="preserve">podle referenčního scénáře Národního akčního plánu Smart Grids </w:t>
      </w:r>
      <w:r>
        <w:t>cca</w:t>
      </w:r>
      <w:r w:rsidRPr="00530A50">
        <w:t xml:space="preserve"> </w:t>
      </w:r>
      <w:r w:rsidR="006E41B2">
        <w:t>5</w:t>
      </w:r>
      <w:r>
        <w:t xml:space="preserve"> </w:t>
      </w:r>
      <w:r w:rsidR="006E41B2">
        <w:t>800</w:t>
      </w:r>
      <w:r w:rsidRPr="00530A50">
        <w:t xml:space="preserve"> MW</w:t>
      </w:r>
      <w:r>
        <w:t>,</w:t>
      </w:r>
      <w:r w:rsidRPr="00530A50">
        <w:t xml:space="preserve"> z čehož</w:t>
      </w:r>
      <w:r w:rsidRPr="0036191A">
        <w:t xml:space="preserve"> </w:t>
      </w:r>
      <w:r w:rsidRPr="00530A50">
        <w:t xml:space="preserve">bude část postupně nahrazovat FVE na polích s dočasným vynětím </w:t>
      </w:r>
      <w:r w:rsidRPr="0036191A">
        <w:t xml:space="preserve">zemědělské půdy. Využití by mělo mírně stoupnout spolu </w:t>
      </w:r>
      <w:r>
        <w:t>s růstem účinnosti technologie.</w:t>
      </w:r>
      <w:r w:rsidR="00B54F01">
        <w:t xml:space="preserve"> Potenciál solární energie pro výrobu tepla se podle analýz Ministertva průmyslu a obchodu pohybuje kolem 5 PJ.</w:t>
      </w:r>
    </w:p>
    <w:p w:rsidR="00B432F6" w:rsidRPr="000B74F7" w:rsidRDefault="00B432F6" w:rsidP="00184DC1">
      <w:r w:rsidRPr="0036191A">
        <w:rPr>
          <w:b/>
        </w:rPr>
        <w:t xml:space="preserve">Potenciál </w:t>
      </w:r>
      <w:r>
        <w:rPr>
          <w:b/>
        </w:rPr>
        <w:t xml:space="preserve">využití </w:t>
      </w:r>
      <w:r w:rsidRPr="0036191A">
        <w:rPr>
          <w:b/>
        </w:rPr>
        <w:t>energie biomasy</w:t>
      </w:r>
      <w:r w:rsidRPr="0036191A">
        <w:t xml:space="preserve"> vychází z </w:t>
      </w:r>
      <w:r>
        <w:t>Akčního plánu pro biomasu, který</w:t>
      </w:r>
      <w:r w:rsidRPr="0036191A">
        <w:t xml:space="preserve"> </w:t>
      </w:r>
      <w:r>
        <w:t>uvažuje jeho celkovou</w:t>
      </w:r>
      <w:r w:rsidRPr="0036191A">
        <w:t> </w:t>
      </w:r>
      <w:r>
        <w:t xml:space="preserve">hodnotu pro biomasu z </w:t>
      </w:r>
      <w:r w:rsidRPr="0036191A">
        <w:t>území ČR v</w:t>
      </w:r>
      <w:r>
        <w:t> </w:t>
      </w:r>
      <w:r w:rsidRPr="0036191A">
        <w:t>rozmezí</w:t>
      </w:r>
      <w:r>
        <w:t xml:space="preserve"> cca </w:t>
      </w:r>
      <w:r w:rsidRPr="0036191A">
        <w:t>160 až 2</w:t>
      </w:r>
      <w:r>
        <w:t>17</w:t>
      </w:r>
      <w:r w:rsidRPr="0036191A">
        <w:t xml:space="preserve"> PJ</w:t>
      </w:r>
      <w:r>
        <w:t>,</w:t>
      </w:r>
      <w:r w:rsidRPr="0036191A">
        <w:t xml:space="preserve"> </w:t>
      </w:r>
      <w:r>
        <w:t xml:space="preserve">a to </w:t>
      </w:r>
      <w:r w:rsidRPr="0036191A">
        <w:t xml:space="preserve">bez ohrožení potravinové bezpečnosti. S ohledem na dlouhodobý trend snižování </w:t>
      </w:r>
      <w:r>
        <w:t xml:space="preserve">rozlohy </w:t>
      </w:r>
      <w:r w:rsidRPr="0036191A">
        <w:t>zemědělských ploch předpokládáme v základním scénáři konzervativní odhad na spodní hranici (nicméně horní koridor pro OZE respektuje maximální hodnotu). Oproti současnému rozsahu využ</w:t>
      </w:r>
      <w:r>
        <w:t>ití</w:t>
      </w:r>
      <w:r w:rsidRPr="0036191A">
        <w:t xml:space="preserve"> biomasy </w:t>
      </w:r>
      <w:r>
        <w:t xml:space="preserve">na úrovni cca </w:t>
      </w:r>
      <w:r w:rsidRPr="000B74F7">
        <w:t>90 PJ ročně je tedy předpokládáno významné navýšení dodávek biomasy pro energetiku.</w:t>
      </w:r>
    </w:p>
    <w:p w:rsidR="00B432F6" w:rsidRDefault="00B432F6" w:rsidP="00184DC1">
      <w:r>
        <w:rPr>
          <w:b/>
        </w:rPr>
        <w:t>Potenciál využití g</w:t>
      </w:r>
      <w:r w:rsidRPr="000B74F7">
        <w:rPr>
          <w:b/>
        </w:rPr>
        <w:t>eotermální energie</w:t>
      </w:r>
      <w:r w:rsidRPr="000B74F7">
        <w:t xml:space="preserve"> </w:t>
      </w:r>
      <w:r>
        <w:t>vychází hlavně z možností využití nízko-potenciálního tepla, protože technická</w:t>
      </w:r>
      <w:r w:rsidRPr="000B74F7">
        <w:t xml:space="preserve"> a</w:t>
      </w:r>
      <w:r>
        <w:t>ni</w:t>
      </w:r>
      <w:r w:rsidRPr="000B74F7">
        <w:t xml:space="preserve"> ekonomick</w:t>
      </w:r>
      <w:r>
        <w:t>á</w:t>
      </w:r>
      <w:r w:rsidRPr="000B74F7">
        <w:t xml:space="preserve"> způsobilost </w:t>
      </w:r>
      <w:r>
        <w:t xml:space="preserve">pro využití tepla </w:t>
      </w:r>
      <w:r w:rsidRPr="000B74F7">
        <w:t>vysoko</w:t>
      </w:r>
      <w:r>
        <w:t>-</w:t>
      </w:r>
      <w:r w:rsidRPr="000B74F7">
        <w:t>potenciální</w:t>
      </w:r>
      <w:r>
        <w:t>ho</w:t>
      </w:r>
      <w:r w:rsidRPr="000B74F7">
        <w:t xml:space="preserve"> v podmínkách ČR</w:t>
      </w:r>
      <w:r>
        <w:t xml:space="preserve"> není </w:t>
      </w:r>
      <w:r w:rsidRPr="000B74F7">
        <w:t>v současné době</w:t>
      </w:r>
      <w:r>
        <w:t xml:space="preserve"> ověřena</w:t>
      </w:r>
      <w:r w:rsidRPr="000B74F7">
        <w:t xml:space="preserve">. Existují demonstrační projekty v různých fázích rozvoje, </w:t>
      </w:r>
      <w:r>
        <w:t>avšak</w:t>
      </w:r>
      <w:r w:rsidRPr="000B74F7">
        <w:t xml:space="preserve"> dosavadní výsledky nesignalizují reálnou možnost masového rozšíření v horizontu ASEK. Naopak</w:t>
      </w:r>
      <w:r>
        <w:t>,</w:t>
      </w:r>
      <w:r w:rsidRPr="000B74F7">
        <w:t xml:space="preserve"> využití nízko</w:t>
      </w:r>
      <w:r>
        <w:t>-potenciálního tepla technologií</w:t>
      </w:r>
      <w:r w:rsidRPr="000B74F7">
        <w:t> tepelných čerpad</w:t>
      </w:r>
      <w:r>
        <w:t>e</w:t>
      </w:r>
      <w:r w:rsidRPr="000B74F7">
        <w:t>l je komerčně zralé a dostupné a předpokládá</w:t>
      </w:r>
      <w:r>
        <w:t xml:space="preserve"> se</w:t>
      </w:r>
      <w:r w:rsidRPr="000B74F7">
        <w:t xml:space="preserve"> zvýšení instalovaných kapacit nejméně na čtyřnásobek. Celkový potenciál je limitován zejména potřebou tep</w:t>
      </w:r>
      <w:r>
        <w:t>elné energie,</w:t>
      </w:r>
      <w:r w:rsidRPr="000B74F7">
        <w:t xml:space="preserve"> možnostmi a ekonomikou individuální výstavby, případně možnostmi a ekonomikou integrace tepelných čerpadel do </w:t>
      </w:r>
      <w:r>
        <w:t>soustav zásobování teplem</w:t>
      </w:r>
      <w:r w:rsidRPr="000B74F7">
        <w:t>.</w:t>
      </w:r>
    </w:p>
    <w:p w:rsidR="0041440C" w:rsidRDefault="0041440C" w:rsidP="00184DC1">
      <w:r>
        <w:t xml:space="preserve">Zároveň mají jednotlivé zdroje rozdílné tzv. plné náklady na výrobu elektrické energie, které určují jejich atraktivitu pro investory i způsob/míru uplatnění na liberalizovaném trhu, jak </w:t>
      </w:r>
      <w:r w:rsidRPr="00530A50">
        <w:t xml:space="preserve">znázorňuje následující </w:t>
      </w:r>
      <w:r w:rsidRPr="00530A50">
        <w:fldChar w:fldCharType="begin"/>
      </w:r>
      <w:r w:rsidRPr="00530A50">
        <w:instrText xml:space="preserve"> REF _Ref395018377 \h  \* MERGEFORMAT </w:instrText>
      </w:r>
      <w:r w:rsidRPr="00530A50">
        <w:fldChar w:fldCharType="separate"/>
      </w:r>
      <w:r w:rsidR="0096423F" w:rsidRPr="0096423F">
        <w:t>Graf č. 2</w:t>
      </w:r>
      <w:r w:rsidRPr="00530A50">
        <w:fldChar w:fldCharType="end"/>
      </w:r>
      <w:r w:rsidRPr="00530A50">
        <w:t>.</w:t>
      </w:r>
      <w:r w:rsidR="002D287F">
        <w:rPr>
          <w:rStyle w:val="Znakapoznpodarou"/>
        </w:rPr>
        <w:footnoteReference w:id="14"/>
      </w:r>
    </w:p>
    <w:p w:rsidR="00E3350F" w:rsidRDefault="00DE379A" w:rsidP="00184DC1">
      <w:pPr>
        <w:pStyle w:val="Titulek"/>
        <w:keepNext/>
        <w:spacing w:before="240" w:after="120"/>
      </w:pPr>
      <w:bookmarkStart w:id="394" w:name="_Ref395018377"/>
      <w:bookmarkStart w:id="395" w:name="_Toc396923118"/>
      <w:r w:rsidRPr="00DE379A">
        <w:rPr>
          <w:b/>
        </w:rPr>
        <w:t xml:space="preserve">Graf č. </w:t>
      </w:r>
      <w:r w:rsidRPr="00DE379A">
        <w:rPr>
          <w:b/>
        </w:rPr>
        <w:fldChar w:fldCharType="begin"/>
      </w:r>
      <w:r w:rsidRPr="00DE379A">
        <w:rPr>
          <w:b/>
        </w:rPr>
        <w:instrText xml:space="preserve"> SEQ Graf_č. \* ARABIC </w:instrText>
      </w:r>
      <w:r w:rsidRPr="00DE379A">
        <w:rPr>
          <w:b/>
        </w:rPr>
        <w:fldChar w:fldCharType="separate"/>
      </w:r>
      <w:r w:rsidR="0096423F">
        <w:rPr>
          <w:b/>
          <w:noProof/>
        </w:rPr>
        <w:t>2</w:t>
      </w:r>
      <w:r w:rsidRPr="00DE379A">
        <w:rPr>
          <w:b/>
        </w:rPr>
        <w:fldChar w:fldCharType="end"/>
      </w:r>
      <w:bookmarkEnd w:id="394"/>
      <w:r w:rsidRPr="00DE379A">
        <w:rPr>
          <w:b/>
        </w:rPr>
        <w:t xml:space="preserve">: </w:t>
      </w:r>
      <w:r w:rsidRPr="0001751A">
        <w:t>Plné náklady na výrobu elektrické energie</w:t>
      </w:r>
      <w:bookmarkEnd w:id="395"/>
    </w:p>
    <w:p w:rsidR="00577633" w:rsidRDefault="00E3350F" w:rsidP="002D287F">
      <w:pPr>
        <w:pStyle w:val="Bullet1"/>
        <w:numPr>
          <w:ilvl w:val="0"/>
          <w:numId w:val="0"/>
        </w:numPr>
        <w:rPr>
          <w:rFonts w:asciiTheme="minorHAnsi" w:hAnsiTheme="minorHAnsi" w:cstheme="minorHAnsi"/>
          <w:b/>
          <w:sz w:val="24"/>
        </w:rPr>
      </w:pPr>
      <w:r>
        <w:rPr>
          <w:noProof/>
        </w:rPr>
        <w:drawing>
          <wp:inline distT="0" distB="0" distL="0" distR="0" wp14:anchorId="6DEB6ED6" wp14:editId="7C07F582">
            <wp:extent cx="5760000" cy="3780000"/>
            <wp:effectExtent l="0" t="0" r="12700" b="1143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396" w:name="_Ref395018575"/>
      <w:bookmarkStart w:id="397" w:name="_Toc396923171"/>
    </w:p>
    <w:p w:rsidR="00DE379A" w:rsidRPr="003201E2" w:rsidRDefault="00DE379A" w:rsidP="00577633">
      <w:pPr>
        <w:pStyle w:val="Bullet1"/>
        <w:numPr>
          <w:ilvl w:val="0"/>
          <w:numId w:val="0"/>
        </w:numPr>
        <w:spacing w:before="240"/>
        <w:rPr>
          <w:rFonts w:asciiTheme="minorHAnsi" w:hAnsiTheme="minorHAnsi" w:cstheme="minorHAnsi"/>
          <w:sz w:val="24"/>
        </w:rPr>
      </w:pPr>
      <w:r w:rsidRPr="003201E2">
        <w:rPr>
          <w:rFonts w:asciiTheme="minorHAnsi" w:hAnsiTheme="minorHAnsi" w:cstheme="minorHAnsi"/>
          <w:b/>
          <w:sz w:val="24"/>
        </w:rPr>
        <w:t xml:space="preserve">Obrázek č. </w:t>
      </w:r>
      <w:r w:rsidRPr="003201E2">
        <w:rPr>
          <w:rFonts w:asciiTheme="minorHAnsi" w:hAnsiTheme="minorHAnsi" w:cstheme="minorHAnsi"/>
          <w:b/>
          <w:sz w:val="24"/>
        </w:rPr>
        <w:fldChar w:fldCharType="begin"/>
      </w:r>
      <w:r w:rsidRPr="003201E2">
        <w:rPr>
          <w:rFonts w:asciiTheme="minorHAnsi" w:hAnsiTheme="minorHAnsi" w:cstheme="minorHAnsi"/>
          <w:b/>
          <w:sz w:val="24"/>
        </w:rPr>
        <w:instrText xml:space="preserve"> SEQ Obrázek_č. \* ARABIC </w:instrText>
      </w:r>
      <w:r w:rsidRPr="003201E2">
        <w:rPr>
          <w:rFonts w:asciiTheme="minorHAnsi" w:hAnsiTheme="minorHAnsi" w:cstheme="minorHAnsi"/>
          <w:b/>
          <w:sz w:val="24"/>
        </w:rPr>
        <w:fldChar w:fldCharType="separate"/>
      </w:r>
      <w:r w:rsidR="0096423F" w:rsidRPr="003201E2">
        <w:rPr>
          <w:rFonts w:asciiTheme="minorHAnsi" w:hAnsiTheme="minorHAnsi" w:cstheme="minorHAnsi"/>
          <w:b/>
          <w:noProof/>
          <w:sz w:val="24"/>
        </w:rPr>
        <w:t>2</w:t>
      </w:r>
      <w:r w:rsidRPr="003201E2">
        <w:rPr>
          <w:rFonts w:asciiTheme="minorHAnsi" w:hAnsiTheme="minorHAnsi" w:cstheme="minorHAnsi"/>
          <w:b/>
          <w:sz w:val="24"/>
        </w:rPr>
        <w:fldChar w:fldCharType="end"/>
      </w:r>
      <w:bookmarkEnd w:id="396"/>
      <w:r w:rsidRPr="003201E2">
        <w:rPr>
          <w:rFonts w:asciiTheme="minorHAnsi" w:hAnsiTheme="minorHAnsi" w:cstheme="minorHAnsi"/>
          <w:b/>
          <w:sz w:val="24"/>
        </w:rPr>
        <w:t xml:space="preserve">: </w:t>
      </w:r>
      <w:r w:rsidRPr="003201E2">
        <w:rPr>
          <w:rFonts w:asciiTheme="minorHAnsi" w:hAnsiTheme="minorHAnsi" w:cstheme="minorHAnsi"/>
          <w:sz w:val="24"/>
        </w:rPr>
        <w:t>Konkurenční výhody českého energetického sektoru</w:t>
      </w:r>
      <w:bookmarkEnd w:id="397"/>
    </w:p>
    <w:p w:rsidR="00D2744D" w:rsidRPr="0092047B" w:rsidRDefault="0020567D" w:rsidP="00184DC1">
      <w:pPr>
        <w:spacing w:before="120"/>
        <w:rPr>
          <w:rFonts w:ascii="Calibri" w:hAnsi="Calibri" w:cs="Calibri"/>
          <w:b/>
          <w:sz w:val="32"/>
          <w:szCs w:val="32"/>
        </w:rPr>
      </w:pPr>
      <w:r>
        <w:rPr>
          <w:noProof/>
        </w:rPr>
        <w:drawing>
          <wp:inline distT="0" distB="0" distL="0" distR="0" wp14:anchorId="6415AE5A" wp14:editId="2ECE9022">
            <wp:extent cx="5682789" cy="338137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2789" cy="3381375"/>
                    </a:xfrm>
                    <a:prstGeom prst="rect">
                      <a:avLst/>
                    </a:prstGeom>
                    <a:noFill/>
                  </pic:spPr>
                </pic:pic>
              </a:graphicData>
            </a:graphic>
          </wp:inline>
        </w:drawing>
      </w:r>
      <w:r w:rsidR="00D2744D" w:rsidRPr="0092047B">
        <w:br w:type="page"/>
      </w:r>
    </w:p>
    <w:p w:rsidR="006E3CE4" w:rsidRPr="0092047B" w:rsidRDefault="00C916C7" w:rsidP="00184DC1">
      <w:pPr>
        <w:pStyle w:val="Nadpis1"/>
      </w:pPr>
      <w:bookmarkStart w:id="398" w:name="_Ref367885773"/>
      <w:bookmarkStart w:id="399" w:name="_Ref367885838"/>
      <w:bookmarkStart w:id="400" w:name="_Ref367886200"/>
      <w:bookmarkStart w:id="401" w:name="_Toc396923384"/>
      <w:r w:rsidRPr="0092047B">
        <w:t xml:space="preserve">Koncepce energetiky </w:t>
      </w:r>
      <w:r w:rsidR="005A6CB5" w:rsidRPr="0092047B">
        <w:t>ČR do roku 2040</w:t>
      </w:r>
      <w:bookmarkEnd w:id="390"/>
      <w:bookmarkEnd w:id="391"/>
      <w:bookmarkEnd w:id="398"/>
      <w:bookmarkEnd w:id="399"/>
      <w:bookmarkEnd w:id="400"/>
      <w:bookmarkEnd w:id="401"/>
    </w:p>
    <w:p w:rsidR="007D2C62" w:rsidRPr="0092047B" w:rsidRDefault="007D2C62" w:rsidP="00184DC1">
      <w:pPr>
        <w:pStyle w:val="Nadpis2"/>
      </w:pPr>
      <w:bookmarkStart w:id="402" w:name="_Toc362276644"/>
      <w:bookmarkStart w:id="403" w:name="_Toc362281685"/>
      <w:bookmarkStart w:id="404" w:name="_Toc362775790"/>
      <w:bookmarkStart w:id="405" w:name="_Toc362775874"/>
      <w:bookmarkStart w:id="406" w:name="_Toc366046027"/>
      <w:bookmarkStart w:id="407" w:name="_Toc396923385"/>
      <w:bookmarkEnd w:id="402"/>
      <w:bookmarkEnd w:id="403"/>
      <w:bookmarkEnd w:id="404"/>
      <w:bookmarkEnd w:id="405"/>
      <w:bookmarkEnd w:id="406"/>
      <w:r w:rsidRPr="0092047B">
        <w:t>Strategické cíle energetiky ČR</w:t>
      </w:r>
      <w:bookmarkEnd w:id="407"/>
    </w:p>
    <w:p w:rsidR="007D2C62" w:rsidRPr="0092047B" w:rsidRDefault="007D2C62" w:rsidP="00184DC1">
      <w:pPr>
        <w:pStyle w:val="OdstavecCOPS"/>
        <w:spacing w:before="0" w:after="0"/>
        <w:rPr>
          <w:rFonts w:cstheme="minorHAnsi"/>
        </w:rPr>
      </w:pPr>
      <w:r w:rsidRPr="0092047B">
        <w:rPr>
          <w:rFonts w:cstheme="minorHAnsi"/>
        </w:rPr>
        <w:t>Strategické cíle vychází z energetické strategie EU a směřují k naplnění poslání Státní energetické koncepce a k dosažení dlouhodobé vize energetiky ČR.</w:t>
      </w:r>
    </w:p>
    <w:p w:rsidR="007D2C62" w:rsidRPr="0092047B" w:rsidRDefault="007D2C62" w:rsidP="00184DC1">
      <w:pPr>
        <w:pStyle w:val="OdstavecCOPS"/>
        <w:spacing w:before="120" w:after="120"/>
        <w:rPr>
          <w:rFonts w:cstheme="minorHAnsi"/>
          <w:u w:val="single"/>
        </w:rPr>
      </w:pPr>
      <w:r w:rsidRPr="0092047B">
        <w:rPr>
          <w:rFonts w:cstheme="minorHAnsi"/>
          <w:u w:val="single"/>
        </w:rPr>
        <w:t>Vrcholové strategické cíle jsou:</w:t>
      </w:r>
    </w:p>
    <w:p w:rsidR="007D2C62" w:rsidRPr="0092047B" w:rsidRDefault="007D2C62" w:rsidP="00184DC1">
      <w:pPr>
        <w:pStyle w:val="OdstavecCOPS"/>
        <w:numPr>
          <w:ilvl w:val="0"/>
          <w:numId w:val="14"/>
        </w:numPr>
        <w:spacing w:before="0" w:after="120"/>
        <w:ind w:left="709" w:hanging="357"/>
        <w:rPr>
          <w:rFonts w:cstheme="minorHAnsi"/>
        </w:rPr>
      </w:pPr>
      <w:r w:rsidRPr="0092047B">
        <w:rPr>
          <w:rFonts w:cstheme="minorHAnsi"/>
          <w:b/>
        </w:rPr>
        <w:t xml:space="preserve">Bezpečnost </w:t>
      </w:r>
      <w:r w:rsidRPr="0092047B">
        <w:rPr>
          <w:rFonts w:cstheme="minorHAnsi"/>
        </w:rPr>
        <w:t xml:space="preserve">dodávek energie = zajištění nezbytných dodávek energie pro spotřebitele </w:t>
      </w:r>
      <w:r w:rsidR="00D81B10">
        <w:rPr>
          <w:rFonts w:cstheme="minorHAnsi"/>
        </w:rPr>
        <w:t>v běžném provozu</w:t>
      </w:r>
      <w:r w:rsidR="00D81B10" w:rsidRPr="0092047B">
        <w:rPr>
          <w:rFonts w:cstheme="minorHAnsi"/>
        </w:rPr>
        <w:t xml:space="preserve"> </w:t>
      </w:r>
      <w:r w:rsidRPr="0092047B">
        <w:rPr>
          <w:rFonts w:cstheme="minorHAnsi"/>
        </w:rPr>
        <w:t>i při skokové změně vnějších podmínek (výpadky dodávek primárních zdrojů, cenové výkyvy na trzích, poruchy a útoky) v kontextu EU; cílem je garantovat rychlé obnovení dodávek v případě výpadku a současně garantovat plné zajištění dodávek všech druhů energie v rozsahu potřebném pro „nouzový režim“ fungování ekonomiky a zásobování obyvatelstva při jakýchkoliv nouzových situacích</w:t>
      </w:r>
    </w:p>
    <w:p w:rsidR="007D2C62" w:rsidRPr="0092047B" w:rsidRDefault="007D2C62" w:rsidP="00184DC1">
      <w:pPr>
        <w:pStyle w:val="OdstavecCOPS"/>
        <w:numPr>
          <w:ilvl w:val="0"/>
          <w:numId w:val="14"/>
        </w:numPr>
        <w:spacing w:before="0" w:after="120"/>
        <w:ind w:left="709" w:hanging="357"/>
        <w:rPr>
          <w:rFonts w:cstheme="minorHAnsi"/>
        </w:rPr>
      </w:pPr>
      <w:r w:rsidRPr="0092047B">
        <w:rPr>
          <w:rFonts w:cstheme="minorHAnsi"/>
          <w:b/>
        </w:rPr>
        <w:t xml:space="preserve">Konkurenceschopnost </w:t>
      </w:r>
      <w:r w:rsidRPr="0092047B">
        <w:rPr>
          <w:rFonts w:cstheme="minorHAnsi"/>
        </w:rPr>
        <w:t>(energetiky a sociální přijatelnost)</w:t>
      </w:r>
      <w:r w:rsidRPr="0092047B">
        <w:rPr>
          <w:rFonts w:cstheme="minorHAnsi"/>
          <w:b/>
        </w:rPr>
        <w:t xml:space="preserve"> </w:t>
      </w:r>
      <w:r w:rsidRPr="0092047B">
        <w:rPr>
          <w:rFonts w:cstheme="minorHAnsi"/>
        </w:rPr>
        <w:t>= konečné ceny energie (elektřina, plyn, ropné produkty) pro průmyslové spotřebitele i pro domácnosti srovnatelné v porovnání se zeměmi regionu a dalšími přímými konkurenty + energetické podniky schopné dlouhodobě vytvářet ekonomickou přidanou hodnotu</w:t>
      </w:r>
    </w:p>
    <w:p w:rsidR="007D2C62" w:rsidRPr="0092047B" w:rsidRDefault="007D2C62" w:rsidP="00184DC1">
      <w:pPr>
        <w:pStyle w:val="OdstavecCOPS"/>
        <w:numPr>
          <w:ilvl w:val="0"/>
          <w:numId w:val="14"/>
        </w:numPr>
        <w:spacing w:before="0" w:after="120"/>
        <w:ind w:left="709" w:hanging="357"/>
        <w:rPr>
          <w:rFonts w:cstheme="minorHAnsi"/>
        </w:rPr>
      </w:pPr>
      <w:r w:rsidRPr="0092047B">
        <w:rPr>
          <w:rFonts w:cstheme="minorHAnsi"/>
          <w:b/>
        </w:rPr>
        <w:t>Udržitelnost</w:t>
      </w:r>
      <w:r w:rsidRPr="0092047B">
        <w:rPr>
          <w:rFonts w:cstheme="minorHAnsi"/>
        </w:rPr>
        <w:t xml:space="preserve"> (udržitelný rozvoj) = struktura energetiky, která je dlouhodobě udržitelná z pohledu životního prostředí (nezhoršování kvality ŽP), finančně-ekonomického (finanční stabilita energetických podniků a schopnost zajistit potřebné investice do obnovy a rozvoje), lidských zdrojů (vzdělanost) a sociálních dopadů (zaměstnanost) a primárních zdrojů (dostupnost)</w:t>
      </w:r>
    </w:p>
    <w:p w:rsidR="007D2C62" w:rsidRPr="0092047B" w:rsidRDefault="007D2C62" w:rsidP="00184DC1">
      <w:pPr>
        <w:pStyle w:val="OdstavecCOPS"/>
        <w:spacing w:before="240" w:after="120"/>
        <w:rPr>
          <w:rFonts w:cstheme="minorHAnsi"/>
          <w:b/>
        </w:rPr>
      </w:pPr>
      <w:r w:rsidRPr="0092047B">
        <w:rPr>
          <w:rFonts w:cstheme="minorHAnsi"/>
          <w:b/>
        </w:rPr>
        <w:t>Bezpečnost dodávek měřená těmito parametry:</w:t>
      </w:r>
    </w:p>
    <w:p w:rsidR="007D2C62" w:rsidRPr="0092047B" w:rsidRDefault="007D2C62" w:rsidP="00184DC1">
      <w:pPr>
        <w:pStyle w:val="Odstavecseseznamem"/>
        <w:numPr>
          <w:ilvl w:val="1"/>
          <w:numId w:val="9"/>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rPr>
      </w:pPr>
      <w:r w:rsidRPr="0092047B">
        <w:rPr>
          <w:rFonts w:asciiTheme="minorHAnsi" w:hAnsiTheme="minorHAnsi" w:cstheme="minorHAnsi"/>
          <w:sz w:val="24"/>
          <w:szCs w:val="24"/>
          <w:u w:val="single"/>
        </w:rPr>
        <w:t>Pohotovostní zásoby primárních energetických zdrojů:</w:t>
      </w:r>
    </w:p>
    <w:p w:rsidR="007D2C62" w:rsidRPr="0092047B" w:rsidRDefault="007D2C62" w:rsidP="00184DC1">
      <w:pPr>
        <w:spacing w:after="120"/>
        <w:ind w:left="567"/>
        <w:rPr>
          <w:rFonts w:cstheme="minorHAnsi"/>
        </w:rPr>
      </w:pPr>
      <w:r w:rsidRPr="0092047B">
        <w:rPr>
          <w:rFonts w:cstheme="minorHAnsi"/>
        </w:rPr>
        <w:t>Pohotovostní zásoby primárních energetických zdrojů v daném roce jsou stanoveny jako součet okamžitě dostupných zásob PEZ z kapalných paliv a zemního plynu v zásobnících, z tuhých paliv na skládkách těžebních společností a výrobců, z jaderného paliva a</w:t>
      </w:r>
      <w:r w:rsidR="008C6EAA">
        <w:rPr>
          <w:rFonts w:cstheme="minorHAnsi"/>
        </w:rPr>
        <w:t xml:space="preserve"> dále pak z</w:t>
      </w:r>
      <w:r w:rsidRPr="0092047B">
        <w:rPr>
          <w:rFonts w:cstheme="minorHAnsi"/>
        </w:rPr>
        <w:t xml:space="preserve"> intermitentních i neintermitentních obnovitelných zdrojů energie v odpovídajícím roce dle rovnic:</w:t>
      </w:r>
    </w:p>
    <w:p w:rsidR="007D2C62" w:rsidRPr="0092047B" w:rsidRDefault="00D76A86" w:rsidP="00184DC1">
      <w:pPr>
        <w:spacing w:before="240" w:after="120"/>
        <w:ind w:left="1276"/>
        <w:rPr>
          <w:rFonts w:cstheme="minorHAnsi"/>
          <w:iCs/>
        </w:rPr>
      </w:pPr>
      <m:oMath>
        <m:sSub>
          <m:sSubPr>
            <m:ctrlPr>
              <w:rPr>
                <w:rFonts w:ascii="Cambria Math" w:hAnsi="Cambria Math" w:cstheme="minorHAnsi"/>
                <w:i/>
                <w:iCs/>
              </w:rPr>
            </m:ctrlPr>
          </m:sSubPr>
          <m:e>
            <m:r>
              <w:rPr>
                <w:rFonts w:ascii="Cambria Math" w:hAnsi="Cambria Math" w:cstheme="minorHAnsi"/>
              </w:rPr>
              <m:t>AZ</m:t>
            </m:r>
          </m:e>
          <m:sub>
            <m:r>
              <w:rPr>
                <w:rFonts w:ascii="Cambria Math" w:hAnsi="Cambria Math" w:cstheme="minorHAnsi"/>
              </w:rPr>
              <m:t>PEZ</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m:t>
                </m:r>
              </m:e>
              <m:sub>
                <m:r>
                  <w:rPr>
                    <w:rFonts w:ascii="Cambria Math" w:hAnsi="Cambria Math" w:cstheme="minorHAnsi"/>
                  </w:rPr>
                  <m:t>KP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Ex</m:t>
                </m:r>
              </m:e>
              <m:sub>
                <m:r>
                  <w:rPr>
                    <w:rFonts w:ascii="Cambria Math" w:hAnsi="Cambria Math" w:cstheme="minorHAnsi"/>
                  </w:rPr>
                  <m:t>KP</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KP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PEZ</m:t>
            </m:r>
          </m:e>
          <m:sub>
            <m:r>
              <w:rPr>
                <w:rFonts w:ascii="Cambria Math" w:hAnsi="Cambria Math" w:cstheme="minorHAnsi"/>
              </w:rPr>
              <m:t>ZP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Z</m:t>
            </m:r>
            <m:r>
              <w:rPr>
                <w:rFonts w:ascii="Cambria Math" w:hAnsi="Cambria Math" w:cstheme="minorHAnsi"/>
              </w:rPr>
              <m:t>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PEZ</m:t>
            </m:r>
          </m:e>
          <m:sub>
            <m:r>
              <w:rPr>
                <w:rFonts w:ascii="Cambria Math" w:hAnsi="Cambria Math" w:cstheme="minorHAnsi"/>
              </w:rPr>
              <m:t>TP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TP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PEZ</m:t>
            </m:r>
          </m:e>
          <m:sub>
            <m:r>
              <w:rPr>
                <w:rFonts w:ascii="Cambria Math" w:hAnsi="Cambria Math" w:cstheme="minorHAnsi"/>
              </w:rPr>
              <m:t>JP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JP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PEZ</m:t>
            </m:r>
          </m:e>
          <m:sub>
            <m:r>
              <w:rPr>
                <w:rFonts w:ascii="Cambria Math" w:hAnsi="Cambria Math" w:cstheme="minorHAnsi"/>
              </w:rPr>
              <m:t>iOZE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iOZE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PEZ</m:t>
            </m:r>
          </m:e>
          <m:sub>
            <m:r>
              <w:rPr>
                <w:rFonts w:ascii="Cambria Math" w:hAnsi="Cambria Math" w:cstheme="minorHAnsi"/>
              </w:rPr>
              <m:t>nOZE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nOZE</m:t>
            </m:r>
          </m:sub>
        </m:sSub>
      </m:oMath>
      <w:r w:rsidR="007D2C62" w:rsidRPr="0092047B">
        <w:rPr>
          <w:rFonts w:cstheme="minorHAnsi"/>
          <w:iCs/>
        </w:rPr>
        <w:t xml:space="preserve"> </w:t>
      </w:r>
    </w:p>
    <w:p w:rsidR="007D2C62" w:rsidRPr="0092047B" w:rsidRDefault="00D76A86" w:rsidP="00184DC1">
      <w:pPr>
        <w:spacing w:before="240" w:after="120"/>
        <w:ind w:left="1276"/>
        <w:rPr>
          <w:rFonts w:cstheme="minorHAnsi"/>
          <w:iCs/>
        </w:rPr>
      </w:pPr>
      <m:oMath>
        <m:sSub>
          <m:sSubPr>
            <m:ctrlPr>
              <w:rPr>
                <w:rFonts w:ascii="Cambria Math" w:hAnsi="Cambria Math" w:cstheme="minorHAnsi"/>
                <w:i/>
                <w:iCs/>
              </w:rPr>
            </m:ctrlPr>
          </m:sSubPr>
          <m:e>
            <m:r>
              <w:rPr>
                <w:rFonts w:ascii="Cambria Math" w:hAnsi="Cambria Math" w:cstheme="minorHAnsi"/>
              </w:rPr>
              <m:t>RZ</m:t>
            </m:r>
          </m:e>
          <m:sub>
            <m:r>
              <w:rPr>
                <w:rFonts w:ascii="Cambria Math" w:hAnsi="Cambria Math" w:cstheme="minorHAnsi"/>
              </w:rPr>
              <m:t>PEZ</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iCs/>
                  </w:rPr>
                </m:ctrlPr>
              </m:sSubPr>
              <m:e>
                <m:r>
                  <w:rPr>
                    <w:rFonts w:ascii="Cambria Math" w:hAnsi="Cambria Math" w:cstheme="minorHAnsi"/>
                  </w:rPr>
                  <m:t>AZ</m:t>
                </m:r>
              </m:e>
              <m:sub>
                <m:r>
                  <w:rPr>
                    <w:rFonts w:ascii="Cambria Math" w:hAnsi="Cambria Math" w:cstheme="minorHAnsi"/>
                  </w:rPr>
                  <m:t>PEZ</m:t>
                </m:r>
              </m:sub>
            </m:sSub>
          </m:num>
          <m:den>
            <m:r>
              <w:rPr>
                <w:rFonts w:ascii="Cambria Math" w:hAnsi="Cambria Math" w:cstheme="minorHAnsi"/>
              </w:rPr>
              <m:t>PEZ</m:t>
            </m:r>
          </m:den>
        </m:f>
        <m:r>
          <w:rPr>
            <w:rFonts w:ascii="Cambria Math" w:hAnsi="Cambria Math" w:cstheme="minorHAnsi"/>
          </w:rPr>
          <m:t>∙100%</m:t>
        </m:r>
      </m:oMath>
      <w:r w:rsidR="007D2C62" w:rsidRPr="0092047B">
        <w:rPr>
          <w:rFonts w:cstheme="minorHAnsi"/>
          <w:iCs/>
        </w:rPr>
        <w:t xml:space="preserve"> </w:t>
      </w:r>
    </w:p>
    <w:p w:rsidR="007D2C62" w:rsidRPr="0092047B" w:rsidRDefault="007D2C62" w:rsidP="00184DC1">
      <w:pPr>
        <w:pStyle w:val="Odstavecseseznamem"/>
        <w:spacing w:after="120" w:line="240" w:lineRule="auto"/>
        <w:rPr>
          <w:rFonts w:asciiTheme="minorHAnsi" w:hAnsiTheme="minorHAnsi" w:cstheme="minorHAnsi"/>
          <w:sz w:val="24"/>
          <w:szCs w:val="24"/>
        </w:rPr>
      </w:pPr>
      <w:r w:rsidRPr="0092047B">
        <w:rPr>
          <w:rFonts w:asciiTheme="minorHAnsi" w:hAnsiTheme="minorHAnsi" w:cstheme="minorHAnsi"/>
          <w:sz w:val="24"/>
          <w:szCs w:val="24"/>
        </w:rPr>
        <w:t>kde:</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AZ</w:t>
      </w:r>
      <w:r w:rsidRPr="0092047B">
        <w:rPr>
          <w:rFonts w:asciiTheme="minorHAnsi" w:eastAsiaTheme="minorEastAsia" w:hAnsiTheme="minorHAnsi" w:cstheme="minorHAnsi"/>
          <w:i/>
          <w:iCs/>
          <w:sz w:val="24"/>
          <w:szCs w:val="24"/>
          <w:vertAlign w:val="subscript"/>
        </w:rPr>
        <w:t>PEZ</w:t>
      </w:r>
      <w:r w:rsidRPr="0092047B">
        <w:rPr>
          <w:rFonts w:asciiTheme="minorHAnsi" w:eastAsiaTheme="minorEastAsia" w:hAnsiTheme="minorHAnsi" w:cstheme="minorHAnsi"/>
          <w:iCs/>
          <w:sz w:val="24"/>
          <w:szCs w:val="24"/>
        </w:rPr>
        <w:tab/>
        <w:t>absolutní výše pohotovostní zásoby PEZ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RZ</w:t>
      </w:r>
      <w:r w:rsidRPr="0092047B">
        <w:rPr>
          <w:rFonts w:asciiTheme="minorHAnsi" w:eastAsiaTheme="minorEastAsia" w:hAnsiTheme="minorHAnsi" w:cstheme="minorHAnsi"/>
          <w:i/>
          <w:iCs/>
          <w:sz w:val="24"/>
          <w:szCs w:val="24"/>
          <w:vertAlign w:val="subscript"/>
        </w:rPr>
        <w:t>PEZ</w:t>
      </w:r>
      <w:r w:rsidRPr="0092047B">
        <w:rPr>
          <w:rFonts w:asciiTheme="minorHAnsi" w:eastAsiaTheme="minorEastAsia" w:hAnsiTheme="minorHAnsi" w:cstheme="minorHAnsi"/>
          <w:iCs/>
          <w:sz w:val="24"/>
          <w:szCs w:val="24"/>
        </w:rPr>
        <w:tab/>
        <w:t>relativní výše pohotovostní zásoby PEZ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Im</w:t>
      </w:r>
      <w:r w:rsidRPr="0092047B">
        <w:rPr>
          <w:rFonts w:asciiTheme="minorHAnsi" w:eastAsiaTheme="minorEastAsia" w:hAnsiTheme="minorHAnsi" w:cstheme="minorHAnsi"/>
          <w:i/>
          <w:iCs/>
          <w:sz w:val="24"/>
          <w:szCs w:val="24"/>
          <w:vertAlign w:val="subscript"/>
        </w:rPr>
        <w:t>KP</w:t>
      </w:r>
      <w:r w:rsidRPr="0092047B">
        <w:rPr>
          <w:rFonts w:asciiTheme="minorHAnsi" w:eastAsiaTheme="minorEastAsia" w:hAnsiTheme="minorHAnsi" w:cstheme="minorHAnsi"/>
          <w:iCs/>
          <w:sz w:val="24"/>
          <w:szCs w:val="24"/>
        </w:rPr>
        <w:tab/>
        <w:t>dovoz PEZ z kapalných paliv zahrnující ropu a ropné produkty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Ex</w:t>
      </w:r>
      <w:r w:rsidRPr="0092047B">
        <w:rPr>
          <w:rFonts w:asciiTheme="minorHAnsi" w:eastAsiaTheme="minorEastAsia" w:hAnsiTheme="minorHAnsi" w:cstheme="minorHAnsi"/>
          <w:i/>
          <w:iCs/>
          <w:sz w:val="24"/>
          <w:szCs w:val="24"/>
          <w:vertAlign w:val="subscript"/>
        </w:rPr>
        <w:t>KP</w:t>
      </w:r>
      <w:r w:rsidRPr="0092047B">
        <w:rPr>
          <w:rFonts w:asciiTheme="minorHAnsi" w:eastAsiaTheme="minorEastAsia" w:hAnsiTheme="minorHAnsi" w:cstheme="minorHAnsi"/>
          <w:iCs/>
          <w:sz w:val="24"/>
          <w:szCs w:val="24"/>
        </w:rPr>
        <w:tab/>
        <w:t>vývoz PEZ z kapalných paliv zahrnující ropu a ropné produkty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k</w:t>
      </w:r>
      <w:r w:rsidRPr="0092047B">
        <w:rPr>
          <w:rFonts w:asciiTheme="minorHAnsi" w:eastAsiaTheme="minorEastAsia" w:hAnsiTheme="minorHAnsi" w:cstheme="minorHAnsi"/>
          <w:i/>
          <w:iCs/>
          <w:sz w:val="24"/>
          <w:szCs w:val="24"/>
          <w:vertAlign w:val="subscript"/>
        </w:rPr>
        <w:t>KP</w:t>
      </w:r>
      <w:r w:rsidRPr="0092047B">
        <w:rPr>
          <w:rFonts w:asciiTheme="minorHAnsi" w:eastAsiaTheme="minorEastAsia" w:hAnsiTheme="minorHAnsi" w:cstheme="minorHAnsi"/>
          <w:iCs/>
          <w:sz w:val="24"/>
          <w:szCs w:val="24"/>
        </w:rPr>
        <w:tab/>
        <w:t>koeficient podílu zásob PEZ z kapalných paliv na čistém dovozu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PEZ</w:t>
      </w:r>
      <w:r w:rsidRPr="0092047B">
        <w:rPr>
          <w:rFonts w:asciiTheme="minorHAnsi" w:eastAsiaTheme="minorEastAsia" w:hAnsiTheme="minorHAnsi" w:cstheme="minorHAnsi"/>
          <w:i/>
          <w:iCs/>
          <w:sz w:val="24"/>
          <w:szCs w:val="24"/>
          <w:vertAlign w:val="subscript"/>
        </w:rPr>
        <w:t>ZP</w:t>
      </w:r>
      <w:r w:rsidRPr="0092047B">
        <w:rPr>
          <w:rFonts w:asciiTheme="minorHAnsi" w:eastAsiaTheme="minorEastAsia" w:hAnsiTheme="minorHAnsi" w:cstheme="minorHAnsi"/>
          <w:iCs/>
          <w:sz w:val="24"/>
          <w:szCs w:val="24"/>
        </w:rPr>
        <w:tab/>
        <w:t>spotřeba PEZ ze zemního plynu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k</w:t>
      </w:r>
      <w:r w:rsidRPr="0092047B">
        <w:rPr>
          <w:rFonts w:asciiTheme="minorHAnsi" w:eastAsiaTheme="minorEastAsia" w:hAnsiTheme="minorHAnsi" w:cstheme="minorHAnsi"/>
          <w:i/>
          <w:iCs/>
          <w:sz w:val="24"/>
          <w:szCs w:val="24"/>
          <w:vertAlign w:val="subscript"/>
        </w:rPr>
        <w:t>ZP</w:t>
      </w:r>
      <w:r w:rsidRPr="0092047B">
        <w:rPr>
          <w:rFonts w:asciiTheme="minorHAnsi" w:eastAsiaTheme="minorEastAsia" w:hAnsiTheme="minorHAnsi" w:cstheme="minorHAnsi"/>
          <w:iCs/>
          <w:sz w:val="24"/>
          <w:szCs w:val="24"/>
        </w:rPr>
        <w:tab/>
        <w:t>koeficient podílu zásob PEZ ze zemního plynu na tuzemské spotřebě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PEZ</w:t>
      </w:r>
      <w:r w:rsidRPr="0092047B">
        <w:rPr>
          <w:rFonts w:asciiTheme="minorHAnsi" w:eastAsiaTheme="minorEastAsia" w:hAnsiTheme="minorHAnsi" w:cstheme="minorHAnsi"/>
          <w:i/>
          <w:iCs/>
          <w:sz w:val="24"/>
          <w:szCs w:val="24"/>
          <w:vertAlign w:val="subscript"/>
        </w:rPr>
        <w:t>TP</w:t>
      </w:r>
      <w:r w:rsidRPr="0092047B">
        <w:rPr>
          <w:rFonts w:asciiTheme="minorHAnsi" w:eastAsiaTheme="minorEastAsia" w:hAnsiTheme="minorHAnsi" w:cstheme="minorHAnsi"/>
          <w:iCs/>
          <w:sz w:val="24"/>
          <w:szCs w:val="24"/>
        </w:rPr>
        <w:tab/>
        <w:t>spotřeba PEZ z tuhých paliv zahrnujících uhlí a uhelné deriváty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k</w:t>
      </w:r>
      <w:r w:rsidRPr="0092047B">
        <w:rPr>
          <w:rFonts w:asciiTheme="minorHAnsi" w:eastAsiaTheme="minorEastAsia" w:hAnsiTheme="minorHAnsi" w:cstheme="minorHAnsi"/>
          <w:i/>
          <w:iCs/>
          <w:sz w:val="24"/>
          <w:szCs w:val="24"/>
          <w:vertAlign w:val="subscript"/>
        </w:rPr>
        <w:t>TP</w:t>
      </w:r>
      <w:r w:rsidRPr="0092047B">
        <w:rPr>
          <w:rFonts w:asciiTheme="minorHAnsi" w:eastAsiaTheme="minorEastAsia" w:hAnsiTheme="minorHAnsi" w:cstheme="minorHAnsi"/>
          <w:iCs/>
          <w:sz w:val="24"/>
          <w:szCs w:val="24"/>
        </w:rPr>
        <w:tab/>
        <w:t>koeficient podílu zásob PEZ z tuhých paliv na spotřebě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PEZ</w:t>
      </w:r>
      <w:r w:rsidRPr="0092047B">
        <w:rPr>
          <w:rFonts w:asciiTheme="minorHAnsi" w:eastAsiaTheme="minorEastAsia" w:hAnsiTheme="minorHAnsi" w:cstheme="minorHAnsi"/>
          <w:i/>
          <w:iCs/>
          <w:sz w:val="24"/>
          <w:szCs w:val="24"/>
          <w:vertAlign w:val="subscript"/>
        </w:rPr>
        <w:t>JP</w:t>
      </w:r>
      <w:r w:rsidRPr="0092047B">
        <w:rPr>
          <w:rFonts w:asciiTheme="minorHAnsi" w:eastAsiaTheme="minorEastAsia" w:hAnsiTheme="minorHAnsi" w:cstheme="minorHAnsi"/>
          <w:iCs/>
          <w:sz w:val="24"/>
          <w:szCs w:val="24"/>
        </w:rPr>
        <w:tab/>
        <w:t>spotřeba PEZ z jaderného paliva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k</w:t>
      </w:r>
      <w:r w:rsidRPr="0092047B">
        <w:rPr>
          <w:rFonts w:asciiTheme="minorHAnsi" w:eastAsiaTheme="minorEastAsia" w:hAnsiTheme="minorHAnsi" w:cstheme="minorHAnsi"/>
          <w:i/>
          <w:iCs/>
          <w:sz w:val="24"/>
          <w:szCs w:val="24"/>
          <w:vertAlign w:val="subscript"/>
        </w:rPr>
        <w:t>JP</w:t>
      </w:r>
      <w:r w:rsidRPr="0092047B">
        <w:rPr>
          <w:rFonts w:asciiTheme="minorHAnsi" w:eastAsiaTheme="minorEastAsia" w:hAnsiTheme="minorHAnsi" w:cstheme="minorHAnsi"/>
          <w:iCs/>
          <w:sz w:val="24"/>
          <w:szCs w:val="24"/>
        </w:rPr>
        <w:tab/>
        <w:t>koeficient podílu zásob PEZ z jaderného paliva na spotřebě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PEZ</w:t>
      </w:r>
      <w:r w:rsidRPr="0092047B">
        <w:rPr>
          <w:rFonts w:asciiTheme="minorHAnsi" w:eastAsiaTheme="minorEastAsia" w:hAnsiTheme="minorHAnsi" w:cstheme="minorHAnsi"/>
          <w:i/>
          <w:iCs/>
          <w:sz w:val="24"/>
          <w:szCs w:val="24"/>
          <w:vertAlign w:val="subscript"/>
        </w:rPr>
        <w:t>iOZE</w:t>
      </w:r>
      <w:r w:rsidRPr="0092047B">
        <w:rPr>
          <w:rFonts w:asciiTheme="minorHAnsi" w:eastAsiaTheme="minorEastAsia" w:hAnsiTheme="minorHAnsi" w:cstheme="minorHAnsi"/>
          <w:iCs/>
          <w:sz w:val="24"/>
          <w:szCs w:val="24"/>
        </w:rPr>
        <w:tab/>
        <w:t>spotřeba PEZ z intermitentních obnovitelných zdrojů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k</w:t>
      </w:r>
      <w:r w:rsidRPr="0092047B">
        <w:rPr>
          <w:rFonts w:asciiTheme="minorHAnsi" w:eastAsiaTheme="minorEastAsia" w:hAnsiTheme="minorHAnsi" w:cstheme="minorHAnsi"/>
          <w:i/>
          <w:iCs/>
          <w:sz w:val="24"/>
          <w:szCs w:val="24"/>
          <w:vertAlign w:val="subscript"/>
        </w:rPr>
        <w:t>iOZE</w:t>
      </w:r>
      <w:r w:rsidRPr="0092047B">
        <w:rPr>
          <w:rFonts w:asciiTheme="minorHAnsi" w:eastAsiaTheme="minorEastAsia" w:hAnsiTheme="minorHAnsi" w:cstheme="minorHAnsi"/>
          <w:iCs/>
          <w:sz w:val="24"/>
          <w:szCs w:val="24"/>
        </w:rPr>
        <w:tab/>
        <w:t>koeficient podílu zásob PEZ z intermitentních OZE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PEZ</w:t>
      </w:r>
      <w:r w:rsidRPr="0092047B">
        <w:rPr>
          <w:rFonts w:asciiTheme="minorHAnsi" w:eastAsiaTheme="minorEastAsia" w:hAnsiTheme="minorHAnsi" w:cstheme="minorHAnsi"/>
          <w:i/>
          <w:iCs/>
          <w:sz w:val="24"/>
          <w:szCs w:val="24"/>
          <w:vertAlign w:val="subscript"/>
        </w:rPr>
        <w:t>nOZE</w:t>
      </w:r>
      <w:r w:rsidRPr="0092047B">
        <w:rPr>
          <w:rFonts w:asciiTheme="minorHAnsi" w:eastAsiaTheme="minorEastAsia" w:hAnsiTheme="minorHAnsi" w:cstheme="minorHAnsi"/>
          <w:iCs/>
          <w:sz w:val="24"/>
          <w:szCs w:val="24"/>
        </w:rPr>
        <w:tab/>
        <w:t>spotřeba PEZ z neintermitentních obnovitelných zdrojů [PJ]</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k</w:t>
      </w:r>
      <w:r w:rsidRPr="0092047B">
        <w:rPr>
          <w:rFonts w:asciiTheme="minorHAnsi" w:eastAsiaTheme="minorEastAsia" w:hAnsiTheme="minorHAnsi" w:cstheme="minorHAnsi"/>
          <w:i/>
          <w:iCs/>
          <w:sz w:val="24"/>
          <w:szCs w:val="24"/>
          <w:vertAlign w:val="subscript"/>
        </w:rPr>
        <w:t>nOZE</w:t>
      </w:r>
      <w:r w:rsidRPr="0092047B">
        <w:rPr>
          <w:rFonts w:asciiTheme="minorHAnsi" w:eastAsiaTheme="minorEastAsia" w:hAnsiTheme="minorHAnsi" w:cstheme="minorHAnsi"/>
          <w:iCs/>
          <w:sz w:val="24"/>
          <w:szCs w:val="24"/>
        </w:rPr>
        <w:tab/>
        <w:t>koeficient podílu zásob PEZ z neintermitentních OZE [-]</w:t>
      </w:r>
    </w:p>
    <w:p w:rsidR="007D2C62" w:rsidRPr="0092047B" w:rsidRDefault="007D2C62" w:rsidP="00184DC1">
      <w:pPr>
        <w:pStyle w:val="Odstavecseseznamem"/>
        <w:spacing w:after="120" w:line="240" w:lineRule="auto"/>
        <w:ind w:left="1276"/>
        <w:rPr>
          <w:rFonts w:asciiTheme="minorHAnsi" w:eastAsiaTheme="minorEastAsia" w:hAnsiTheme="minorHAnsi" w:cstheme="minorHAnsi"/>
          <w:iCs/>
          <w:sz w:val="24"/>
          <w:szCs w:val="24"/>
        </w:rPr>
      </w:pPr>
      <w:r w:rsidRPr="0092047B">
        <w:rPr>
          <w:rFonts w:asciiTheme="minorHAnsi" w:eastAsiaTheme="minorEastAsia" w:hAnsiTheme="minorHAnsi" w:cstheme="minorHAnsi"/>
          <w:i/>
          <w:iCs/>
          <w:sz w:val="24"/>
          <w:szCs w:val="24"/>
        </w:rPr>
        <w:t>PEZ</w:t>
      </w:r>
      <w:r w:rsidRPr="0092047B">
        <w:rPr>
          <w:rFonts w:asciiTheme="minorHAnsi" w:eastAsiaTheme="minorEastAsia" w:hAnsiTheme="minorHAnsi" w:cstheme="minorHAnsi"/>
          <w:iCs/>
          <w:sz w:val="24"/>
          <w:szCs w:val="24"/>
        </w:rPr>
        <w:tab/>
        <w:t>celková spotřeba PEZ [PJ]</w:t>
      </w:r>
    </w:p>
    <w:p w:rsidR="007D2C62" w:rsidRPr="0092047B" w:rsidRDefault="007D2C62" w:rsidP="00184DC1">
      <w:pPr>
        <w:pStyle w:val="Odstavecseseznamem"/>
        <w:spacing w:before="120" w:after="120" w:line="240" w:lineRule="auto"/>
        <w:rPr>
          <w:rFonts w:asciiTheme="minorHAnsi" w:eastAsiaTheme="minorEastAsia" w:hAnsiTheme="minorHAnsi" w:cstheme="minorHAnsi"/>
          <w:iCs/>
          <w:sz w:val="24"/>
          <w:szCs w:val="24"/>
        </w:rPr>
      </w:pPr>
      <w:r w:rsidRPr="0092047B">
        <w:rPr>
          <w:rFonts w:asciiTheme="minorHAnsi" w:eastAsiaTheme="minorEastAsia" w:hAnsiTheme="minorHAnsi" w:cstheme="minorHAnsi"/>
          <w:iCs/>
          <w:sz w:val="24"/>
          <w:szCs w:val="24"/>
        </w:rPr>
        <w:t xml:space="preserve">Intermitentní zdroje jsou </w:t>
      </w:r>
      <w:r w:rsidRPr="0092047B">
        <w:rPr>
          <w:rFonts w:asciiTheme="minorHAnsi" w:hAnsiTheme="minorHAnsi" w:cstheme="minorHAnsi"/>
          <w:sz w:val="24"/>
          <w:szCs w:val="24"/>
        </w:rPr>
        <w:t>zdroje s výrazně proměnlivou dodávkou energie závislou na okamžitých přírodních podmínkách, v případě OZE zejména zdroje využívající přímou přeměnu energie větru a slunečního záření na energii elektrickou.</w:t>
      </w:r>
      <w:r w:rsidRPr="0092047B">
        <w:rPr>
          <w:rFonts w:asciiTheme="minorHAnsi" w:eastAsiaTheme="minorEastAsia" w:hAnsiTheme="minorHAnsi" w:cstheme="minorHAnsi"/>
          <w:iCs/>
          <w:sz w:val="24"/>
          <w:szCs w:val="24"/>
        </w:rPr>
        <w:t xml:space="preserve"> Neintermitentní zdroje jsou zdroje se stabilní dodávkou energie nezávislou na okamžitých přírodních podmínkách,</w:t>
      </w:r>
      <w:r w:rsidRPr="0092047B">
        <w:rPr>
          <w:rFonts w:asciiTheme="minorHAnsi" w:hAnsiTheme="minorHAnsi" w:cstheme="minorHAnsi"/>
          <w:sz w:val="24"/>
          <w:szCs w:val="24"/>
        </w:rPr>
        <w:t xml:space="preserve"> v případě OZE zejména zdroje</w:t>
      </w:r>
      <w:r w:rsidRPr="0092047B">
        <w:rPr>
          <w:rFonts w:asciiTheme="minorHAnsi" w:eastAsiaTheme="minorEastAsia" w:hAnsiTheme="minorHAnsi" w:cstheme="minorHAnsi"/>
          <w:iCs/>
          <w:sz w:val="24"/>
          <w:szCs w:val="24"/>
        </w:rPr>
        <w:t xml:space="preserve"> využívající biomasu, bioplyn a biologicky rozložitelnou část komunálního odpadu.</w:t>
      </w:r>
    </w:p>
    <w:p w:rsidR="00A71607" w:rsidRPr="0092047B" w:rsidRDefault="007D2C62" w:rsidP="00184DC1">
      <w:pPr>
        <w:pStyle w:val="Odstavecseseznamem"/>
        <w:spacing w:after="120" w:line="240" w:lineRule="auto"/>
        <w:rPr>
          <w:rFonts w:asciiTheme="minorHAnsi" w:eastAsiaTheme="minorEastAsia" w:hAnsiTheme="minorHAnsi" w:cstheme="minorHAnsi"/>
          <w:iCs/>
          <w:sz w:val="24"/>
          <w:szCs w:val="24"/>
        </w:rPr>
      </w:pPr>
      <w:r w:rsidRPr="0092047B">
        <w:rPr>
          <w:rFonts w:asciiTheme="minorHAnsi" w:eastAsiaTheme="minorEastAsia" w:hAnsiTheme="minorHAnsi" w:cstheme="minorHAnsi"/>
          <w:iCs/>
          <w:sz w:val="24"/>
          <w:szCs w:val="24"/>
        </w:rPr>
        <w:t xml:space="preserve">Zdrojem vstupních dat pro výpočet tohoto ukazatele jsou statistiky a budoucí výhledy zpracovávané na Ministerstvu průmyslu a obchodu (MPO) podle </w:t>
      </w:r>
      <w:r w:rsidR="002F5DFF">
        <w:rPr>
          <w:rFonts w:asciiTheme="minorHAnsi" w:eastAsiaTheme="minorEastAsia" w:hAnsiTheme="minorHAnsi" w:cstheme="minorHAnsi"/>
          <w:iCs/>
          <w:sz w:val="24"/>
          <w:szCs w:val="24"/>
        </w:rPr>
        <w:t xml:space="preserve">vlastní </w:t>
      </w:r>
      <w:r w:rsidR="00127C2D">
        <w:rPr>
          <w:rFonts w:asciiTheme="minorHAnsi" w:eastAsiaTheme="minorEastAsia" w:hAnsiTheme="minorHAnsi" w:cstheme="minorHAnsi"/>
          <w:iCs/>
          <w:sz w:val="24"/>
          <w:szCs w:val="24"/>
        </w:rPr>
        <w:t>metodiky</w:t>
      </w:r>
      <w:r w:rsidRPr="0092047B">
        <w:rPr>
          <w:rFonts w:asciiTheme="minorHAnsi" w:eastAsiaTheme="minorEastAsia" w:hAnsiTheme="minorHAnsi" w:cstheme="minorHAnsi"/>
          <w:iCs/>
          <w:sz w:val="24"/>
          <w:szCs w:val="24"/>
        </w:rPr>
        <w:t>.</w:t>
      </w:r>
      <w:r w:rsidR="005E2A88" w:rsidRPr="0092047B">
        <w:rPr>
          <w:rFonts w:asciiTheme="minorHAnsi" w:eastAsiaTheme="minorEastAsia" w:hAnsiTheme="minorHAnsi" w:cstheme="minorHAnsi"/>
          <w:iCs/>
          <w:sz w:val="24"/>
          <w:szCs w:val="24"/>
        </w:rPr>
        <w:t xml:space="preserve"> </w:t>
      </w:r>
      <w:r w:rsidR="00A71607" w:rsidRPr="0092047B">
        <w:rPr>
          <w:rFonts w:asciiTheme="minorHAnsi" w:eastAsiaTheme="minorEastAsia" w:hAnsiTheme="minorHAnsi" w:cstheme="minorHAnsi"/>
          <w:iCs/>
          <w:sz w:val="24"/>
          <w:szCs w:val="24"/>
        </w:rPr>
        <w:t>Cílem pro zajištění energetické bezpečnosti ČR je udržení či zvýšení těchto pohotovostních rezerv</w:t>
      </w:r>
      <w:r w:rsidR="00BD35CF" w:rsidRPr="0092047B">
        <w:rPr>
          <w:rFonts w:asciiTheme="minorHAnsi" w:eastAsiaTheme="minorEastAsia" w:hAnsiTheme="minorHAnsi" w:cstheme="minorHAnsi"/>
          <w:iCs/>
          <w:sz w:val="24"/>
          <w:szCs w:val="24"/>
        </w:rPr>
        <w:t>.</w:t>
      </w:r>
    </w:p>
    <w:p w:rsidR="007D2C62" w:rsidRPr="0092047B" w:rsidRDefault="007D2C62" w:rsidP="00184DC1">
      <w:pPr>
        <w:pStyle w:val="Odstavecseseznamem"/>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Diverzifikace primárních energetických zdrojů:</w:t>
      </w:r>
    </w:p>
    <w:p w:rsidR="007D2C62" w:rsidRPr="0092047B" w:rsidRDefault="007D2C62" w:rsidP="00184DC1">
      <w:pPr>
        <w:spacing w:after="120"/>
        <w:ind w:left="567"/>
        <w:rPr>
          <w:rFonts w:cstheme="minorHAnsi"/>
        </w:rPr>
      </w:pPr>
      <w:r w:rsidRPr="0092047B">
        <w:rPr>
          <w:rFonts w:cstheme="minorHAnsi"/>
        </w:rPr>
        <w:t>Diverzifikace primárních energetických zdrojů v daném roce je stanovena jako součet druhých mocnin podílů dílčích druhů PEZ</w:t>
      </w:r>
      <w:r w:rsidR="00ED34C2" w:rsidRPr="0092047B">
        <w:rPr>
          <w:rFonts w:cstheme="minorHAnsi"/>
        </w:rPr>
        <w:t>, přičemž je uvažováno rozdělení do pěti kategorií (</w:t>
      </w:r>
      <w:r w:rsidR="00ED34C2" w:rsidRPr="0092047B">
        <w:t>plynná paliva, kapalná paliva, tuhá paliva, jaderné palivo, OZE),</w:t>
      </w:r>
      <w:r w:rsidRPr="0092047B">
        <w:rPr>
          <w:rFonts w:cstheme="minorHAnsi"/>
        </w:rPr>
        <w:t xml:space="preserve"> a celkové</w:t>
      </w:r>
      <w:r w:rsidR="00ED34C2" w:rsidRPr="0092047B">
        <w:rPr>
          <w:rFonts w:cstheme="minorHAnsi"/>
        </w:rPr>
        <w:t xml:space="preserve"> roční spotřeby</w:t>
      </w:r>
      <w:r w:rsidRPr="0092047B">
        <w:rPr>
          <w:rFonts w:cstheme="minorHAnsi"/>
        </w:rPr>
        <w:t xml:space="preserve"> PEZ v odpovídajícím roce na bázi Herfindahl-Hirschmanova Indexu</w:t>
      </w:r>
      <w:r w:rsidRPr="0092047B">
        <w:rPr>
          <w:rStyle w:val="Znakapoznpodarou"/>
          <w:rFonts w:cstheme="minorHAnsi"/>
        </w:rPr>
        <w:footnoteReference w:id="15"/>
      </w:r>
      <w:r w:rsidRPr="0092047B">
        <w:rPr>
          <w:rFonts w:cstheme="minorHAnsi"/>
        </w:rPr>
        <w:t xml:space="preserve"> následujícím způsobem:</w:t>
      </w:r>
    </w:p>
    <w:p w:rsidR="007D2C62" w:rsidRPr="0092047B" w:rsidRDefault="00D76A86" w:rsidP="00184DC1">
      <w:pPr>
        <w:spacing w:before="240" w:after="120"/>
        <w:ind w:left="1276"/>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PEZ</m:t>
              </m:r>
            </m:sub>
          </m:sSub>
          <m:r>
            <w:rPr>
              <w:rFonts w:ascii="Cambria Math" w:hAnsi="Cambria Math" w:cstheme="minorHAnsi"/>
            </w:rPr>
            <m:t>=</m:t>
          </m:r>
          <m:nary>
            <m:naryPr>
              <m:chr m:val="∑"/>
              <m:limLoc m:val="undOvr"/>
              <m:ctrlPr>
                <w:rPr>
                  <w:rFonts w:ascii="Cambria Math" w:hAnsi="Cambria Math" w:cstheme="minorHAnsi"/>
                  <w:i/>
                  <w:iCs/>
                </w:rPr>
              </m:ctrlPr>
            </m:naryPr>
            <m:sub>
              <m:r>
                <w:rPr>
                  <w:rFonts w:ascii="Cambria Math" w:hAnsi="Cambria Math" w:cstheme="minorHAnsi"/>
                </w:rPr>
                <m:t>i=1</m:t>
              </m:r>
            </m:sub>
            <m:sup>
              <m:r>
                <w:rPr>
                  <w:rFonts w:ascii="Cambria Math" w:hAnsi="Cambria Math" w:cstheme="minorHAnsi"/>
                </w:rPr>
                <m:t>N</m:t>
              </m:r>
            </m:sup>
            <m:e>
              <m:sSup>
                <m:sSupPr>
                  <m:ctrlPr>
                    <w:rPr>
                      <w:rFonts w:ascii="Cambria Math" w:hAnsi="Cambria Math" w:cstheme="minorHAnsi"/>
                      <w:i/>
                      <w:iCs/>
                    </w:rPr>
                  </m:ctrlPr>
                </m:sSupPr>
                <m:e>
                  <m:d>
                    <m:dPr>
                      <m:ctrlPr>
                        <w:rPr>
                          <w:rFonts w:ascii="Cambria Math" w:hAnsi="Cambria Math" w:cstheme="minorHAnsi"/>
                          <w:i/>
                          <w:iCs/>
                        </w:rPr>
                      </m:ctrlPr>
                    </m:dPr>
                    <m:e>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PEZ</m:t>
                              </m:r>
                            </m:e>
                            <m:sub>
                              <m:r>
                                <w:rPr>
                                  <w:rFonts w:ascii="Cambria Math" w:hAnsi="Cambria Math" w:cstheme="minorHAnsi"/>
                                </w:rPr>
                                <m:t>i</m:t>
                              </m:r>
                            </m:sub>
                          </m:sSub>
                        </m:num>
                        <m:den>
                          <m:r>
                            <w:rPr>
                              <w:rFonts w:ascii="Cambria Math" w:hAnsi="Cambria Math" w:cstheme="minorHAnsi"/>
                            </w:rPr>
                            <m:t>PEZ</m:t>
                          </m:r>
                        </m:den>
                      </m:f>
                    </m:e>
                  </m:d>
                </m:e>
                <m:sup>
                  <m:r>
                    <w:rPr>
                      <w:rFonts w:ascii="Cambria Math" w:hAnsi="Cambria Math" w:cstheme="minorHAnsi"/>
                    </w:rPr>
                    <m:t>2</m:t>
                  </m:r>
                </m:sup>
              </m:sSup>
            </m:e>
          </m:nary>
        </m:oMath>
      </m:oMathPara>
    </w:p>
    <w:p w:rsidR="007D2C62" w:rsidRPr="0092047B" w:rsidRDefault="007D2C62" w:rsidP="00184DC1">
      <w:pPr>
        <w:keepNext/>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H</w:t>
      </w:r>
      <w:r w:rsidRPr="0092047B">
        <w:rPr>
          <w:rFonts w:eastAsiaTheme="minorEastAsia" w:cstheme="minorHAnsi"/>
          <w:i/>
          <w:iCs/>
          <w:color w:val="000000" w:themeColor="text1"/>
          <w:szCs w:val="22"/>
          <w:vertAlign w:val="subscript"/>
        </w:rPr>
        <w:t>PEZ</w:t>
      </w:r>
      <w:r w:rsidRPr="0092047B">
        <w:rPr>
          <w:rFonts w:eastAsiaTheme="minorEastAsia" w:cstheme="minorHAnsi"/>
          <w:iCs/>
          <w:color w:val="000000" w:themeColor="text1"/>
          <w:szCs w:val="22"/>
        </w:rPr>
        <w:tab/>
        <w:t>diverzifikace primárních energetických zdrojů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PEZ</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r>
      <w:r w:rsidR="007C59ED" w:rsidRPr="0092047B">
        <w:rPr>
          <w:rFonts w:eastAsiaTheme="minorEastAsia" w:cstheme="minorHAnsi"/>
          <w:iCs/>
          <w:color w:val="000000" w:themeColor="text1"/>
          <w:szCs w:val="22"/>
        </w:rPr>
        <w:t>spotřeba</w:t>
      </w:r>
      <w:r w:rsidRPr="0092047B">
        <w:rPr>
          <w:rFonts w:eastAsiaTheme="minorEastAsia" w:cstheme="minorHAnsi"/>
          <w:iCs/>
          <w:color w:val="000000" w:themeColor="text1"/>
          <w:szCs w:val="22"/>
        </w:rPr>
        <w:t xml:space="preserve"> dílčího druhu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PEZ</w:t>
      </w:r>
      <w:r w:rsidRPr="0092047B">
        <w:rPr>
          <w:rFonts w:eastAsiaTheme="minorEastAsia" w:cstheme="minorHAnsi"/>
          <w:iCs/>
          <w:color w:val="000000" w:themeColor="text1"/>
          <w:szCs w:val="22"/>
        </w:rPr>
        <w:tab/>
        <w:t>celková spotřeba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w:t>
      </w:r>
      <w:r w:rsidRPr="0092047B">
        <w:rPr>
          <w:rFonts w:eastAsiaTheme="minorEastAsia" w:cstheme="minorHAnsi"/>
          <w:iCs/>
          <w:color w:val="000000" w:themeColor="text1"/>
          <w:szCs w:val="22"/>
        </w:rPr>
        <w:tab/>
        <w:t>počet dílčích druhů PEZ [-]</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a budoucí výhledy zpracovávané na </w:t>
      </w:r>
      <w:r w:rsidR="001E2173">
        <w:rPr>
          <w:rFonts w:eastAsiaTheme="minorEastAsia" w:cstheme="minorHAnsi"/>
          <w:iCs/>
          <w:szCs w:val="22"/>
        </w:rPr>
        <w:t>MPO</w:t>
      </w:r>
      <w:r w:rsidRPr="0092047B">
        <w:rPr>
          <w:rFonts w:eastAsiaTheme="minorEastAsia" w:cstheme="minorHAnsi"/>
          <w:iCs/>
          <w:szCs w:val="22"/>
        </w:rPr>
        <w:t xml:space="preserve"> podle </w:t>
      </w:r>
      <w:r w:rsidR="002F5DFF">
        <w:rPr>
          <w:rFonts w:eastAsiaTheme="minorEastAsia" w:cstheme="minorHAnsi"/>
          <w:iCs/>
          <w:szCs w:val="22"/>
        </w:rPr>
        <w:t xml:space="preserve">vlastní </w:t>
      </w:r>
      <w:r w:rsidR="00127C2D">
        <w:rPr>
          <w:rFonts w:eastAsiaTheme="minorEastAsia" w:cstheme="minorHAnsi"/>
          <w:iCs/>
          <w:szCs w:val="22"/>
        </w:rPr>
        <w:t>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7C59ED" w:rsidRPr="0092047B">
        <w:rPr>
          <w:rFonts w:eastAsiaTheme="minorEastAsia" w:cstheme="minorHAnsi"/>
          <w:iCs/>
          <w:szCs w:val="22"/>
        </w:rPr>
        <w:t xml:space="preserve">Pro výpočet z uvažovaných pěti kategorií PEZ nabývá ukazatel hodnoty v intervalu </w:t>
      </w:r>
      <w:r w:rsidR="007C59ED" w:rsidRPr="0092047B">
        <w:t>&lt;1/5</w:t>
      </w:r>
      <w:r w:rsidR="009A45F8" w:rsidRPr="0092047B">
        <w:t>;</w:t>
      </w:r>
      <w:r w:rsidR="007C59ED" w:rsidRPr="0092047B">
        <w:t xml:space="preserve">1&gt;. </w:t>
      </w:r>
      <w:r w:rsidR="00A71607" w:rsidRPr="0092047B">
        <w:rPr>
          <w:rFonts w:eastAsiaTheme="minorEastAsia" w:cstheme="minorHAnsi"/>
          <w:iCs/>
          <w:szCs w:val="22"/>
        </w:rPr>
        <w:t>Cílem je dosáhnout snížení indikátoru a jeho dlouhodobé udržení pod hodnotou 0,25.</w:t>
      </w:r>
    </w:p>
    <w:p w:rsidR="007D2C62" w:rsidRPr="0092047B" w:rsidRDefault="007D2C62" w:rsidP="00184DC1">
      <w:pPr>
        <w:pStyle w:val="Odstavecseseznamem"/>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Diverzifikace hrubé výroby elektřiny:</w:t>
      </w:r>
    </w:p>
    <w:p w:rsidR="007D2C62" w:rsidRPr="0092047B" w:rsidRDefault="007D2C62" w:rsidP="00184DC1">
      <w:pPr>
        <w:spacing w:after="120"/>
        <w:ind w:left="567"/>
        <w:rPr>
          <w:rFonts w:cstheme="minorHAnsi"/>
        </w:rPr>
      </w:pPr>
      <w:r w:rsidRPr="0092047B">
        <w:rPr>
          <w:rFonts w:cstheme="minorHAnsi"/>
        </w:rPr>
        <w:t>Diverzifikace hrubé výroby elektřiny v daném roce je stanovena jako součet druhých mocnin podílů výroby elektřiny z dílčích druhů PEZ</w:t>
      </w:r>
      <w:r w:rsidR="00ED34C2" w:rsidRPr="0092047B">
        <w:rPr>
          <w:rFonts w:cstheme="minorHAnsi"/>
        </w:rPr>
        <w:t>, přičemž je uvažováno rozdělení do sedmi kategorií (</w:t>
      </w:r>
      <w:r w:rsidR="00ED34C2" w:rsidRPr="0092047B">
        <w:t>černé uhlí, hnědé uhlí, zemní plyn, ostatní plyny, obnovitelné a druhotné zdroje, jaderné palivo, ostatní paliva</w:t>
      </w:r>
      <w:r w:rsidR="00ED34C2" w:rsidRPr="0092047B">
        <w:rPr>
          <w:rFonts w:cstheme="minorHAnsi"/>
        </w:rPr>
        <w:t>),</w:t>
      </w:r>
      <w:r w:rsidRPr="0092047B">
        <w:rPr>
          <w:rFonts w:cstheme="minorHAnsi"/>
        </w:rPr>
        <w:t xml:space="preserve"> a celkové hodnoty hrubé výroby elektřiny v odpovídajícím roce na bázi Herfindahl-Hirschmanova Indexu takto:</w:t>
      </w:r>
    </w:p>
    <w:p w:rsidR="007D2C62" w:rsidRPr="0092047B" w:rsidRDefault="00D76A86" w:rsidP="00184DC1">
      <w:pPr>
        <w:spacing w:before="240" w:after="120"/>
        <w:ind w:left="1276"/>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E</m:t>
              </m:r>
            </m:sub>
          </m:sSub>
          <m:r>
            <w:rPr>
              <w:rFonts w:ascii="Cambria Math" w:hAnsi="Cambria Math" w:cstheme="minorHAnsi"/>
            </w:rPr>
            <m:t>=</m:t>
          </m:r>
          <m:nary>
            <m:naryPr>
              <m:chr m:val="∑"/>
              <m:limLoc m:val="undOvr"/>
              <m:ctrlPr>
                <w:rPr>
                  <w:rFonts w:ascii="Cambria Math" w:hAnsi="Cambria Math" w:cstheme="minorHAnsi"/>
                  <w:i/>
                  <w:iCs/>
                </w:rPr>
              </m:ctrlPr>
            </m:naryPr>
            <m:sub>
              <m:r>
                <w:rPr>
                  <w:rFonts w:ascii="Cambria Math" w:hAnsi="Cambria Math" w:cstheme="minorHAnsi"/>
                </w:rPr>
                <m:t>i=1</m:t>
              </m:r>
            </m:sub>
            <m:sup>
              <m:r>
                <w:rPr>
                  <w:rFonts w:ascii="Cambria Math" w:hAnsi="Cambria Math" w:cstheme="minorHAnsi"/>
                </w:rPr>
                <m:t>N</m:t>
              </m:r>
            </m:sup>
            <m:e>
              <m:sSup>
                <m:sSupPr>
                  <m:ctrlPr>
                    <w:rPr>
                      <w:rFonts w:ascii="Cambria Math" w:hAnsi="Cambria Math" w:cstheme="minorHAnsi"/>
                      <w:i/>
                      <w:iCs/>
                    </w:rPr>
                  </m:ctrlPr>
                </m:sSupPr>
                <m:e>
                  <m:d>
                    <m:dPr>
                      <m:ctrlPr>
                        <w:rPr>
                          <w:rFonts w:ascii="Cambria Math" w:hAnsi="Cambria Math" w:cstheme="minorHAnsi"/>
                          <w:i/>
                          <w:iCs/>
                        </w:rPr>
                      </m:ctrlPr>
                    </m:dPr>
                    <m:e>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TBV</m:t>
                              </m:r>
                            </m:e>
                            <m:sub>
                              <m:r>
                                <w:rPr>
                                  <w:rFonts w:ascii="Cambria Math" w:hAnsi="Cambria Math" w:cstheme="minorHAnsi"/>
                                </w:rPr>
                                <m:t>i</m:t>
                              </m:r>
                            </m:sub>
                          </m:sSub>
                        </m:num>
                        <m:den>
                          <m:r>
                            <w:rPr>
                              <w:rFonts w:ascii="Cambria Math" w:hAnsi="Cambria Math" w:cstheme="minorHAnsi"/>
                            </w:rPr>
                            <m:t>TBV</m:t>
                          </m:r>
                        </m:den>
                      </m:f>
                    </m:e>
                  </m:d>
                </m:e>
                <m:sup>
                  <m:r>
                    <w:rPr>
                      <w:rFonts w:ascii="Cambria Math" w:hAnsi="Cambria Math" w:cstheme="minorHAnsi"/>
                    </w:rPr>
                    <m:t>2</m:t>
                  </m:r>
                </m:sup>
              </m:sSup>
            </m:e>
          </m:nary>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H</w:t>
      </w:r>
      <w:r w:rsidRPr="0092047B">
        <w:rPr>
          <w:rFonts w:eastAsiaTheme="minorEastAsia" w:cstheme="minorHAnsi"/>
          <w:i/>
          <w:iCs/>
          <w:color w:val="000000" w:themeColor="text1"/>
          <w:szCs w:val="22"/>
          <w:vertAlign w:val="subscript"/>
        </w:rPr>
        <w:t>E</w:t>
      </w:r>
      <w:r w:rsidRPr="0092047B">
        <w:rPr>
          <w:rFonts w:eastAsiaTheme="minorEastAsia" w:cstheme="minorHAnsi"/>
          <w:iCs/>
          <w:color w:val="000000" w:themeColor="text1"/>
          <w:szCs w:val="22"/>
        </w:rPr>
        <w:tab/>
        <w:t>diverzifikace hrubé výroby elektřiny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TBV</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t>tuzemská brutto výroba elektřiny z dílčího druhu PEZ [GWh]</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TBV</w:t>
      </w:r>
      <w:r w:rsidRPr="0092047B">
        <w:rPr>
          <w:rFonts w:eastAsiaTheme="minorEastAsia" w:cstheme="minorHAnsi"/>
          <w:iCs/>
          <w:color w:val="000000" w:themeColor="text1"/>
          <w:szCs w:val="22"/>
        </w:rPr>
        <w:tab/>
        <w:t>tuzemská brutto výroba elektřiny [GWh]</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w:t>
      </w:r>
      <w:r w:rsidRPr="0092047B">
        <w:rPr>
          <w:rFonts w:eastAsiaTheme="minorEastAsia" w:cstheme="minorHAnsi"/>
          <w:iCs/>
          <w:color w:val="000000" w:themeColor="text1"/>
          <w:szCs w:val="22"/>
        </w:rPr>
        <w:tab/>
        <w:t>počet dílčích druhů PEZ [-]</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a budoucí výhledy zpracovávané na </w:t>
      </w:r>
      <w:r w:rsidR="001E2173">
        <w:rPr>
          <w:rFonts w:eastAsiaTheme="minorEastAsia" w:cstheme="minorHAnsi"/>
          <w:iCs/>
          <w:szCs w:val="22"/>
        </w:rPr>
        <w:t>MPO</w:t>
      </w:r>
      <w:r w:rsidRPr="0092047B">
        <w:rPr>
          <w:rFonts w:eastAsiaTheme="minorEastAsia" w:cstheme="minorHAnsi"/>
          <w:iCs/>
          <w:szCs w:val="22"/>
        </w:rPr>
        <w:t xml:space="preserve"> podle </w:t>
      </w:r>
      <w:r w:rsidR="002F5DFF">
        <w:rPr>
          <w:rFonts w:eastAsiaTheme="minorEastAsia" w:cstheme="minorHAnsi"/>
          <w:iCs/>
          <w:szCs w:val="22"/>
        </w:rPr>
        <w:t>vlastní metodiky</w:t>
      </w:r>
      <w:r w:rsidRPr="0092047B">
        <w:rPr>
          <w:rFonts w:eastAsiaTheme="minorEastAsia" w:cstheme="minorHAnsi"/>
          <w:iCs/>
          <w:szCs w:val="22"/>
        </w:rPr>
        <w:t>.</w:t>
      </w:r>
      <w:r w:rsidR="005E2A88" w:rsidRPr="0092047B">
        <w:rPr>
          <w:rFonts w:eastAsiaTheme="minorEastAsia" w:cstheme="minorHAnsi"/>
          <w:iCs/>
          <w:szCs w:val="22"/>
        </w:rPr>
        <w:t xml:space="preserve"> Pro výpočet z uvažovaných sedmi kategorií PEZ nabývá ukazatel hodnoty v intervalu </w:t>
      </w:r>
      <w:r w:rsidR="005E2A88" w:rsidRPr="0092047B">
        <w:t>&lt;1/7</w:t>
      </w:r>
      <w:r w:rsidR="009A45F8" w:rsidRPr="0092047B">
        <w:t>;</w:t>
      </w:r>
      <w:r w:rsidR="005E2A88" w:rsidRPr="0092047B">
        <w:t xml:space="preserve">1&gt;. </w:t>
      </w:r>
      <w:r w:rsidR="00A71607" w:rsidRPr="0092047B">
        <w:rPr>
          <w:rFonts w:eastAsiaTheme="minorEastAsia" w:cstheme="minorHAnsi"/>
          <w:iCs/>
          <w:szCs w:val="22"/>
        </w:rPr>
        <w:t>Cílem je dosáhnout snížení indikátoru a jeho dlouhodobé udržení pod hodnotou 0,35.</w:t>
      </w:r>
    </w:p>
    <w:p w:rsidR="007D2C62" w:rsidRPr="0092047B" w:rsidRDefault="007D2C62" w:rsidP="00184DC1">
      <w:pPr>
        <w:pStyle w:val="Odstavecseseznamem"/>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Diverzifikace importu:</w:t>
      </w:r>
    </w:p>
    <w:p w:rsidR="007D2C62" w:rsidRPr="0092047B" w:rsidRDefault="007D2C62" w:rsidP="00184DC1">
      <w:pPr>
        <w:spacing w:after="120"/>
        <w:ind w:left="567"/>
        <w:rPr>
          <w:rFonts w:cstheme="minorHAnsi"/>
        </w:rPr>
      </w:pPr>
      <w:r w:rsidRPr="0092047B">
        <w:rPr>
          <w:rFonts w:cstheme="minorHAnsi"/>
        </w:rPr>
        <w:t>Diverzifikace importu v daném roce je stanovena jako součet druhých mocnin podílů dovozu dílčích druhů PEZ</w:t>
      </w:r>
      <w:r w:rsidR="00ED34C2" w:rsidRPr="0092047B">
        <w:rPr>
          <w:rFonts w:cstheme="minorHAnsi"/>
        </w:rPr>
        <w:t>, přičemž je uvažováno rozdělení do čtyř kategorií (</w:t>
      </w:r>
      <w:r w:rsidR="00ED34C2" w:rsidRPr="0092047B">
        <w:t>zemní plyn, ropa a ropné produkty, uhlí a uhelné deriváty, jaderné palivo),</w:t>
      </w:r>
      <w:r w:rsidRPr="0092047B">
        <w:rPr>
          <w:rFonts w:cstheme="minorHAnsi"/>
        </w:rPr>
        <w:t xml:space="preserve"> a celkové</w:t>
      </w:r>
      <w:r w:rsidR="00ED34C2" w:rsidRPr="0092047B">
        <w:rPr>
          <w:rFonts w:cstheme="minorHAnsi"/>
        </w:rPr>
        <w:t xml:space="preserve"> roční spotřeby</w:t>
      </w:r>
      <w:r w:rsidRPr="0092047B">
        <w:rPr>
          <w:rFonts w:cstheme="minorHAnsi"/>
        </w:rPr>
        <w:t xml:space="preserve"> PEZ v odpovídajícím roce na bázi Herfindahl-Hirschmannova Indexu podle následujícího vztahu:</w:t>
      </w:r>
    </w:p>
    <w:p w:rsidR="007D2C62" w:rsidRPr="0092047B" w:rsidRDefault="00D76A86" w:rsidP="00184DC1">
      <w:pPr>
        <w:spacing w:before="240" w:after="120"/>
        <w:ind w:left="1276"/>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Im</m:t>
              </m:r>
            </m:sub>
          </m:sSub>
          <m:r>
            <w:rPr>
              <w:rFonts w:ascii="Cambria Math" w:hAnsi="Cambria Math" w:cstheme="minorHAnsi"/>
            </w:rPr>
            <m:t>=</m:t>
          </m:r>
          <m:nary>
            <m:naryPr>
              <m:chr m:val="∑"/>
              <m:limLoc m:val="undOvr"/>
              <m:ctrlPr>
                <w:rPr>
                  <w:rFonts w:ascii="Cambria Math" w:hAnsi="Cambria Math" w:cstheme="minorHAnsi"/>
                  <w:i/>
                  <w:iCs/>
                </w:rPr>
              </m:ctrlPr>
            </m:naryPr>
            <m:sub>
              <m:r>
                <w:rPr>
                  <w:rFonts w:ascii="Cambria Math" w:hAnsi="Cambria Math" w:cstheme="minorHAnsi"/>
                </w:rPr>
                <m:t>i=1</m:t>
              </m:r>
            </m:sub>
            <m:sup>
              <m:r>
                <w:rPr>
                  <w:rFonts w:ascii="Cambria Math" w:hAnsi="Cambria Math" w:cstheme="minorHAnsi"/>
                </w:rPr>
                <m:t>N</m:t>
              </m:r>
            </m:sup>
            <m:e>
              <m:sSup>
                <m:sSupPr>
                  <m:ctrlPr>
                    <w:rPr>
                      <w:rFonts w:ascii="Cambria Math" w:hAnsi="Cambria Math" w:cstheme="minorHAnsi"/>
                      <w:i/>
                      <w:iCs/>
                    </w:rPr>
                  </m:ctrlPr>
                </m:sSupPr>
                <m:e>
                  <m:d>
                    <m:dPr>
                      <m:ctrlPr>
                        <w:rPr>
                          <w:rFonts w:ascii="Cambria Math" w:hAnsi="Cambria Math" w:cstheme="minorHAnsi"/>
                          <w:i/>
                          <w:iCs/>
                        </w:rPr>
                      </m:ctrlPr>
                    </m:dPr>
                    <m:e>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Im</m:t>
                              </m:r>
                            </m:e>
                            <m:sub>
                              <m:r>
                                <w:rPr>
                                  <w:rFonts w:ascii="Cambria Math" w:hAnsi="Cambria Math" w:cstheme="minorHAnsi"/>
                                </w:rPr>
                                <m:t>i</m:t>
                              </m:r>
                            </m:sub>
                          </m:sSub>
                        </m:num>
                        <m:den>
                          <m:r>
                            <w:rPr>
                              <w:rFonts w:ascii="Cambria Math" w:hAnsi="Cambria Math" w:cstheme="minorHAnsi"/>
                            </w:rPr>
                            <m:t>PEZ</m:t>
                          </m:r>
                        </m:den>
                      </m:f>
                    </m:e>
                  </m:d>
                </m:e>
                <m:sup>
                  <m:r>
                    <w:rPr>
                      <w:rFonts w:ascii="Cambria Math" w:hAnsi="Cambria Math" w:cstheme="minorHAnsi"/>
                    </w:rPr>
                    <m:t>2</m:t>
                  </m:r>
                </m:sup>
              </m:sSup>
            </m:e>
          </m:nary>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H</w:t>
      </w:r>
      <w:r w:rsidRPr="0092047B">
        <w:rPr>
          <w:rFonts w:eastAsiaTheme="minorEastAsia" w:cstheme="minorHAnsi"/>
          <w:i/>
          <w:iCs/>
          <w:color w:val="000000" w:themeColor="text1"/>
          <w:szCs w:val="22"/>
          <w:vertAlign w:val="subscript"/>
        </w:rPr>
        <w:t>Im</w:t>
      </w:r>
      <w:r w:rsidRPr="0092047B">
        <w:rPr>
          <w:rFonts w:eastAsiaTheme="minorEastAsia" w:cstheme="minorHAnsi"/>
          <w:iCs/>
          <w:color w:val="000000" w:themeColor="text1"/>
          <w:szCs w:val="22"/>
        </w:rPr>
        <w:tab/>
        <w:t>diverzifikace importu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Im</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t>velikost dovozu dílčího druhu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PEZ</w:t>
      </w:r>
      <w:r w:rsidRPr="0092047B">
        <w:rPr>
          <w:rFonts w:eastAsiaTheme="minorEastAsia" w:cstheme="minorHAnsi"/>
          <w:iCs/>
          <w:color w:val="000000" w:themeColor="text1"/>
          <w:szCs w:val="22"/>
        </w:rPr>
        <w:tab/>
        <w:t>celková spotřeba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w:t>
      </w:r>
      <w:r w:rsidRPr="0092047B">
        <w:rPr>
          <w:rFonts w:eastAsiaTheme="minorEastAsia" w:cstheme="minorHAnsi"/>
          <w:iCs/>
          <w:color w:val="000000" w:themeColor="text1"/>
          <w:szCs w:val="22"/>
        </w:rPr>
        <w:tab/>
        <w:t>počet dílčích druhů PEZ [-]</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a budoucí výhledy zpracovávané na </w:t>
      </w:r>
      <w:r w:rsidR="00D451AE">
        <w:rPr>
          <w:rFonts w:eastAsiaTheme="minorEastAsia" w:cstheme="minorHAnsi"/>
          <w:iCs/>
          <w:szCs w:val="22"/>
        </w:rPr>
        <w:t>MPO</w:t>
      </w:r>
      <w:r w:rsidRPr="0092047B">
        <w:rPr>
          <w:rFonts w:eastAsiaTheme="minorEastAsia" w:cstheme="minorHAnsi"/>
          <w:iCs/>
          <w:szCs w:val="22"/>
        </w:rPr>
        <w:t xml:space="preserve"> </w:t>
      </w:r>
      <w:r w:rsidR="001E2173">
        <w:rPr>
          <w:rFonts w:eastAsiaTheme="minorEastAsia" w:cstheme="minorHAnsi"/>
          <w:iCs/>
          <w:szCs w:val="22"/>
        </w:rPr>
        <w:t>po</w:t>
      </w:r>
      <w:r w:rsidRPr="0092047B">
        <w:rPr>
          <w:rFonts w:eastAsiaTheme="minorEastAsia" w:cstheme="minorHAnsi"/>
          <w:iCs/>
          <w:szCs w:val="22"/>
        </w:rPr>
        <w:t>dle</w:t>
      </w:r>
      <w:r w:rsidR="00E144C7">
        <w:rPr>
          <w:rFonts w:eastAsiaTheme="minorEastAsia" w:cstheme="minorHAnsi"/>
          <w:iCs/>
          <w:szCs w:val="22"/>
        </w:rPr>
        <w:t xml:space="preserve"> </w:t>
      </w:r>
      <w:r w:rsidR="002F5DFF">
        <w:rPr>
          <w:rFonts w:eastAsiaTheme="minorEastAsia" w:cstheme="minorHAnsi"/>
          <w:iCs/>
          <w:szCs w:val="22"/>
        </w:rPr>
        <w:t>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7C59ED" w:rsidRPr="0092047B">
        <w:rPr>
          <w:rFonts w:eastAsiaTheme="minorEastAsia" w:cstheme="minorHAnsi"/>
          <w:iCs/>
          <w:szCs w:val="22"/>
        </w:rPr>
        <w:t xml:space="preserve">Pro výpočet z uvažovaných čtyř kategorií PEZ nabývá ukazatel hodnoty v intervalu </w:t>
      </w:r>
      <w:r w:rsidR="007C59ED" w:rsidRPr="0092047B">
        <w:t>&lt;1/4</w:t>
      </w:r>
      <w:r w:rsidR="009A45F8" w:rsidRPr="0092047B">
        <w:t>;</w:t>
      </w:r>
      <w:r w:rsidR="007C59ED" w:rsidRPr="0092047B">
        <w:t xml:space="preserve">1&gt;. </w:t>
      </w:r>
      <w:r w:rsidR="00A71607" w:rsidRPr="0092047B">
        <w:rPr>
          <w:rFonts w:eastAsiaTheme="minorEastAsia" w:cstheme="minorHAnsi"/>
          <w:iCs/>
          <w:szCs w:val="22"/>
        </w:rPr>
        <w:t>Cílem je dosáhnout snížení indikátoru a jeho dlouhodobé udržení pod hodnotou 0,30.</w:t>
      </w:r>
    </w:p>
    <w:p w:rsidR="007D2C62" w:rsidRPr="0092047B" w:rsidRDefault="007D2C62" w:rsidP="00184DC1">
      <w:pPr>
        <w:pStyle w:val="Odstavecseseznamem"/>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Dovozní závislost:</w:t>
      </w:r>
    </w:p>
    <w:p w:rsidR="007D2C62" w:rsidRPr="0092047B" w:rsidRDefault="007D2C62" w:rsidP="00184DC1">
      <w:pPr>
        <w:spacing w:after="120"/>
        <w:ind w:left="567"/>
        <w:rPr>
          <w:rFonts w:cstheme="minorHAnsi"/>
        </w:rPr>
      </w:pPr>
      <w:r w:rsidRPr="0092047B">
        <w:rPr>
          <w:rFonts w:cstheme="minorHAnsi"/>
        </w:rPr>
        <w:t xml:space="preserve">Dovozní závislost v daném roce je stanovena podle metodiky </w:t>
      </w:r>
      <w:r w:rsidR="005E2A88" w:rsidRPr="0092047B">
        <w:rPr>
          <w:rFonts w:cstheme="minorHAnsi"/>
        </w:rPr>
        <w:t>Mezinárodní energetické agentury</w:t>
      </w:r>
      <w:r w:rsidRPr="0092047B">
        <w:rPr>
          <w:rFonts w:cstheme="minorHAnsi"/>
        </w:rPr>
        <w:t xml:space="preserve"> (IEA) jako podíl čistého dovozu PEZ a celkové</w:t>
      </w:r>
      <w:r w:rsidR="00ED34C2" w:rsidRPr="0092047B">
        <w:rPr>
          <w:rFonts w:cstheme="minorHAnsi"/>
        </w:rPr>
        <w:t xml:space="preserve"> spotřeby</w:t>
      </w:r>
      <w:r w:rsidRPr="0092047B">
        <w:rPr>
          <w:rFonts w:cstheme="minorHAnsi"/>
        </w:rPr>
        <w:t xml:space="preserve"> PEZ v odpovídajícím roce, přičemž je stanovován variantně, bez započtení primárního tepla z jaderných reakcí a včetně</w:t>
      </w:r>
      <w:r w:rsidR="004F6234">
        <w:rPr>
          <w:rFonts w:cstheme="minorHAnsi"/>
        </w:rPr>
        <w:t xml:space="preserve"> něj</w:t>
      </w:r>
      <w:r w:rsidRPr="0092047B">
        <w:rPr>
          <w:rFonts w:cstheme="minorHAnsi"/>
        </w:rPr>
        <w:t>, dle rovnice:</w:t>
      </w:r>
    </w:p>
    <w:p w:rsidR="007D2C62" w:rsidRPr="0092047B" w:rsidRDefault="007D2C62" w:rsidP="00184DC1">
      <w:pPr>
        <w:spacing w:before="240" w:after="120"/>
        <w:ind w:left="1276"/>
        <w:rPr>
          <w:rFonts w:cstheme="minorHAnsi"/>
          <w:iCs/>
        </w:rPr>
      </w:pPr>
      <m:oMathPara>
        <m:oMathParaPr>
          <m:jc m:val="left"/>
        </m:oMathParaPr>
        <m:oMath>
          <m:r>
            <w:rPr>
              <w:rFonts w:ascii="Cambria Math" w:hAnsi="Cambria Math" w:cstheme="minorHAnsi"/>
            </w:rPr>
            <m:t>DoZ=</m:t>
          </m:r>
          <m:f>
            <m:fPr>
              <m:ctrlPr>
                <w:rPr>
                  <w:rFonts w:ascii="Cambria Math" w:hAnsi="Cambria Math" w:cstheme="minorHAnsi"/>
                  <w:i/>
                  <w:iCs/>
                </w:rPr>
              </m:ctrlPr>
            </m:fPr>
            <m:num>
              <m:nary>
                <m:naryPr>
                  <m:chr m:val="∑"/>
                  <m:limLoc m:val="undOvr"/>
                  <m:ctrlPr>
                    <w:rPr>
                      <w:rFonts w:ascii="Cambria Math" w:hAnsi="Cambria Math" w:cstheme="minorHAnsi"/>
                      <w:i/>
                      <w:iCs/>
                    </w:rPr>
                  </m:ctrlPr>
                </m:naryPr>
                <m:sub>
                  <m:r>
                    <w:rPr>
                      <w:rFonts w:ascii="Cambria Math" w:hAnsi="Cambria Math" w:cstheme="minorHAnsi"/>
                    </w:rPr>
                    <m:t>i=1</m:t>
                  </m:r>
                </m:sub>
                <m:sup>
                  <m:r>
                    <w:rPr>
                      <w:rFonts w:ascii="Cambria Math" w:hAnsi="Cambria Math" w:cstheme="minorHAnsi"/>
                    </w:rPr>
                    <m:t>N</m:t>
                  </m:r>
                </m:sup>
                <m:e>
                  <m:d>
                    <m:dPr>
                      <m:ctrlPr>
                        <w:rPr>
                          <w:rFonts w:ascii="Cambria Math" w:hAnsi="Cambria Math" w:cstheme="minorHAnsi"/>
                          <w:i/>
                          <w:iCs/>
                        </w:rPr>
                      </m:ctrlPr>
                    </m:dPr>
                    <m:e>
                      <m:sSub>
                        <m:sSubPr>
                          <m:ctrlPr>
                            <w:rPr>
                              <w:rFonts w:ascii="Cambria Math" w:hAnsi="Cambria Math" w:cstheme="minorHAnsi"/>
                              <w:i/>
                              <w:iCs/>
                            </w:rPr>
                          </m:ctrlPr>
                        </m:sSubPr>
                        <m:e>
                          <m:r>
                            <w:rPr>
                              <w:rFonts w:ascii="Cambria Math" w:hAnsi="Cambria Math" w:cstheme="minorHAnsi"/>
                            </w:rPr>
                            <m:t>Im</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Ex</m:t>
                          </m:r>
                        </m:e>
                        <m:sub>
                          <m:r>
                            <w:rPr>
                              <w:rFonts w:ascii="Cambria Math" w:hAnsi="Cambria Math" w:cstheme="minorHAnsi"/>
                            </w:rPr>
                            <m:t>i</m:t>
                          </m:r>
                        </m:sub>
                      </m:sSub>
                    </m:e>
                  </m:d>
                </m:e>
              </m:nary>
            </m:num>
            <m:den>
              <m:r>
                <w:rPr>
                  <w:rFonts w:ascii="Cambria Math" w:hAnsi="Cambria Math" w:cstheme="minorHAnsi"/>
                </w:rPr>
                <m:t>PEZ</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DoZ</w:t>
      </w:r>
      <w:r w:rsidRPr="0092047B">
        <w:rPr>
          <w:rFonts w:eastAsiaTheme="minorEastAsia" w:cstheme="minorHAnsi"/>
          <w:iCs/>
          <w:color w:val="000000" w:themeColor="text1"/>
          <w:szCs w:val="22"/>
        </w:rPr>
        <w:tab/>
        <w:t>dovozní závislost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Im</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t>velikost dovozu dílčího druhu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Ex</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t>velikost vývozu dílčího druhu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PEZ</w:t>
      </w:r>
      <w:r w:rsidRPr="0092047B">
        <w:rPr>
          <w:rFonts w:eastAsiaTheme="minorEastAsia" w:cstheme="minorHAnsi"/>
          <w:iCs/>
          <w:color w:val="000000" w:themeColor="text1"/>
          <w:szCs w:val="22"/>
        </w:rPr>
        <w:tab/>
        <w:t>celková spotřeba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w:t>
      </w:r>
      <w:r w:rsidRPr="0092047B">
        <w:rPr>
          <w:rFonts w:eastAsiaTheme="minorEastAsia" w:cstheme="minorHAnsi"/>
          <w:iCs/>
          <w:color w:val="000000" w:themeColor="text1"/>
          <w:szCs w:val="22"/>
        </w:rPr>
        <w:tab/>
        <w:t>počet dílčích druhů PEZ [-]</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a budoucí výhledy zpracovávané na </w:t>
      </w:r>
      <w:r w:rsidR="001E2173">
        <w:rPr>
          <w:rFonts w:eastAsiaTheme="minorEastAsia" w:cstheme="minorHAnsi"/>
          <w:iCs/>
          <w:szCs w:val="22"/>
        </w:rPr>
        <w:t>MPO</w:t>
      </w:r>
      <w:r w:rsidRPr="0092047B">
        <w:rPr>
          <w:rFonts w:eastAsiaTheme="minorEastAsia" w:cstheme="minorHAnsi"/>
          <w:iCs/>
          <w:szCs w:val="22"/>
        </w:rPr>
        <w:t xml:space="preserve"> podle</w:t>
      </w:r>
      <w:r w:rsidR="00E144C7">
        <w:rPr>
          <w:rFonts w:eastAsiaTheme="minorEastAsia" w:cstheme="minorHAnsi"/>
          <w:iCs/>
          <w:szCs w:val="22"/>
        </w:rPr>
        <w:t xml:space="preserve"> </w:t>
      </w:r>
      <w:r w:rsidR="002F5DFF">
        <w:rPr>
          <w:rFonts w:eastAsiaTheme="minorEastAsia" w:cstheme="minorHAnsi"/>
          <w:iCs/>
          <w:szCs w:val="22"/>
        </w:rPr>
        <w:t>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A71607" w:rsidRPr="0092047B">
        <w:rPr>
          <w:rFonts w:eastAsiaTheme="minorEastAsia" w:cstheme="minorHAnsi"/>
          <w:iCs/>
          <w:szCs w:val="22"/>
        </w:rPr>
        <w:t xml:space="preserve">Cílem je dosáhnout dlouhodobé udržení dovozní závislosti na </w:t>
      </w:r>
      <w:r w:rsidR="004F6234">
        <w:rPr>
          <w:rFonts w:eastAsiaTheme="minorEastAsia" w:cstheme="minorHAnsi"/>
          <w:iCs/>
          <w:szCs w:val="22"/>
        </w:rPr>
        <w:t>úrovni EU28 a</w:t>
      </w:r>
      <w:r w:rsidR="004F6234" w:rsidRPr="0092047B">
        <w:rPr>
          <w:rFonts w:eastAsiaTheme="minorEastAsia" w:cstheme="minorHAnsi"/>
          <w:iCs/>
          <w:szCs w:val="22"/>
        </w:rPr>
        <w:t xml:space="preserve"> </w:t>
      </w:r>
      <w:r w:rsidR="00A71607" w:rsidRPr="0092047B">
        <w:rPr>
          <w:rFonts w:eastAsiaTheme="minorEastAsia" w:cstheme="minorHAnsi"/>
          <w:iCs/>
          <w:szCs w:val="22"/>
        </w:rPr>
        <w:t>nebo pod úrovní EU28.</w:t>
      </w:r>
    </w:p>
    <w:p w:rsidR="007D2C62" w:rsidRPr="0092047B" w:rsidRDefault="007D2C62" w:rsidP="00184DC1">
      <w:pPr>
        <w:pStyle w:val="Odstavecseseznamem"/>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Bezpečnost provozu infrastruktury:</w:t>
      </w:r>
    </w:p>
    <w:p w:rsidR="005E2A88"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Bezpečnost provozu infrastruktury v daném roce je stanovena jako míra plnění kritéria N-1, tedy základního kritéria pro hodnocení spolehlivosti provozu elektrizační soustavy, jež udává schopnost udržet normální parametry chodu soustavy i po výpadku libovolného prvku (vedení, transformátoru, bloku atd.) na hladině velmi vysokého napětí (vvn), přičemž může dojít ke krátkodobému lokálnímu omezení dodávky, v odpovídajícím roce.</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Ukazatel je vyhodnocován zpětně provozovatelem přenosové soustavy, společností ČEPS, a.s., na základě vlastního dynamického modelu přenosové soustavy.</w:t>
      </w:r>
    </w:p>
    <w:p w:rsidR="007D2C62" w:rsidRPr="0092047B" w:rsidRDefault="007D2C62" w:rsidP="00184DC1">
      <w:pPr>
        <w:pStyle w:val="Odstavecseseznamem"/>
        <w:keepNext/>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Soběstačnost v dodávkách elektřiny:</w:t>
      </w:r>
    </w:p>
    <w:p w:rsidR="007D2C62" w:rsidRPr="0092047B" w:rsidRDefault="007D2C62" w:rsidP="00184DC1">
      <w:pPr>
        <w:keepLines/>
        <w:spacing w:after="120"/>
        <w:ind w:left="567"/>
        <w:rPr>
          <w:rFonts w:cstheme="minorHAnsi"/>
        </w:rPr>
      </w:pPr>
      <w:r w:rsidRPr="0092047B">
        <w:rPr>
          <w:rFonts w:cstheme="minorHAnsi"/>
        </w:rPr>
        <w:t>Soběstačnost v dodávkách elektřiny v daném roce je stanovena jako podíl hrubé výroby elektřiny a hrubé domácí spotřeby elektřiny v odpovídajícím roce takto:</w:t>
      </w:r>
    </w:p>
    <w:p w:rsidR="007D2C62" w:rsidRPr="0092047B" w:rsidRDefault="007D2C62" w:rsidP="00184DC1">
      <w:pPr>
        <w:spacing w:before="240" w:after="120"/>
        <w:ind w:left="1276"/>
        <w:rPr>
          <w:rFonts w:cstheme="minorHAnsi"/>
          <w:iCs/>
        </w:rPr>
      </w:pPr>
      <m:oMathPara>
        <m:oMathParaPr>
          <m:jc m:val="left"/>
        </m:oMathParaPr>
        <m:oMath>
          <m:r>
            <w:rPr>
              <w:rFonts w:ascii="Cambria Math" w:hAnsi="Cambria Math" w:cstheme="minorHAnsi"/>
            </w:rPr>
            <m:t>SEE=</m:t>
          </m:r>
          <m:f>
            <m:fPr>
              <m:ctrlPr>
                <w:rPr>
                  <w:rFonts w:ascii="Cambria Math" w:hAnsi="Cambria Math" w:cstheme="minorHAnsi"/>
                  <w:i/>
                  <w:iCs/>
                </w:rPr>
              </m:ctrlPr>
            </m:fPr>
            <m:num>
              <m:r>
                <w:rPr>
                  <w:rFonts w:ascii="Cambria Math" w:hAnsi="Cambria Math" w:cstheme="minorHAnsi"/>
                </w:rPr>
                <m:t>TBV</m:t>
              </m:r>
            </m:num>
            <m:den>
              <m:r>
                <w:rPr>
                  <w:rFonts w:ascii="Cambria Math" w:hAnsi="Cambria Math" w:cstheme="minorHAnsi"/>
                </w:rPr>
                <m:t>TBS</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SEE</w:t>
      </w:r>
      <w:r w:rsidRPr="0092047B">
        <w:rPr>
          <w:rFonts w:eastAsiaTheme="minorEastAsia" w:cstheme="minorHAnsi"/>
          <w:iCs/>
          <w:color w:val="000000" w:themeColor="text1"/>
          <w:szCs w:val="22"/>
        </w:rPr>
        <w:tab/>
        <w:t>soběstačnost v dodávkách elektřiny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TBV</w:t>
      </w:r>
      <w:r w:rsidRPr="0092047B">
        <w:rPr>
          <w:rFonts w:eastAsiaTheme="minorEastAsia" w:cstheme="minorHAnsi"/>
          <w:iCs/>
          <w:color w:val="000000" w:themeColor="text1"/>
          <w:szCs w:val="22"/>
        </w:rPr>
        <w:tab/>
        <w:t>tuzemská brutto výroba elektřiny [GWh]</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TBS</w:t>
      </w:r>
      <w:r w:rsidRPr="0092047B">
        <w:rPr>
          <w:rFonts w:eastAsiaTheme="minorEastAsia" w:cstheme="minorHAnsi"/>
          <w:iCs/>
          <w:color w:val="000000" w:themeColor="text1"/>
          <w:szCs w:val="22"/>
        </w:rPr>
        <w:tab/>
        <w:t>tuzemská brutto spotřeba elektřiny [GWh]</w:t>
      </w:r>
    </w:p>
    <w:p w:rsidR="007D2C62"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jsou statistiky</w:t>
      </w:r>
      <w:r w:rsidR="0041288E">
        <w:rPr>
          <w:rFonts w:eastAsiaTheme="minorEastAsia" w:cstheme="minorHAnsi"/>
          <w:iCs/>
          <w:szCs w:val="22"/>
        </w:rPr>
        <w:t xml:space="preserve"> Energetického regulačního úřadu (ERÚ)</w:t>
      </w:r>
      <w:r w:rsidRPr="0092047B">
        <w:rPr>
          <w:rFonts w:eastAsiaTheme="minorEastAsia" w:cstheme="minorHAnsi"/>
          <w:iCs/>
          <w:szCs w:val="22"/>
        </w:rPr>
        <w:t xml:space="preserve"> a </w:t>
      </w:r>
      <w:r w:rsidR="00FC336C">
        <w:rPr>
          <w:rFonts w:eastAsiaTheme="minorEastAsia" w:cstheme="minorHAnsi"/>
          <w:iCs/>
          <w:szCs w:val="22"/>
        </w:rPr>
        <w:t xml:space="preserve">statistiky a </w:t>
      </w:r>
      <w:r w:rsidRPr="0092047B">
        <w:rPr>
          <w:rFonts w:eastAsiaTheme="minorEastAsia" w:cstheme="minorHAnsi"/>
          <w:iCs/>
          <w:szCs w:val="22"/>
        </w:rPr>
        <w:t xml:space="preserve">budoucí výhledy zpracovávané na </w:t>
      </w:r>
      <w:r w:rsidR="001E2173">
        <w:rPr>
          <w:rFonts w:eastAsiaTheme="minorEastAsia" w:cstheme="minorHAnsi"/>
          <w:iCs/>
          <w:szCs w:val="22"/>
        </w:rPr>
        <w:t>MPO</w:t>
      </w:r>
      <w:r w:rsidRPr="0092047B">
        <w:rPr>
          <w:rFonts w:eastAsiaTheme="minorEastAsia" w:cstheme="minorHAnsi"/>
          <w:iCs/>
          <w:szCs w:val="22"/>
        </w:rPr>
        <w:t xml:space="preserve"> podle</w:t>
      </w:r>
      <w:r w:rsidR="002F5DFF">
        <w:rPr>
          <w:rFonts w:eastAsiaTheme="minorEastAsia" w:cstheme="minorHAnsi"/>
          <w:iCs/>
          <w:szCs w:val="22"/>
        </w:rPr>
        <w:t xml:space="preserve"> 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Cílem je zajištění soběstačnosti trvale na úrovni nejméně 90</w:t>
      </w:r>
      <w:r w:rsidR="00BD35CF" w:rsidRPr="0092047B">
        <w:rPr>
          <w:rFonts w:eastAsiaTheme="minorEastAsia" w:cstheme="minorHAnsi"/>
          <w:iCs/>
          <w:szCs w:val="22"/>
        </w:rPr>
        <w:t xml:space="preserve"> </w:t>
      </w:r>
      <w:r w:rsidR="008F2C01" w:rsidRPr="0092047B">
        <w:rPr>
          <w:rFonts w:eastAsiaTheme="minorEastAsia" w:cstheme="minorHAnsi"/>
          <w:iCs/>
          <w:szCs w:val="22"/>
        </w:rPr>
        <w:t>%.</w:t>
      </w:r>
    </w:p>
    <w:p w:rsidR="007D2C62" w:rsidRPr="0092047B" w:rsidRDefault="0071542A" w:rsidP="00184DC1">
      <w:pPr>
        <w:pStyle w:val="Odstavecseseznamem"/>
        <w:numPr>
          <w:ilvl w:val="1"/>
          <w:numId w:val="9"/>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Výkonová</w:t>
      </w:r>
      <w:r w:rsidR="007D2C62" w:rsidRPr="0092047B">
        <w:rPr>
          <w:rFonts w:asciiTheme="minorHAnsi" w:hAnsiTheme="minorHAnsi" w:cstheme="minorHAnsi"/>
          <w:sz w:val="24"/>
          <w:szCs w:val="24"/>
          <w:u w:val="single"/>
        </w:rPr>
        <w:t xml:space="preserve"> přiměřenost:</w:t>
      </w:r>
    </w:p>
    <w:p w:rsidR="009C4CA5" w:rsidRPr="0092047B" w:rsidRDefault="0022078E" w:rsidP="00184DC1">
      <w:pPr>
        <w:spacing w:after="120"/>
        <w:ind w:left="567"/>
        <w:rPr>
          <w:rFonts w:cstheme="minorHAnsi"/>
        </w:rPr>
      </w:pPr>
      <w:r w:rsidRPr="0092047B">
        <w:rPr>
          <w:rFonts w:eastAsiaTheme="minorEastAsia" w:cstheme="minorHAnsi"/>
          <w:iCs/>
          <w:szCs w:val="22"/>
        </w:rPr>
        <w:t xml:space="preserve">Výkonová přiměřenost je definována jako středně a dlouhodobá schopnost vyrovnávat spotřebu a výrobu elektrické energie, včetně dostatečné flexibility výrobního portfolia a schopnosti reagovat na náhlé výkonové změny, </w:t>
      </w:r>
      <w:r w:rsidRPr="0092047B">
        <w:rPr>
          <w:rFonts w:cstheme="minorHAnsi"/>
        </w:rPr>
        <w:t>přičemž</w:t>
      </w:r>
      <w:r w:rsidR="009C4CA5" w:rsidRPr="0092047B">
        <w:rPr>
          <w:rFonts w:cstheme="minorHAnsi"/>
        </w:rPr>
        <w:t xml:space="preserve"> je stanovena jako zbývající kapacita v elektrizační soustavě určen</w:t>
      </w:r>
      <w:r w:rsidRPr="0092047B">
        <w:rPr>
          <w:rFonts w:cstheme="minorHAnsi"/>
        </w:rPr>
        <w:t>á</w:t>
      </w:r>
      <w:r w:rsidR="009C4CA5" w:rsidRPr="0092047B">
        <w:rPr>
          <w:rFonts w:cstheme="minorHAnsi"/>
        </w:rPr>
        <w:t xml:space="preserve"> rozdílem mezi spolehlivě dostupnou kapacitou v</w:t>
      </w:r>
      <w:r w:rsidRPr="0092047B">
        <w:rPr>
          <w:rFonts w:cstheme="minorHAnsi"/>
        </w:rPr>
        <w:t> soustavě v</w:t>
      </w:r>
      <w:r w:rsidR="009C4CA5" w:rsidRPr="0092047B">
        <w:rPr>
          <w:rFonts w:cstheme="minorHAnsi"/>
        </w:rPr>
        <w:t> daném roce a zatížením v referenčním bodě podle vztahu:</w:t>
      </w:r>
    </w:p>
    <w:p w:rsidR="009C4CA5" w:rsidRPr="0092047B" w:rsidRDefault="009C4CA5" w:rsidP="00184DC1">
      <w:pPr>
        <w:spacing w:before="240" w:after="120"/>
        <w:ind w:left="1276"/>
        <w:rPr>
          <w:rFonts w:cstheme="minorHAnsi"/>
          <w:lang w:eastAsia="en-US" w:bidi="en-US"/>
        </w:rPr>
      </w:pPr>
      <m:oMathPara>
        <m:oMathParaPr>
          <m:jc m:val="left"/>
        </m:oMathParaPr>
        <m:oMath>
          <m:r>
            <w:rPr>
              <w:rFonts w:ascii="Cambria Math" w:hAnsi="Cambria Math"/>
              <w:lang w:eastAsia="en-US" w:bidi="en-US"/>
            </w:rPr>
            <m:t>RC=RAC-</m:t>
          </m:r>
          <m:d>
            <m:dPr>
              <m:ctrlPr>
                <w:rPr>
                  <w:rFonts w:ascii="Cambria Math" w:hAnsi="Cambria Math"/>
                  <w:i/>
                  <w:lang w:eastAsia="en-US" w:bidi="en-US"/>
                </w:rPr>
              </m:ctrlPr>
            </m:dPr>
            <m:e>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Load</m:t>
                  </m:r>
                </m:sub>
              </m:sSub>
              <m:r>
                <w:rPr>
                  <w:rFonts w:ascii="Cambria Math" w:hAnsi="Cambria Math"/>
                  <w:lang w:eastAsia="en-US" w:bidi="en-US"/>
                </w:rPr>
                <m:t>-</m:t>
              </m:r>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LoadM</m:t>
                  </m:r>
                </m:sub>
              </m:sSub>
            </m:e>
          </m:d>
          <m:r>
            <w:rPr>
              <w:rFonts w:ascii="Cambria Math" w:hAnsi="Cambria Math"/>
              <w:lang w:eastAsia="en-US" w:bidi="en-US"/>
            </w:rPr>
            <m:t>=NGC-UC-</m:t>
          </m:r>
          <m:d>
            <m:dPr>
              <m:ctrlPr>
                <w:rPr>
                  <w:rFonts w:ascii="Cambria Math" w:hAnsi="Cambria Math"/>
                  <w:i/>
                  <w:lang w:eastAsia="en-US" w:bidi="en-US"/>
                </w:rPr>
              </m:ctrlPr>
            </m:dPr>
            <m:e>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Load</m:t>
                  </m:r>
                </m:sub>
              </m:sSub>
              <m:r>
                <w:rPr>
                  <w:rFonts w:ascii="Cambria Math" w:hAnsi="Cambria Math"/>
                  <w:lang w:eastAsia="en-US" w:bidi="en-US"/>
                </w:rPr>
                <m:t>-</m:t>
              </m:r>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LoadM</m:t>
                  </m:r>
                </m:sub>
              </m:sSub>
            </m:e>
          </m:d>
        </m:oMath>
      </m:oMathPara>
    </w:p>
    <w:p w:rsidR="009C4CA5" w:rsidRPr="0092047B" w:rsidRDefault="009C4CA5"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9C4CA5" w:rsidRPr="0092047B" w:rsidRDefault="009C4CA5"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RC</w:t>
      </w:r>
      <w:r w:rsidRPr="0092047B">
        <w:rPr>
          <w:rFonts w:eastAsiaTheme="minorEastAsia" w:cstheme="minorHAnsi"/>
          <w:iCs/>
          <w:color w:val="000000" w:themeColor="text1"/>
          <w:szCs w:val="22"/>
        </w:rPr>
        <w:tab/>
        <w:t>zbývající kapacita [MW]</w:t>
      </w:r>
    </w:p>
    <w:p w:rsidR="009C4CA5" w:rsidRPr="0092047B" w:rsidRDefault="009C4CA5"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RAC</w:t>
      </w:r>
      <w:r w:rsidRPr="0092047B">
        <w:rPr>
          <w:rFonts w:eastAsiaTheme="minorEastAsia" w:cstheme="minorHAnsi"/>
          <w:iCs/>
          <w:color w:val="000000" w:themeColor="text1"/>
          <w:szCs w:val="22"/>
        </w:rPr>
        <w:tab/>
        <w:t>spolehlivě dostupná kapacita [MW]</w:t>
      </w:r>
    </w:p>
    <w:p w:rsidR="009C4CA5" w:rsidRPr="0092047B" w:rsidRDefault="009C4CA5"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Load</w:t>
      </w:r>
      <w:r w:rsidRPr="0092047B">
        <w:rPr>
          <w:rFonts w:eastAsiaTheme="minorEastAsia" w:cstheme="minorHAnsi"/>
          <w:iCs/>
          <w:color w:val="000000" w:themeColor="text1"/>
          <w:szCs w:val="22"/>
        </w:rPr>
        <w:tab/>
        <w:t>zatížení [MW]</w:t>
      </w:r>
    </w:p>
    <w:p w:rsidR="009C4CA5" w:rsidRPr="0092047B" w:rsidRDefault="009C4CA5"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 xml:space="preserve">LoadM </w:t>
      </w:r>
      <w:r w:rsidRPr="0092047B">
        <w:rPr>
          <w:rFonts w:eastAsiaTheme="minorEastAsia" w:cstheme="minorHAnsi"/>
          <w:iCs/>
          <w:color w:val="000000" w:themeColor="text1"/>
          <w:szCs w:val="22"/>
        </w:rPr>
        <w:tab/>
        <w:t>potenciál pro snížení zatížení [MW]</w:t>
      </w:r>
    </w:p>
    <w:p w:rsidR="009C4CA5" w:rsidRPr="0092047B" w:rsidRDefault="009C4CA5"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NGC</w:t>
      </w:r>
      <w:r w:rsidRPr="0092047B">
        <w:rPr>
          <w:rFonts w:eastAsiaTheme="minorEastAsia" w:cstheme="minorHAnsi"/>
          <w:iCs/>
          <w:color w:val="000000" w:themeColor="text1"/>
          <w:szCs w:val="22"/>
        </w:rPr>
        <w:tab/>
        <w:t>čistá výrobní kapacita [MW]</w:t>
      </w:r>
    </w:p>
    <w:p w:rsidR="009C4CA5" w:rsidRPr="0092047B" w:rsidRDefault="009C4CA5"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UC</w:t>
      </w:r>
      <w:r w:rsidRPr="0092047B">
        <w:rPr>
          <w:rFonts w:eastAsiaTheme="minorEastAsia" w:cstheme="minorHAnsi"/>
          <w:iCs/>
          <w:color w:val="000000" w:themeColor="text1"/>
          <w:szCs w:val="22"/>
        </w:rPr>
        <w:tab/>
        <w:t>nedostupná kapacita [MW]</w:t>
      </w:r>
    </w:p>
    <w:p w:rsidR="0022078E" w:rsidRPr="0092047B" w:rsidRDefault="009C4CA5" w:rsidP="00184DC1">
      <w:pPr>
        <w:spacing w:after="120"/>
        <w:ind w:left="567"/>
      </w:pPr>
      <w:r w:rsidRPr="0092047B">
        <w:t>Ukazatel je vyhodnocován provozovatelem přenosové soustavy, společností ČEPS, a.s., na základě platné metodiky ENTSO-E definované pro účely zpracovávání zprávy Scenario Outlook and Adequacy Forecast, která je dostupná na webu ENTSO-E.</w:t>
      </w:r>
    </w:p>
    <w:p w:rsidR="009C4CA5" w:rsidRPr="0092047B" w:rsidRDefault="00A267AD" w:rsidP="00184DC1">
      <w:pPr>
        <w:spacing w:after="120"/>
        <w:ind w:left="567"/>
        <w:rPr>
          <w:rFonts w:eastAsiaTheme="minorEastAsia" w:cstheme="minorHAnsi"/>
          <w:iCs/>
          <w:color w:val="000000" w:themeColor="text1"/>
          <w:szCs w:val="22"/>
        </w:rPr>
      </w:pPr>
      <w:r w:rsidRPr="0092047B">
        <w:t xml:space="preserve">Cílem je udržení </w:t>
      </w:r>
      <w:r w:rsidR="00132567">
        <w:t>zbývající kapacity</w:t>
      </w:r>
      <w:r w:rsidR="009C4CA5" w:rsidRPr="0092047B">
        <w:t xml:space="preserve"> </w:t>
      </w:r>
      <w:r w:rsidR="00144767">
        <w:t xml:space="preserve">(Remaining Capacity dle metodiky ENTSO-E) </w:t>
      </w:r>
      <w:r w:rsidR="009C4CA5" w:rsidRPr="0092047B">
        <w:t>trvale v</w:t>
      </w:r>
      <w:r w:rsidR="00132567">
        <w:t> </w:t>
      </w:r>
      <w:r w:rsidR="009C4CA5" w:rsidRPr="0092047B">
        <w:t>koridoru</w:t>
      </w:r>
      <w:r w:rsidR="00132567">
        <w:t xml:space="preserve"> od</w:t>
      </w:r>
      <w:r w:rsidR="009C4CA5" w:rsidRPr="0092047B">
        <w:t xml:space="preserve"> -5 %</w:t>
      </w:r>
      <w:r w:rsidR="00132567">
        <w:t xml:space="preserve"> do</w:t>
      </w:r>
      <w:r w:rsidR="009C4CA5" w:rsidRPr="0092047B">
        <w:t xml:space="preserve"> +15 % </w:t>
      </w:r>
      <w:r w:rsidR="00132567">
        <w:t xml:space="preserve">velikosti zatížení, </w:t>
      </w:r>
      <w:r w:rsidR="00144767">
        <w:t xml:space="preserve">a to </w:t>
      </w:r>
      <w:r w:rsidR="00132567">
        <w:t>včetně zahrnutí řízení na straně spotřeby</w:t>
      </w:r>
      <w:r w:rsidR="009C4CA5" w:rsidRPr="0092047B">
        <w:t>.</w:t>
      </w:r>
    </w:p>
    <w:p w:rsidR="007D2C62" w:rsidRPr="0092047B" w:rsidRDefault="007D2C62" w:rsidP="00184DC1">
      <w:pPr>
        <w:pStyle w:val="OdstavecCOPS"/>
        <w:keepNext/>
        <w:spacing w:before="240" w:after="120"/>
        <w:rPr>
          <w:rFonts w:cstheme="minorHAnsi"/>
          <w:b/>
        </w:rPr>
      </w:pPr>
      <w:r w:rsidRPr="0092047B">
        <w:rPr>
          <w:rFonts w:cstheme="minorHAnsi"/>
          <w:b/>
        </w:rPr>
        <w:t>Konkurenceschopnost měřená těmito parametry:</w:t>
      </w:r>
    </w:p>
    <w:p w:rsidR="007D2C62" w:rsidRPr="0092047B" w:rsidRDefault="007D2C62" w:rsidP="00184DC1">
      <w:pPr>
        <w:pStyle w:val="Odstavecseseznamem"/>
        <w:keepNext/>
        <w:numPr>
          <w:ilvl w:val="1"/>
          <w:numId w:val="15"/>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Míra integrace do mezinárodních sítí:</w:t>
      </w:r>
    </w:p>
    <w:p w:rsidR="007D2C62" w:rsidRPr="0092047B" w:rsidRDefault="007D2C62" w:rsidP="00184DC1">
      <w:pPr>
        <w:spacing w:after="120"/>
        <w:ind w:left="567"/>
      </w:pPr>
      <w:r w:rsidRPr="0092047B">
        <w:t xml:space="preserve">Míra integrace do mezinárodních sítí je stanovena jako souhrnná disponibilní přenosová kapacita v poměru k maximálnímu zatížení, která je určena </w:t>
      </w:r>
      <w:r w:rsidRPr="0092047B">
        <w:rPr>
          <w:lang w:eastAsia="en-US" w:bidi="en-US"/>
        </w:rPr>
        <w:t>podílem sumární exportní, respektive importní, schopnosti přenosové soustavy (PS) v daném roce a výhledu maximálního netto zatížení PS pro odpovídající rok tímto způsobem:</w:t>
      </w:r>
    </w:p>
    <w:p w:rsidR="007D2C62" w:rsidRPr="0092047B" w:rsidRDefault="00D76A86" w:rsidP="00184DC1">
      <w:pPr>
        <w:spacing w:before="240" w:after="120"/>
        <w:ind w:left="1276"/>
        <w:rPr>
          <w:rFonts w:cstheme="minorHAnsi"/>
          <w:lang w:eastAsia="en-US" w:bidi="en-US"/>
        </w:rPr>
      </w:pPr>
      <m:oMathPara>
        <m:oMathParaPr>
          <m:jc m:val="left"/>
        </m:oMathParaPr>
        <m:oMath>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Ex%</m:t>
              </m:r>
            </m:sub>
          </m:sSub>
          <m:r>
            <w:rPr>
              <w:rFonts w:ascii="Cambria Math" w:hAnsi="Cambria Math"/>
              <w:lang w:eastAsia="en-US" w:bidi="en-US"/>
            </w:rPr>
            <m:t>=</m:t>
          </m:r>
          <m:f>
            <m:fPr>
              <m:ctrlPr>
                <w:rPr>
                  <w:rFonts w:ascii="Cambria Math" w:hAnsi="Cambria Math"/>
                  <w:i/>
                  <w:lang w:eastAsia="en-US" w:bidi="en-US"/>
                </w:rPr>
              </m:ctrlPr>
            </m:fPr>
            <m:num>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sumEx</m:t>
                  </m:r>
                </m:sub>
              </m:sSub>
            </m:num>
            <m:den>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maxLoad</m:t>
                  </m:r>
                </m:sub>
              </m:sSub>
            </m:den>
          </m:f>
          <m:r>
            <w:rPr>
              <w:rFonts w:ascii="Cambria Math" w:hAnsi="Cambria Math"/>
              <w:lang w:eastAsia="en-US" w:bidi="en-US"/>
            </w:rPr>
            <m:t>∙100%</m:t>
          </m:r>
        </m:oMath>
      </m:oMathPara>
    </w:p>
    <w:p w:rsidR="007D2C62" w:rsidRPr="0092047B" w:rsidRDefault="00D76A86" w:rsidP="00184DC1">
      <w:pPr>
        <w:spacing w:before="240" w:after="120"/>
        <w:ind w:left="1276"/>
        <w:rPr>
          <w:rFonts w:cstheme="minorHAnsi"/>
          <w:lang w:eastAsia="en-US" w:bidi="en-US"/>
        </w:rPr>
      </w:pPr>
      <m:oMathPara>
        <m:oMathParaPr>
          <m:jc m:val="left"/>
        </m:oMathParaPr>
        <m:oMath>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Im%</m:t>
              </m:r>
            </m:sub>
          </m:sSub>
          <m:r>
            <w:rPr>
              <w:rFonts w:ascii="Cambria Math" w:hAnsi="Cambria Math"/>
              <w:lang w:eastAsia="en-US" w:bidi="en-US"/>
            </w:rPr>
            <m:t>=</m:t>
          </m:r>
          <m:f>
            <m:fPr>
              <m:ctrlPr>
                <w:rPr>
                  <w:rFonts w:ascii="Cambria Math" w:hAnsi="Cambria Math"/>
                  <w:i/>
                  <w:lang w:eastAsia="en-US" w:bidi="en-US"/>
                </w:rPr>
              </m:ctrlPr>
            </m:fPr>
            <m:num>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sumIm</m:t>
                  </m:r>
                </m:sub>
              </m:sSub>
            </m:num>
            <m:den>
              <m:sSub>
                <m:sSubPr>
                  <m:ctrlPr>
                    <w:rPr>
                      <w:rFonts w:ascii="Cambria Math" w:hAnsi="Cambria Math"/>
                      <w:i/>
                      <w:lang w:eastAsia="en-US" w:bidi="en-US"/>
                    </w:rPr>
                  </m:ctrlPr>
                </m:sSubPr>
                <m:e>
                  <m:r>
                    <w:rPr>
                      <w:rFonts w:ascii="Cambria Math" w:hAnsi="Cambria Math"/>
                      <w:lang w:eastAsia="en-US" w:bidi="en-US"/>
                    </w:rPr>
                    <m:t>P</m:t>
                  </m:r>
                </m:e>
                <m:sub>
                  <m:r>
                    <w:rPr>
                      <w:rFonts w:ascii="Cambria Math" w:hAnsi="Cambria Math"/>
                      <w:lang w:eastAsia="en-US" w:bidi="en-US"/>
                    </w:rPr>
                    <m:t>maxLoad</m:t>
                  </m:r>
                </m:sub>
              </m:sSub>
            </m:den>
          </m:f>
          <m:r>
            <w:rPr>
              <w:rFonts w:ascii="Cambria Math" w:hAnsi="Cambria Math"/>
              <w:lang w:eastAsia="en-US" w:bidi="en-US"/>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Ex%</w:t>
      </w:r>
      <w:r w:rsidRPr="0092047B">
        <w:rPr>
          <w:rFonts w:eastAsiaTheme="minorEastAsia" w:cstheme="minorHAnsi"/>
          <w:iCs/>
          <w:color w:val="000000" w:themeColor="text1"/>
          <w:szCs w:val="22"/>
        </w:rPr>
        <w:tab/>
        <w:t>souhrnná disponibilní přenosová kapacita v exportním směru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Im%</w:t>
      </w:r>
      <w:r w:rsidRPr="0092047B">
        <w:rPr>
          <w:rFonts w:eastAsiaTheme="minorEastAsia" w:cstheme="minorHAnsi"/>
          <w:iCs/>
          <w:color w:val="000000" w:themeColor="text1"/>
          <w:szCs w:val="22"/>
        </w:rPr>
        <w:tab/>
        <w:t>souhrnná disponibilní přenosová kapacita v importním směru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sumEx</w:t>
      </w:r>
      <w:r w:rsidRPr="0092047B">
        <w:rPr>
          <w:rFonts w:eastAsiaTheme="minorEastAsia" w:cstheme="minorHAnsi"/>
          <w:iCs/>
          <w:color w:val="000000" w:themeColor="text1"/>
          <w:szCs w:val="22"/>
        </w:rPr>
        <w:tab/>
        <w:t>sumární exportní schopnost PS [MW]</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 xml:space="preserve">sumIm </w:t>
      </w:r>
      <w:r w:rsidRPr="0092047B">
        <w:rPr>
          <w:rFonts w:eastAsiaTheme="minorEastAsia" w:cstheme="minorHAnsi"/>
          <w:iCs/>
          <w:color w:val="000000" w:themeColor="text1"/>
          <w:szCs w:val="22"/>
        </w:rPr>
        <w:tab/>
        <w:t>sumární importní schopnost PS [MW]</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maxLoad</w:t>
      </w:r>
      <w:r w:rsidRPr="0092047B">
        <w:rPr>
          <w:rFonts w:eastAsiaTheme="minorEastAsia" w:cstheme="minorHAnsi"/>
          <w:iCs/>
          <w:color w:val="000000" w:themeColor="text1"/>
          <w:szCs w:val="22"/>
        </w:rPr>
        <w:tab/>
        <w:t>maximální netto zatížení PS [MW]</w:t>
      </w:r>
    </w:p>
    <w:p w:rsidR="00110BA5" w:rsidRPr="0092047B" w:rsidRDefault="007D2C62" w:rsidP="00184DC1">
      <w:pPr>
        <w:keepLines/>
        <w:spacing w:after="120"/>
        <w:ind w:left="567"/>
        <w:rPr>
          <w:rFonts w:eastAsiaTheme="minorEastAsia" w:cstheme="minorHAnsi"/>
          <w:iCs/>
          <w:szCs w:val="22"/>
        </w:rPr>
      </w:pPr>
      <w:r w:rsidRPr="0010182F">
        <w:t>Ukazatel je vyhodnocován provozovatelem přenosové soustavy, společností ČEPS, a.s.,</w:t>
      </w:r>
      <w:r w:rsidRPr="0092047B">
        <w:t xml:space="preserve"> na základě vlastní metodiky </w:t>
      </w:r>
      <w:r w:rsidRPr="0092047B">
        <w:rPr>
          <w:lang w:eastAsia="en-US" w:bidi="en-US"/>
        </w:rPr>
        <w:t xml:space="preserve">pro účely plánování rozvoje PS pro horizont plánování 7 let a 15 let. Pro výpočty přeshraničních kapacit je používána tzv. NTC metodika </w:t>
      </w:r>
      <w:r w:rsidR="00682700" w:rsidRPr="0092047B">
        <w:rPr>
          <w:lang w:eastAsia="en-US" w:bidi="en-US"/>
        </w:rPr>
        <w:t>po</w:t>
      </w:r>
      <w:r w:rsidRPr="0092047B">
        <w:rPr>
          <w:lang w:eastAsia="en-US" w:bidi="en-US"/>
        </w:rPr>
        <w:t>dle ENTSO-E modifikovaná pro potřeby tranzitních systémů jako je PS ČR. Postup stanovení přeshraničních kapacit je ukotven v pracovním postupu ČEPS č. 03/2011/13100 - Postup určování volných obchodovatelných kapacit pro aukce a je současně uveden na webu ČEPS</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Cílem je udržet přenosovou kapacit</w:t>
      </w:r>
      <w:r w:rsidR="004F6234">
        <w:rPr>
          <w:rFonts w:eastAsiaTheme="minorEastAsia" w:cstheme="minorHAnsi"/>
          <w:iCs/>
          <w:szCs w:val="22"/>
        </w:rPr>
        <w:t>u</w:t>
      </w:r>
      <w:r w:rsidR="008F2C01" w:rsidRPr="0092047B">
        <w:rPr>
          <w:rFonts w:eastAsiaTheme="minorEastAsia" w:cstheme="minorHAnsi"/>
          <w:iCs/>
          <w:szCs w:val="22"/>
        </w:rPr>
        <w:t xml:space="preserve"> pro export i import na úrovni nejméně 30</w:t>
      </w:r>
      <w:r w:rsidR="00BD35CF" w:rsidRPr="0092047B">
        <w:rPr>
          <w:rFonts w:eastAsiaTheme="minorEastAsia" w:cstheme="minorHAnsi"/>
          <w:iCs/>
          <w:szCs w:val="22"/>
        </w:rPr>
        <w:t xml:space="preserve"> </w:t>
      </w:r>
      <w:r w:rsidR="008F2C01" w:rsidRPr="0092047B">
        <w:rPr>
          <w:rFonts w:eastAsiaTheme="minorEastAsia" w:cstheme="minorHAnsi"/>
          <w:iCs/>
          <w:szCs w:val="22"/>
        </w:rPr>
        <w:t xml:space="preserve">% zatížení ES ČR (což je trojnásobek cílů Lisabonské strategie a odpovídá tranzitnímu charakteru ES ČR). </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rPr>
      </w:pPr>
      <w:r w:rsidRPr="0092047B">
        <w:rPr>
          <w:rFonts w:asciiTheme="minorHAnsi" w:hAnsiTheme="minorHAnsi" w:cstheme="minorHAnsi"/>
          <w:sz w:val="24"/>
          <w:szCs w:val="24"/>
          <w:u w:val="single"/>
        </w:rPr>
        <w:t>Diskontované náklady na zajištění energie:</w:t>
      </w:r>
    </w:p>
    <w:p w:rsidR="007D2C62" w:rsidRPr="0092047B" w:rsidRDefault="007D2C62" w:rsidP="00184DC1">
      <w:pPr>
        <w:spacing w:after="120"/>
        <w:ind w:left="567"/>
      </w:pPr>
      <w:r w:rsidRPr="0092047B">
        <w:t>Náklady na zajištění energie v daném roce jsou stanoveny jako součet prostředků vynaložených v souvislosti se zabezpečením dodávek energie v odpovídajícím roce, tedy palivových nákladů na výrobu elektřiny a tepla, stálých a ostatních proměnných nákladů na provoz všech zdrojů elektřiny a tepla, investičních nákladů do zdrojů a infrastruktury, nákladů na realizaci úspor a nákladů na dovoz PEZ. Výše diskontovaných nákladů na zajištění energie se následně určí na základě tohoto vzorce:</w:t>
      </w:r>
    </w:p>
    <w:p w:rsidR="007D2C62" w:rsidRPr="0092047B" w:rsidRDefault="007D2C62" w:rsidP="00184DC1">
      <w:pPr>
        <w:spacing w:after="120"/>
        <w:ind w:left="1275" w:firstLine="141"/>
      </w:pPr>
      <m:oMathPara>
        <m:oMathParaPr>
          <m:jc m:val="left"/>
        </m:oMathParaPr>
        <m:oMath>
          <m:r>
            <w:rPr>
              <w:rFonts w:ascii="Cambria Math" w:hAnsi="Cambria Math"/>
            </w:rPr>
            <m:t>DCF=</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j</m:t>
                      </m:r>
                    </m:sub>
                  </m:sSub>
                </m:num>
                <m:den>
                  <m:sSup>
                    <m:sSupPr>
                      <m:ctrlPr>
                        <w:rPr>
                          <w:rFonts w:ascii="Cambria Math" w:hAnsi="Cambria Math"/>
                          <w:i/>
                        </w:rPr>
                      </m:ctrlPr>
                    </m:sSupPr>
                    <m:e>
                      <m:r>
                        <w:rPr>
                          <w:rFonts w:ascii="Cambria Math" w:hAnsi="Cambria Math"/>
                        </w:rPr>
                        <m:t>(1+DF)</m:t>
                      </m:r>
                    </m:e>
                    <m:sup>
                      <m:r>
                        <w:rPr>
                          <w:rFonts w:ascii="Cambria Math" w:hAnsi="Cambria Math"/>
                        </w:rPr>
                        <m:t>j</m:t>
                      </m:r>
                    </m:sup>
                  </m:sSup>
                </m:den>
              </m:f>
            </m:e>
          </m:nary>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DCF</w:t>
      </w:r>
      <w:r w:rsidRPr="0092047B">
        <w:rPr>
          <w:rFonts w:eastAsiaTheme="minorEastAsia" w:cstheme="minorHAnsi"/>
          <w:iCs/>
          <w:color w:val="000000" w:themeColor="text1"/>
          <w:szCs w:val="22"/>
        </w:rPr>
        <w:tab/>
        <w:t>Diskontované náklady k danému roku (discounted cash flow) [mil Kč]</w:t>
      </w:r>
    </w:p>
    <w:p w:rsidR="007D2C62" w:rsidRPr="0092047B" w:rsidRDefault="007D2C62" w:rsidP="00184DC1">
      <w:pPr>
        <w:spacing w:after="120"/>
        <w:ind w:left="2127" w:hanging="851"/>
        <w:rPr>
          <w:rFonts w:eastAsiaTheme="minorEastAsia" w:cstheme="minorHAnsi"/>
          <w:iCs/>
          <w:color w:val="000000" w:themeColor="text1"/>
          <w:szCs w:val="22"/>
        </w:rPr>
      </w:pPr>
      <w:r w:rsidRPr="0092047B">
        <w:rPr>
          <w:rFonts w:eastAsiaTheme="minorEastAsia" w:cstheme="minorHAnsi"/>
          <w:i/>
          <w:iCs/>
          <w:color w:val="000000" w:themeColor="text1"/>
          <w:szCs w:val="22"/>
        </w:rPr>
        <w:t>DF</w:t>
      </w:r>
      <w:r w:rsidRPr="0092047B">
        <w:rPr>
          <w:rFonts w:eastAsiaTheme="minorEastAsia" w:cstheme="minorHAnsi"/>
          <w:iCs/>
          <w:color w:val="000000" w:themeColor="text1"/>
          <w:szCs w:val="22"/>
        </w:rPr>
        <w:tab/>
        <w:t>Diskontní faktor odpovídající bezrizikové výnosové míře a rizikové přirážce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CF</w:t>
      </w:r>
      <w:r w:rsidRPr="0092047B">
        <w:rPr>
          <w:rFonts w:eastAsiaTheme="minorEastAsia" w:cstheme="minorHAnsi"/>
          <w:i/>
          <w:iCs/>
          <w:color w:val="000000" w:themeColor="text1"/>
          <w:szCs w:val="22"/>
          <w:vertAlign w:val="subscript"/>
        </w:rPr>
        <w:t>j</w:t>
      </w:r>
      <w:r w:rsidRPr="0092047B">
        <w:rPr>
          <w:rFonts w:eastAsiaTheme="minorEastAsia" w:cstheme="minorHAnsi"/>
          <w:iCs/>
          <w:color w:val="000000" w:themeColor="text1"/>
          <w:szCs w:val="22"/>
        </w:rPr>
        <w:tab/>
        <w:t>Náklady (cash flow) v daném roce j [mil Kč]</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w:t>
      </w:r>
      <w:r w:rsidRPr="0092047B">
        <w:rPr>
          <w:rFonts w:eastAsiaTheme="minorEastAsia" w:cstheme="minorHAnsi"/>
          <w:iCs/>
          <w:color w:val="000000" w:themeColor="text1"/>
          <w:szCs w:val="22"/>
        </w:rPr>
        <w:tab/>
        <w:t>Celkový počet let, na který jsou diskontované náklady kvantifikovány</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jsou statistiky a budoucí výhledy zpracovávané na Ministerstvu průmyslu a obchodu podle</w:t>
      </w:r>
      <w:r w:rsidR="00E144C7">
        <w:rPr>
          <w:rFonts w:eastAsiaTheme="minorEastAsia" w:cstheme="minorHAnsi"/>
          <w:iCs/>
          <w:szCs w:val="22"/>
        </w:rPr>
        <w:t xml:space="preserve"> 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 xml:space="preserve">Cílem je optimalizace nákladů s respektováním požadavků na energetickou bezpečnost a udržitelnost dodávek. </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 xml:space="preserve">Poměry cen energie na </w:t>
      </w:r>
      <w:r w:rsidR="00BD35CF" w:rsidRPr="0092047B">
        <w:rPr>
          <w:rFonts w:asciiTheme="minorHAnsi" w:hAnsiTheme="minorHAnsi" w:cstheme="minorHAnsi"/>
          <w:sz w:val="24"/>
          <w:szCs w:val="24"/>
          <w:u w:val="single"/>
        </w:rPr>
        <w:t>velkoobchodním trhu k průměru globálních konkurentů</w:t>
      </w:r>
      <w:r w:rsidRPr="0092047B">
        <w:rPr>
          <w:rFonts w:asciiTheme="minorHAnsi" w:hAnsiTheme="minorHAnsi" w:cstheme="minorHAnsi"/>
          <w:sz w:val="24"/>
          <w:szCs w:val="24"/>
          <w:u w:val="single"/>
        </w:rPr>
        <w:t>:</w:t>
      </w:r>
    </w:p>
    <w:p w:rsidR="007D2C62" w:rsidRPr="0092047B" w:rsidRDefault="007D2C62" w:rsidP="00184DC1">
      <w:pPr>
        <w:spacing w:after="120"/>
        <w:ind w:left="567"/>
      </w:pPr>
      <w:r w:rsidRPr="0092047B">
        <w:t>Poměry cen energie na velkoobchodním</w:t>
      </w:r>
      <w:r w:rsidR="005E2A88" w:rsidRPr="0092047B">
        <w:t xml:space="preserve"> (VO)</w:t>
      </w:r>
      <w:r w:rsidRPr="0092047B">
        <w:t xml:space="preserve"> trhu k průměru </w:t>
      </w:r>
      <w:r w:rsidR="008F2C01" w:rsidRPr="0092047B">
        <w:t>OECD a BRIC</w:t>
      </w:r>
      <w:r w:rsidR="00BD35CF" w:rsidRPr="0092047B">
        <w:t>S</w:t>
      </w:r>
      <w:r w:rsidR="008F2C01" w:rsidRPr="0092047B">
        <w:t xml:space="preserve"> </w:t>
      </w:r>
      <w:r w:rsidRPr="0092047B">
        <w:t xml:space="preserve">v daném roce jsou stanoveny jako podíly cen energií obchodovaných na </w:t>
      </w:r>
      <w:r w:rsidR="005E2A88" w:rsidRPr="0092047B">
        <w:t>VO</w:t>
      </w:r>
      <w:r w:rsidRPr="0092047B">
        <w:t xml:space="preserve"> trhu a průměrných cen příslušných energií v rámci </w:t>
      </w:r>
      <w:r w:rsidR="008F2C01" w:rsidRPr="0092047B">
        <w:t xml:space="preserve">definovaných skupin zemí </w:t>
      </w:r>
      <w:r w:rsidRPr="0092047B">
        <w:t>v odpovídajícím roce:</w:t>
      </w:r>
    </w:p>
    <w:p w:rsidR="007D2C62" w:rsidRPr="0092047B" w:rsidRDefault="00D76A86" w:rsidP="00184DC1">
      <w:pPr>
        <w:spacing w:before="240" w:after="120"/>
        <w:ind w:left="1276"/>
        <w:rPr>
          <w:rFonts w:cstheme="minorHAnsi"/>
          <w:iCs/>
        </w:rPr>
      </w:pPr>
      <m:oMathPara>
        <m:oMathParaPr>
          <m:jc m:val="left"/>
        </m:oMathPara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C</m:t>
              </m:r>
              <m:r>
                <w:rPr>
                  <w:rFonts w:ascii="Cambria Math" w:hAnsi="Cambria Math" w:cstheme="minorHAnsi"/>
                </w:rPr>
                <m:t>E</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C</m:t>
                  </m:r>
                </m:e>
                <m:sub>
                  <m:r>
                    <w:rPr>
                      <w:rFonts w:ascii="Cambria Math" w:hAnsi="Cambria Math" w:cstheme="minorHAnsi"/>
                    </w:rPr>
                    <m:t>EVO</m:t>
                  </m:r>
                </m:sub>
              </m:sSub>
            </m:num>
            <m:den>
              <m:sSub>
                <m:sSubPr>
                  <m:ctrlPr>
                    <w:rPr>
                      <w:rFonts w:ascii="Cambria Math" w:hAnsi="Cambria Math" w:cstheme="minorHAnsi"/>
                      <w:i/>
                      <w:iCs/>
                    </w:rPr>
                  </m:ctrlPr>
                </m:sSubPr>
                <m:e>
                  <m:r>
                    <w:rPr>
                      <w:rFonts w:ascii="Cambria Math" w:hAnsi="Cambria Math" w:cstheme="minorHAnsi"/>
                    </w:rPr>
                    <m:t>C</m:t>
                  </m:r>
                </m:e>
                <m:sub>
                  <m:r>
                    <w:rPr>
                      <w:rFonts w:ascii="Cambria Math" w:hAnsi="Cambria Math" w:cstheme="minorHAnsi"/>
                    </w:rPr>
                    <m:t>Epr</m:t>
                  </m:r>
                </m:sub>
              </m:sSub>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CE</w:t>
      </w:r>
      <w:r w:rsidRPr="0092047B">
        <w:rPr>
          <w:rFonts w:eastAsiaTheme="minorEastAsia" w:cstheme="minorHAnsi"/>
          <w:iCs/>
          <w:color w:val="000000" w:themeColor="text1"/>
          <w:szCs w:val="22"/>
        </w:rPr>
        <w:tab/>
        <w:t>poměr ceny energie na velkoobchodním trhu k průměru EU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C</w:t>
      </w:r>
      <w:r w:rsidRPr="0092047B">
        <w:rPr>
          <w:rFonts w:eastAsiaTheme="minorEastAsia" w:cstheme="minorHAnsi"/>
          <w:i/>
          <w:iCs/>
          <w:color w:val="000000" w:themeColor="text1"/>
          <w:szCs w:val="22"/>
          <w:vertAlign w:val="subscript"/>
        </w:rPr>
        <w:t>EVO</w:t>
      </w:r>
      <w:r w:rsidRPr="0092047B">
        <w:rPr>
          <w:rFonts w:eastAsiaTheme="minorEastAsia" w:cstheme="minorHAnsi"/>
          <w:iCs/>
          <w:color w:val="000000" w:themeColor="text1"/>
          <w:szCs w:val="22"/>
        </w:rPr>
        <w:tab/>
        <w:t>cena energie na velkoobchodním trhu [Kč/MWh]</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C</w:t>
      </w:r>
      <w:r w:rsidR="00ED34C2" w:rsidRPr="0092047B">
        <w:rPr>
          <w:rFonts w:eastAsiaTheme="minorEastAsia" w:cstheme="minorHAnsi"/>
          <w:i/>
          <w:iCs/>
          <w:color w:val="000000" w:themeColor="text1"/>
          <w:szCs w:val="22"/>
          <w:vertAlign w:val="subscript"/>
        </w:rPr>
        <w:t>Epr</w:t>
      </w:r>
      <w:r w:rsidRPr="0092047B">
        <w:rPr>
          <w:rFonts w:eastAsiaTheme="minorEastAsia" w:cstheme="minorHAnsi"/>
          <w:iCs/>
          <w:color w:val="000000" w:themeColor="text1"/>
          <w:szCs w:val="22"/>
        </w:rPr>
        <w:tab/>
        <w:t xml:space="preserve">průměrná cena energie v rámci </w:t>
      </w:r>
      <w:r w:rsidR="00ED34C2" w:rsidRPr="0092047B">
        <w:rPr>
          <w:rFonts w:eastAsiaTheme="minorEastAsia" w:cstheme="minorHAnsi"/>
          <w:iCs/>
          <w:color w:val="000000" w:themeColor="text1"/>
          <w:szCs w:val="22"/>
        </w:rPr>
        <w:t>OECD nebo BRICS</w:t>
      </w:r>
      <w:r w:rsidRPr="0092047B">
        <w:rPr>
          <w:rFonts w:eastAsiaTheme="minorEastAsia" w:cstheme="minorHAnsi"/>
          <w:iCs/>
          <w:color w:val="000000" w:themeColor="text1"/>
          <w:szCs w:val="22"/>
        </w:rPr>
        <w:t xml:space="preserve"> [Kč/MWh]</w:t>
      </w:r>
    </w:p>
    <w:p w:rsidR="007D2C62" w:rsidRPr="0092047B" w:rsidRDefault="007D2C62" w:rsidP="00184DC1">
      <w:pPr>
        <w:spacing w:after="120"/>
        <w:ind w:left="567"/>
      </w:pPr>
      <w:r w:rsidRPr="0092047B">
        <w:rPr>
          <w:rFonts w:eastAsiaTheme="minorEastAsia" w:cstheme="minorHAnsi"/>
          <w:iCs/>
          <w:szCs w:val="22"/>
        </w:rPr>
        <w:t xml:space="preserve">Zdrojem vstupních dat pro výpočet tohoto ukazatele jsou statistiky a budoucí výhledy </w:t>
      </w:r>
      <w:r w:rsidR="008F2C01" w:rsidRPr="0092047B">
        <w:rPr>
          <w:rFonts w:eastAsiaTheme="minorEastAsia" w:cstheme="minorHAnsi"/>
          <w:iCs/>
          <w:szCs w:val="22"/>
        </w:rPr>
        <w:t>Mezinárodní energetické agentury OECD</w:t>
      </w:r>
      <w:r w:rsidR="00BD35CF" w:rsidRPr="0092047B">
        <w:rPr>
          <w:rFonts w:eastAsiaTheme="minorEastAsia" w:cstheme="minorHAnsi"/>
          <w:iCs/>
          <w:szCs w:val="22"/>
        </w:rPr>
        <w:t xml:space="preserve"> (IEA)</w:t>
      </w:r>
      <w:r w:rsidR="008F2C01" w:rsidRPr="0092047B">
        <w:rPr>
          <w:rFonts w:eastAsiaTheme="minorEastAsia" w:cstheme="minorHAnsi"/>
          <w:iCs/>
          <w:szCs w:val="22"/>
        </w:rPr>
        <w:t xml:space="preserve"> a statistiky a výhledy </w:t>
      </w:r>
      <w:r w:rsidRPr="0092047B">
        <w:rPr>
          <w:rFonts w:eastAsiaTheme="minorEastAsia" w:cstheme="minorHAnsi"/>
          <w:iCs/>
          <w:szCs w:val="22"/>
        </w:rPr>
        <w:t>zpracovávané na Ministerstvu průmyslu a obchodu podle</w:t>
      </w:r>
      <w:r w:rsidR="00E144C7">
        <w:rPr>
          <w:rFonts w:eastAsiaTheme="minorEastAsia" w:cstheme="minorHAnsi"/>
          <w:iCs/>
          <w:szCs w:val="22"/>
        </w:rPr>
        <w:t xml:space="preserve"> 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Cílem je udržení cenové hladiny energie nejvýše do 120</w:t>
      </w:r>
      <w:r w:rsidR="00BD35CF" w:rsidRPr="0092047B">
        <w:rPr>
          <w:rFonts w:eastAsiaTheme="minorEastAsia" w:cstheme="minorHAnsi"/>
          <w:iCs/>
          <w:szCs w:val="22"/>
        </w:rPr>
        <w:t xml:space="preserve"> </w:t>
      </w:r>
      <w:r w:rsidR="008F2C01" w:rsidRPr="0092047B">
        <w:rPr>
          <w:rFonts w:eastAsiaTheme="minorEastAsia" w:cstheme="minorHAnsi"/>
          <w:iCs/>
          <w:szCs w:val="22"/>
        </w:rPr>
        <w:t xml:space="preserve">% úrovně OECD. </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Konečná cena elektřiny na hladině nn a vn a zemního plynu:</w:t>
      </w:r>
    </w:p>
    <w:p w:rsidR="007D2C62" w:rsidRPr="0092047B" w:rsidRDefault="007D2C62" w:rsidP="00184DC1">
      <w:pPr>
        <w:spacing w:after="120"/>
        <w:ind w:left="567"/>
      </w:pPr>
      <w:r w:rsidRPr="0092047B">
        <w:t xml:space="preserve">Konečná cena elektrické energie na hladině nízkého napětí (nn) v daném roce je stanovena jako součet </w:t>
      </w:r>
      <w:r w:rsidR="00295591">
        <w:t>cen za silovou elektřinu</w:t>
      </w:r>
      <w:r w:rsidR="00295591" w:rsidRPr="0092047B">
        <w:t>, za systémové služby, za přenos a distribuci elektřiny a dále příspěvku na OZE</w:t>
      </w:r>
      <w:r w:rsidR="00295591">
        <w:t xml:space="preserve"> a KVET</w:t>
      </w:r>
      <w:r w:rsidR="00295591" w:rsidRPr="0092047B">
        <w:t xml:space="preserve"> v odpovídajícím roce</w:t>
      </w:r>
      <w:r w:rsidR="00295591">
        <w:t>, včetně poplatku za činnost OTE</w:t>
      </w:r>
      <w:r w:rsidR="00295591" w:rsidRPr="0092047B">
        <w:t>.</w:t>
      </w:r>
    </w:p>
    <w:p w:rsidR="007D2C62" w:rsidRPr="0092047B" w:rsidRDefault="007D2C62" w:rsidP="00184DC1">
      <w:pPr>
        <w:spacing w:after="120"/>
        <w:ind w:left="567"/>
      </w:pPr>
      <w:r w:rsidRPr="0092047B">
        <w:t>Konečná cena elektrické energie na hladině vn v daném roce je stanovena jako součet cen za silovou elektřinu, za systémové služby, za přenos a distribuci elektřiny a dále příspěvku na OZE</w:t>
      </w:r>
      <w:r w:rsidR="004F6234">
        <w:t xml:space="preserve"> a KVET</w:t>
      </w:r>
      <w:r w:rsidRPr="0092047B">
        <w:t xml:space="preserve"> v odpovídajícím roce</w:t>
      </w:r>
      <w:r w:rsidR="00FF7AAE">
        <w:t>, včetně poplatku za činnost OTE</w:t>
      </w:r>
      <w:r w:rsidRPr="0092047B">
        <w:t>.</w:t>
      </w:r>
    </w:p>
    <w:p w:rsidR="007D2C62" w:rsidRPr="0092047B" w:rsidRDefault="007D2C62" w:rsidP="00184DC1">
      <w:pPr>
        <w:spacing w:after="120"/>
        <w:ind w:left="567"/>
      </w:pPr>
      <w:r w:rsidRPr="0092047B">
        <w:t>Konečná cena zemního plynu v daném roce je stanovena jako součet komoditní ceny zemního plynu, plateb za uskladnění a služby, ceny za přepravu a ceny za distribuci v odpovídajícím roce</w:t>
      </w:r>
      <w:r w:rsidR="00B54F01">
        <w:t>, včetně poplatku za činnost OTE</w:t>
      </w:r>
      <w:r w:rsidRPr="0092047B">
        <w:t>.</w:t>
      </w:r>
    </w:p>
    <w:p w:rsidR="007D2C62" w:rsidRPr="0092047B" w:rsidRDefault="007D2C62" w:rsidP="00184DC1">
      <w:pPr>
        <w:spacing w:after="120"/>
        <w:ind w:left="567"/>
      </w:pPr>
      <w:r w:rsidRPr="0092047B">
        <w:t>Zdrojem vstupních dat pro vyhodnocení tohoto ukazatele jsou statistiky zpracovávané statistickým úřadem Evropské unie Eurostat, výhledy zpracovávané IEA</w:t>
      </w:r>
      <w:r w:rsidR="00184DC1">
        <w:t xml:space="preserve"> </w:t>
      </w:r>
      <w:r w:rsidRPr="0092047B">
        <w:t xml:space="preserve">a výhledy zpracovávané na MPO </w:t>
      </w:r>
      <w:r w:rsidRPr="0092047B">
        <w:rPr>
          <w:rFonts w:eastAsiaTheme="minorEastAsia" w:cstheme="minorHAnsi"/>
          <w:iCs/>
          <w:szCs w:val="22"/>
        </w:rPr>
        <w:t xml:space="preserve">podle </w:t>
      </w:r>
      <w:r w:rsidR="001E2173">
        <w:rPr>
          <w:rFonts w:eastAsiaTheme="minorEastAsia" w:cstheme="minorHAnsi"/>
          <w:iCs/>
          <w:szCs w:val="22"/>
        </w:rPr>
        <w:t>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 xml:space="preserve">Cílem je dosažení a udržení cenových hladin pod úrovní EU28. </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Podíl výdajů na energii na celkových výdajích domácností:</w:t>
      </w:r>
    </w:p>
    <w:p w:rsidR="007D2C62" w:rsidRPr="0092047B" w:rsidRDefault="007D2C62" w:rsidP="00184DC1">
      <w:pPr>
        <w:spacing w:after="120"/>
        <w:ind w:left="567"/>
        <w:rPr>
          <w:rFonts w:cstheme="minorHAnsi"/>
        </w:rPr>
      </w:pPr>
      <w:r w:rsidRPr="0092047B">
        <w:rPr>
          <w:rFonts w:cstheme="minorHAnsi"/>
        </w:rPr>
        <w:t>Podíl výdajů na energii na celkových výdajích domácností v daném roce je stanoven jako poměr výdajů domácností na veškerou spotřebu energií k jejich celkovým výdajům v odpovídajícím roce podle následujícího vztahu:</w:t>
      </w:r>
    </w:p>
    <w:p w:rsidR="007D2C62" w:rsidRPr="0092047B" w:rsidRDefault="00D76A86" w:rsidP="00184DC1">
      <w:pPr>
        <w:spacing w:before="240" w:after="120"/>
        <w:ind w:left="1276" w:firstLine="1"/>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VDE</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VD</m:t>
                  </m:r>
                </m:e>
                <m:sub>
                  <m:r>
                    <w:rPr>
                      <w:rFonts w:ascii="Cambria Math" w:hAnsi="Cambria Math" w:cstheme="minorHAnsi"/>
                    </w:rPr>
                    <m:t>E</m:t>
                  </m:r>
                </m:sub>
              </m:sSub>
            </m:num>
            <m:den>
              <m:r>
                <w:rPr>
                  <w:rFonts w:ascii="Cambria Math" w:hAnsi="Cambria Math" w:cstheme="minorHAnsi"/>
                </w:rPr>
                <m:t>VD</m:t>
              </m:r>
            </m:den>
          </m:f>
          <m:r>
            <w:rPr>
              <w:rFonts w:ascii="Cambria Math" w:hAnsi="Cambria Math" w:cstheme="minorHAnsi"/>
            </w:rPr>
            <m:t>∙100%</m:t>
          </m:r>
        </m:oMath>
      </m:oMathPara>
    </w:p>
    <w:p w:rsidR="007D2C62" w:rsidRPr="0092047B" w:rsidRDefault="007D2C62" w:rsidP="00184DC1">
      <w:pPr>
        <w:keepNext/>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VDE</w:t>
      </w:r>
      <w:r w:rsidRPr="0092047B">
        <w:rPr>
          <w:rFonts w:eastAsiaTheme="minorEastAsia" w:cstheme="minorHAnsi"/>
          <w:iCs/>
          <w:color w:val="000000" w:themeColor="text1"/>
          <w:szCs w:val="22"/>
        </w:rPr>
        <w:tab/>
        <w:t>podíl výdajů na energie na výdajích domácností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VD</w:t>
      </w:r>
      <w:r w:rsidRPr="0092047B">
        <w:rPr>
          <w:rFonts w:eastAsiaTheme="minorEastAsia" w:cstheme="minorHAnsi"/>
          <w:i/>
          <w:iCs/>
          <w:color w:val="000000" w:themeColor="text1"/>
          <w:szCs w:val="22"/>
          <w:vertAlign w:val="subscript"/>
        </w:rPr>
        <w:t>E</w:t>
      </w:r>
      <w:r w:rsidRPr="0092047B">
        <w:rPr>
          <w:rFonts w:eastAsiaTheme="minorEastAsia" w:cstheme="minorHAnsi"/>
          <w:iCs/>
          <w:color w:val="000000" w:themeColor="text1"/>
          <w:szCs w:val="22"/>
        </w:rPr>
        <w:tab/>
        <w:t>výdaje domácností na energie [mld. Kč]</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color w:val="000000" w:themeColor="text1"/>
          <w:szCs w:val="22"/>
        </w:rPr>
        <w:t>VD</w:t>
      </w:r>
      <w:r w:rsidRPr="0092047B">
        <w:rPr>
          <w:rFonts w:eastAsiaTheme="minorEastAsia" w:cstheme="minorHAnsi"/>
          <w:iCs/>
          <w:szCs w:val="22"/>
        </w:rPr>
        <w:tab/>
        <w:t>celkové výdaje domácností [mld. Kč]</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je Statistika rodinných účtů (SRÚ), kterou zpracovává a zveřejňuje Český statistický úřad (ČSÚ) a budoucí výhledy zpracovávané na MPO podle</w:t>
      </w:r>
      <w:r w:rsidR="00E144C7">
        <w:rPr>
          <w:rFonts w:eastAsiaTheme="minorEastAsia" w:cstheme="minorHAnsi"/>
          <w:iCs/>
          <w:szCs w:val="22"/>
        </w:rPr>
        <w:t xml:space="preserve"> 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Cílem je dosažení indikátoru co nejníže pod úrovní 10</w:t>
      </w:r>
      <w:r w:rsidR="00BD35CF" w:rsidRPr="0092047B">
        <w:rPr>
          <w:rFonts w:eastAsiaTheme="minorEastAsia" w:cstheme="minorHAnsi"/>
          <w:iCs/>
          <w:szCs w:val="22"/>
        </w:rPr>
        <w:t xml:space="preserve"> </w:t>
      </w:r>
      <w:r w:rsidR="008F2C01" w:rsidRPr="0092047B">
        <w:rPr>
          <w:rFonts w:eastAsiaTheme="minorEastAsia" w:cstheme="minorHAnsi"/>
          <w:iCs/>
          <w:szCs w:val="22"/>
        </w:rPr>
        <w:t xml:space="preserve">%. </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Podíl sektoru energetiky na hrubé přidané hodnotě:</w:t>
      </w:r>
    </w:p>
    <w:p w:rsidR="007D2C62" w:rsidRPr="0092047B" w:rsidRDefault="007D2C62" w:rsidP="00184DC1">
      <w:pPr>
        <w:spacing w:after="120"/>
        <w:ind w:left="567"/>
        <w:rPr>
          <w:rFonts w:cstheme="minorHAnsi"/>
        </w:rPr>
      </w:pPr>
      <w:r w:rsidRPr="0092047B">
        <w:rPr>
          <w:rFonts w:cstheme="minorHAnsi"/>
        </w:rPr>
        <w:t>Podíl sektoru energetiky na HPH v daném roce je stanoven jako podíl HPH energetického sektoru (vyjádřeného jako CZ-NACE 35 Výroba a rozvod elektřiny, plynu, tepla a klimatizovaného vzduchu) na celkové velikosti HPH v odpovídajícím roce takto:</w:t>
      </w:r>
    </w:p>
    <w:p w:rsidR="007D2C62" w:rsidRPr="0092047B" w:rsidRDefault="00D76A86" w:rsidP="00184DC1">
      <w:pPr>
        <w:spacing w:before="240" w:after="120"/>
        <w:ind w:left="1276" w:firstLine="1"/>
        <w:rPr>
          <w:rFonts w:cstheme="minorHAnsi"/>
          <w:iCs/>
        </w:rPr>
      </w:pPr>
      <m:oMathPara>
        <m:oMathParaPr>
          <m:jc m:val="left"/>
        </m:oMathPara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SE</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HPH</m:t>
                  </m:r>
                </m:e>
                <m:sub>
                  <m:r>
                    <w:rPr>
                      <w:rFonts w:ascii="Cambria Math" w:hAnsi="Cambria Math" w:cstheme="minorHAnsi"/>
                    </w:rPr>
                    <m:t>SE</m:t>
                  </m:r>
                </m:sub>
              </m:sSub>
            </m:num>
            <m:den>
              <m:r>
                <w:rPr>
                  <w:rFonts w:ascii="Cambria Math" w:hAnsi="Cambria Math" w:cstheme="minorHAnsi"/>
                </w:rPr>
                <m:t>HPH</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SE</w:t>
      </w:r>
      <w:r w:rsidRPr="0092047B">
        <w:rPr>
          <w:rFonts w:eastAsiaTheme="minorEastAsia" w:cstheme="minorHAnsi"/>
          <w:iCs/>
          <w:color w:val="000000" w:themeColor="text1"/>
          <w:szCs w:val="22"/>
        </w:rPr>
        <w:tab/>
        <w:t>podíl sektoru energetiky na HPH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HPH</w:t>
      </w:r>
      <w:r w:rsidRPr="0092047B">
        <w:rPr>
          <w:rFonts w:eastAsiaTheme="minorEastAsia" w:cstheme="minorHAnsi"/>
          <w:i/>
          <w:iCs/>
          <w:color w:val="000000" w:themeColor="text1"/>
          <w:szCs w:val="22"/>
          <w:vertAlign w:val="subscript"/>
        </w:rPr>
        <w:t>SE</w:t>
      </w:r>
      <w:r w:rsidRPr="0092047B">
        <w:rPr>
          <w:rFonts w:eastAsiaTheme="minorEastAsia" w:cstheme="minorHAnsi"/>
          <w:iCs/>
          <w:color w:val="000000" w:themeColor="text1"/>
          <w:szCs w:val="22"/>
        </w:rPr>
        <w:tab/>
        <w:t>velikost HPH sektoru energetiky [mld. Kč]</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HPH</w:t>
      </w:r>
      <w:r w:rsidRPr="0092047B">
        <w:rPr>
          <w:rFonts w:eastAsiaTheme="minorEastAsia" w:cstheme="minorHAnsi"/>
          <w:iCs/>
          <w:szCs w:val="22"/>
        </w:rPr>
        <w:tab/>
        <w:t>celková velikost HPH [mld. Kč]</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jsou statistiky</w:t>
      </w:r>
      <w:r w:rsidR="008C6EAA">
        <w:rPr>
          <w:rFonts w:eastAsiaTheme="minorEastAsia" w:cstheme="minorHAnsi"/>
          <w:iCs/>
          <w:szCs w:val="22"/>
        </w:rPr>
        <w:t xml:space="preserve"> zpracovávané na</w:t>
      </w:r>
      <w:r w:rsidR="00E144C7">
        <w:rPr>
          <w:rFonts w:eastAsiaTheme="minorEastAsia" w:cstheme="minorHAnsi"/>
          <w:iCs/>
          <w:szCs w:val="22"/>
        </w:rPr>
        <w:t xml:space="preserve"> ČSÚ</w:t>
      </w:r>
      <w:r w:rsidRPr="0092047B">
        <w:rPr>
          <w:rFonts w:eastAsiaTheme="minorEastAsia" w:cstheme="minorHAnsi"/>
          <w:iCs/>
          <w:szCs w:val="22"/>
        </w:rPr>
        <w:t xml:space="preserve"> a budoucí výhledy zpracovávané na </w:t>
      </w:r>
      <w:r w:rsidR="008C6EAA">
        <w:rPr>
          <w:rFonts w:eastAsiaTheme="minorEastAsia" w:cstheme="minorHAnsi"/>
          <w:iCs/>
          <w:szCs w:val="22"/>
        </w:rPr>
        <w:t>MPO</w:t>
      </w:r>
      <w:r w:rsidRPr="0092047B">
        <w:rPr>
          <w:rFonts w:eastAsiaTheme="minorEastAsia" w:cstheme="minorHAnsi"/>
          <w:iCs/>
          <w:szCs w:val="22"/>
        </w:rPr>
        <w:t xml:space="preserve"> podle</w:t>
      </w:r>
      <w:r w:rsidR="008C6EAA">
        <w:rPr>
          <w:rFonts w:eastAsiaTheme="minorEastAsia" w:cstheme="minorHAnsi"/>
          <w:iCs/>
          <w:szCs w:val="22"/>
        </w:rPr>
        <w:t xml:space="preserve"> 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Cílem je optimalizace úrovně podílu.</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Podíl dovozu energie na hrubé přidané hodnotě:</w:t>
      </w:r>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Podíl dovozu energie na HPH v daném roce je stanoven jako poměr prostředků vynaložených na dovoz energie na úrovni PEZ k velikosti HPH v odpovídajícím roce podle rovnice:</w:t>
      </w:r>
    </w:p>
    <w:p w:rsidR="007D2C62" w:rsidRPr="0092047B" w:rsidRDefault="00D76A86" w:rsidP="00184DC1">
      <w:pPr>
        <w:spacing w:before="240" w:after="120"/>
        <w:ind w:left="1276" w:firstLine="1"/>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Im</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N</m:t>
                  </m:r>
                </m:e>
                <m:sub>
                  <m:r>
                    <w:rPr>
                      <w:rFonts w:ascii="Cambria Math" w:hAnsi="Cambria Math" w:cstheme="minorHAnsi"/>
                    </w:rPr>
                    <m:t>Im</m:t>
                  </m:r>
                </m:sub>
              </m:sSub>
            </m:num>
            <m:den>
              <m:r>
                <w:rPr>
                  <w:rFonts w:ascii="Cambria Math" w:hAnsi="Cambria Math" w:cstheme="minorHAnsi"/>
                </w:rPr>
                <m:t>HPH</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Im</w:t>
      </w:r>
      <w:r w:rsidRPr="0092047B">
        <w:rPr>
          <w:rFonts w:eastAsiaTheme="minorEastAsia" w:cstheme="minorHAnsi"/>
          <w:iCs/>
          <w:color w:val="000000" w:themeColor="text1"/>
          <w:szCs w:val="22"/>
        </w:rPr>
        <w:tab/>
        <w:t>podíl dovozu energie na HPH [%]</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N</w:t>
      </w:r>
      <w:r w:rsidRPr="0092047B">
        <w:rPr>
          <w:rFonts w:eastAsiaTheme="minorEastAsia" w:cstheme="minorHAnsi"/>
          <w:i/>
          <w:iCs/>
          <w:szCs w:val="22"/>
          <w:vertAlign w:val="subscript"/>
        </w:rPr>
        <w:t>Im</w:t>
      </w:r>
      <w:r w:rsidRPr="0092047B">
        <w:rPr>
          <w:rFonts w:eastAsiaTheme="minorEastAsia" w:cstheme="minorHAnsi"/>
          <w:iCs/>
          <w:szCs w:val="22"/>
        </w:rPr>
        <w:tab/>
        <w:t>náklady na dovoz energie [mld. Kč]</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HPH</w:t>
      </w:r>
      <w:r w:rsidRPr="0092047B">
        <w:rPr>
          <w:rFonts w:eastAsiaTheme="minorEastAsia" w:cstheme="minorHAnsi"/>
          <w:iCs/>
          <w:szCs w:val="22"/>
        </w:rPr>
        <w:tab/>
        <w:t>celková velikost HPH [mld. Kč]</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w:t>
      </w:r>
      <w:r w:rsidR="008C6EAA">
        <w:rPr>
          <w:rFonts w:eastAsiaTheme="minorEastAsia" w:cstheme="minorHAnsi"/>
          <w:iCs/>
          <w:szCs w:val="22"/>
        </w:rPr>
        <w:t xml:space="preserve">zpracovávané na </w:t>
      </w:r>
      <w:r w:rsidR="00E144C7">
        <w:rPr>
          <w:rFonts w:eastAsiaTheme="minorEastAsia" w:cstheme="minorHAnsi"/>
          <w:iCs/>
          <w:szCs w:val="22"/>
        </w:rPr>
        <w:t xml:space="preserve">ČSÚ </w:t>
      </w:r>
      <w:r w:rsidRPr="0092047B">
        <w:rPr>
          <w:rFonts w:eastAsiaTheme="minorEastAsia" w:cstheme="minorHAnsi"/>
          <w:iCs/>
          <w:szCs w:val="22"/>
        </w:rPr>
        <w:t>a</w:t>
      </w:r>
      <w:r w:rsidR="0041288E">
        <w:rPr>
          <w:rFonts w:eastAsiaTheme="minorEastAsia" w:cstheme="minorHAnsi"/>
          <w:iCs/>
          <w:szCs w:val="22"/>
        </w:rPr>
        <w:t xml:space="preserve"> statistiky a</w:t>
      </w:r>
      <w:r w:rsidRPr="0092047B">
        <w:rPr>
          <w:rFonts w:eastAsiaTheme="minorEastAsia" w:cstheme="minorHAnsi"/>
          <w:iCs/>
          <w:szCs w:val="22"/>
        </w:rPr>
        <w:t xml:space="preserve"> budoucí výhledy zpracovávané na </w:t>
      </w:r>
      <w:r w:rsidR="008C6EAA">
        <w:rPr>
          <w:rFonts w:eastAsiaTheme="minorEastAsia" w:cstheme="minorHAnsi"/>
          <w:iCs/>
          <w:szCs w:val="22"/>
        </w:rPr>
        <w:t>MPO</w:t>
      </w:r>
      <w:r w:rsidRPr="0092047B">
        <w:rPr>
          <w:rFonts w:eastAsiaTheme="minorEastAsia" w:cstheme="minorHAnsi"/>
          <w:iCs/>
          <w:szCs w:val="22"/>
        </w:rPr>
        <w:t xml:space="preserve"> podle </w:t>
      </w:r>
      <w:r w:rsidR="00E144C7">
        <w:rPr>
          <w:rFonts w:eastAsiaTheme="minorEastAsia" w:cstheme="minorHAnsi"/>
          <w:iCs/>
          <w:szCs w:val="22"/>
        </w:rPr>
        <w:t>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8F2C01" w:rsidRPr="0092047B">
        <w:rPr>
          <w:rFonts w:eastAsiaTheme="minorEastAsia" w:cstheme="minorHAnsi"/>
          <w:iCs/>
          <w:szCs w:val="22"/>
        </w:rPr>
        <w:t xml:space="preserve">Cílem je postupný pokles současné úrovně na hodnoty pod úrovní roku 2010. </w:t>
      </w:r>
    </w:p>
    <w:p w:rsidR="007D2C62" w:rsidRPr="0092047B" w:rsidRDefault="007D2C62"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Sumární ekonomická přidaná hodnota (EVA) sektoru energetiky:</w:t>
      </w:r>
    </w:p>
    <w:p w:rsidR="005E2A88"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Sumární ekonomická přidaná hodnota sektoru energetiky v daném roce je stanovena jako součet ekonomických přidaných hodnot v rámci jednotlivých podniků v oblastech výroby, přeměny, dopravy a dodávek energie (zahrnujících uhlí, ropu, zemní plyn a elektřinu) v odpovídajícím roce.</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Ukazatel je vyhodnocován zpětně a zdrojem dat pro jeho vyhodnocení </w:t>
      </w:r>
      <w:r w:rsidR="00E144C7">
        <w:rPr>
          <w:rFonts w:eastAsiaTheme="minorEastAsia" w:cstheme="minorHAnsi"/>
          <w:iCs/>
          <w:szCs w:val="22"/>
        </w:rPr>
        <w:t>jsou</w:t>
      </w:r>
      <w:r w:rsidRPr="0092047B">
        <w:rPr>
          <w:rFonts w:eastAsiaTheme="minorEastAsia" w:cstheme="minorHAnsi"/>
          <w:iCs/>
          <w:szCs w:val="22"/>
        </w:rPr>
        <w:t xml:space="preserve"> </w:t>
      </w:r>
      <w:r w:rsidR="00E144C7">
        <w:rPr>
          <w:rFonts w:eastAsiaTheme="minorEastAsia" w:cstheme="minorHAnsi"/>
          <w:iCs/>
          <w:szCs w:val="22"/>
        </w:rPr>
        <w:t xml:space="preserve">účetní </w:t>
      </w:r>
      <w:r w:rsidR="0041288E">
        <w:rPr>
          <w:rFonts w:eastAsiaTheme="minorEastAsia" w:cstheme="minorHAnsi"/>
          <w:iCs/>
          <w:szCs w:val="22"/>
        </w:rPr>
        <w:t xml:space="preserve">výkazy </w:t>
      </w:r>
      <w:r w:rsidRPr="0092047B">
        <w:rPr>
          <w:rFonts w:eastAsiaTheme="minorEastAsia" w:cstheme="minorHAnsi"/>
          <w:iCs/>
          <w:szCs w:val="22"/>
        </w:rPr>
        <w:t xml:space="preserve">jednotlivých </w:t>
      </w:r>
      <w:r w:rsidR="00EE68CD">
        <w:rPr>
          <w:rFonts w:eastAsiaTheme="minorEastAsia" w:cstheme="minorHAnsi"/>
          <w:iCs/>
          <w:szCs w:val="22"/>
        </w:rPr>
        <w:t xml:space="preserve">uvažovaných </w:t>
      </w:r>
      <w:r w:rsidRPr="0092047B">
        <w:rPr>
          <w:rFonts w:eastAsiaTheme="minorEastAsia" w:cstheme="minorHAnsi"/>
          <w:iCs/>
          <w:szCs w:val="22"/>
        </w:rPr>
        <w:t>podniků.</w:t>
      </w:r>
      <w:r w:rsidR="00F01020">
        <w:rPr>
          <w:rFonts w:eastAsiaTheme="minorEastAsia" w:cstheme="minorHAnsi"/>
          <w:iCs/>
          <w:szCs w:val="22"/>
        </w:rPr>
        <w:t xml:space="preserve"> Cílem </w:t>
      </w:r>
      <w:r w:rsidR="004955BA">
        <w:rPr>
          <w:rFonts w:eastAsiaTheme="minorEastAsia" w:cstheme="minorHAnsi"/>
          <w:iCs/>
          <w:szCs w:val="22"/>
        </w:rPr>
        <w:t xml:space="preserve">je </w:t>
      </w:r>
      <w:r w:rsidR="00F01020">
        <w:rPr>
          <w:rFonts w:eastAsiaTheme="minorEastAsia" w:cstheme="minorHAnsi"/>
          <w:iCs/>
          <w:szCs w:val="22"/>
        </w:rPr>
        <w:t>kladná hodnota ukazatele.</w:t>
      </w:r>
    </w:p>
    <w:p w:rsidR="007D2C62" w:rsidRPr="0092047B" w:rsidRDefault="0041288E" w:rsidP="00184DC1">
      <w:pPr>
        <w:pStyle w:val="Odstavecseseznamem"/>
        <w:numPr>
          <w:ilvl w:val="1"/>
          <w:numId w:val="15"/>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bookmarkStart w:id="408" w:name="_Toc385489229"/>
      <w:r>
        <w:rPr>
          <w:rFonts w:asciiTheme="minorHAnsi" w:hAnsiTheme="minorHAnsi" w:cstheme="minorHAnsi"/>
          <w:sz w:val="24"/>
          <w:szCs w:val="24"/>
          <w:u w:val="single"/>
        </w:rPr>
        <w:t>Obchodní</w:t>
      </w:r>
      <w:r w:rsidRPr="0092047B">
        <w:rPr>
          <w:rFonts w:asciiTheme="minorHAnsi" w:hAnsiTheme="minorHAnsi" w:cstheme="minorHAnsi"/>
          <w:sz w:val="24"/>
          <w:szCs w:val="24"/>
          <w:u w:val="single"/>
        </w:rPr>
        <w:t xml:space="preserve"> </w:t>
      </w:r>
      <w:r w:rsidR="007D2C62" w:rsidRPr="0092047B">
        <w:rPr>
          <w:rFonts w:asciiTheme="minorHAnsi" w:hAnsiTheme="minorHAnsi" w:cstheme="minorHAnsi"/>
          <w:sz w:val="24"/>
          <w:szCs w:val="24"/>
          <w:u w:val="single"/>
        </w:rPr>
        <w:t>bilance dovozu a vývozu energie</w:t>
      </w:r>
      <w:bookmarkEnd w:id="408"/>
      <w:r w:rsidR="007D2C62" w:rsidRPr="0092047B">
        <w:rPr>
          <w:rFonts w:asciiTheme="minorHAnsi" w:hAnsiTheme="minorHAnsi" w:cstheme="minorHAnsi"/>
          <w:sz w:val="24"/>
          <w:szCs w:val="24"/>
          <w:u w:val="single"/>
        </w:rPr>
        <w:t>:</w:t>
      </w:r>
    </w:p>
    <w:p w:rsidR="007D2C62" w:rsidRPr="0092047B" w:rsidRDefault="0041288E" w:rsidP="00184DC1">
      <w:pPr>
        <w:spacing w:after="120"/>
        <w:ind w:left="567"/>
        <w:rPr>
          <w:rFonts w:eastAsiaTheme="minorEastAsia" w:cstheme="minorHAnsi"/>
          <w:iCs/>
          <w:color w:val="000000" w:themeColor="text1"/>
          <w:szCs w:val="22"/>
        </w:rPr>
      </w:pPr>
      <w:r>
        <w:rPr>
          <w:rFonts w:eastAsiaTheme="minorEastAsia" w:cstheme="minorHAnsi"/>
          <w:iCs/>
          <w:color w:val="000000" w:themeColor="text1"/>
          <w:szCs w:val="22"/>
        </w:rPr>
        <w:t>Obchodní</w:t>
      </w:r>
      <w:r w:rsidRPr="0092047B">
        <w:rPr>
          <w:rFonts w:eastAsiaTheme="minorEastAsia" w:cstheme="minorHAnsi"/>
          <w:iCs/>
          <w:color w:val="000000" w:themeColor="text1"/>
          <w:szCs w:val="22"/>
        </w:rPr>
        <w:t xml:space="preserve"> </w:t>
      </w:r>
      <w:r w:rsidR="007D2C62" w:rsidRPr="0092047B">
        <w:rPr>
          <w:rFonts w:eastAsiaTheme="minorEastAsia" w:cstheme="minorHAnsi"/>
          <w:iCs/>
          <w:color w:val="000000" w:themeColor="text1"/>
          <w:szCs w:val="22"/>
        </w:rPr>
        <w:t xml:space="preserve">bilance dovozu a vývozu energie v daném roce je stanovena jako součet </w:t>
      </w:r>
      <w:r>
        <w:rPr>
          <w:rFonts w:eastAsiaTheme="minorEastAsia" w:cstheme="minorHAnsi"/>
          <w:iCs/>
          <w:color w:val="000000" w:themeColor="text1"/>
          <w:szCs w:val="22"/>
        </w:rPr>
        <w:t>obchodních</w:t>
      </w:r>
      <w:r w:rsidRPr="0092047B">
        <w:rPr>
          <w:rFonts w:eastAsiaTheme="minorEastAsia" w:cstheme="minorHAnsi"/>
          <w:iCs/>
          <w:color w:val="000000" w:themeColor="text1"/>
          <w:szCs w:val="22"/>
        </w:rPr>
        <w:t xml:space="preserve"> </w:t>
      </w:r>
      <w:r w:rsidR="007D2C62" w:rsidRPr="0092047B">
        <w:rPr>
          <w:rFonts w:eastAsiaTheme="minorEastAsia" w:cstheme="minorHAnsi"/>
          <w:iCs/>
          <w:color w:val="000000" w:themeColor="text1"/>
          <w:szCs w:val="22"/>
        </w:rPr>
        <w:t>bilancí zahraničního obchodu jednotlivých dovážených a vyvážených druhů primárních energetických zdrojů v odpovídajícím roce následovně:</w:t>
      </w:r>
    </w:p>
    <w:p w:rsidR="007D2C62" w:rsidRPr="0092047B" w:rsidRDefault="00D76A86" w:rsidP="00184DC1">
      <w:pPr>
        <w:tabs>
          <w:tab w:val="left" w:pos="709"/>
        </w:tabs>
        <w:spacing w:before="240" w:after="120"/>
        <w:ind w:left="1276" w:firstLine="1"/>
        <w:rPr>
          <w:rFonts w:cstheme="minorHAnsi"/>
          <w:iCs/>
        </w:rPr>
      </w:pPr>
      <m:oMathPara>
        <m:oMathParaPr>
          <m:jc m:val="left"/>
        </m:oMathParaPr>
        <m:oMath>
          <m:sSub>
            <m:sSubPr>
              <m:ctrlPr>
                <w:rPr>
                  <w:rFonts w:ascii="Cambria Math" w:hAnsi="Cambria Math" w:cstheme="minorHAnsi"/>
                  <w:i/>
                </w:rPr>
              </m:ctrlPr>
            </m:sSubPr>
            <m:e>
              <m:r>
                <w:rPr>
                  <w:rFonts w:ascii="Cambria Math" w:hAnsi="Cambria Math" w:cstheme="minorHAnsi"/>
                </w:rPr>
                <m:t>OB</m:t>
              </m:r>
            </m:e>
            <m:sub>
              <m:r>
                <w:rPr>
                  <w:rFonts w:ascii="Cambria Math" w:hAnsi="Cambria Math" w:cstheme="minorHAnsi"/>
                </w:rPr>
                <m:t>PEZ</m:t>
              </m:r>
            </m:sub>
          </m:sSub>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Ex</m:t>
                      </m:r>
                    </m:e>
                    <m:sub>
                      <m:r>
                        <w:rPr>
                          <w:rFonts w:ascii="Cambria Math" w:hAnsi="Cambria Math" w:cstheme="minorHAnsi"/>
                        </w:rPr>
                        <m:t>i</m:t>
                      </m:r>
                    </m:sub>
                  </m:sSub>
                </m:e>
              </m:d>
            </m:e>
          </m:nary>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41288E" w:rsidP="00184DC1">
      <w:pPr>
        <w:spacing w:after="120"/>
        <w:ind w:left="1276"/>
        <w:rPr>
          <w:rFonts w:eastAsiaTheme="minorEastAsia" w:cstheme="minorHAnsi"/>
          <w:iCs/>
          <w:color w:val="000000" w:themeColor="text1"/>
          <w:szCs w:val="22"/>
        </w:rPr>
      </w:pPr>
      <w:r>
        <w:rPr>
          <w:rFonts w:eastAsiaTheme="minorEastAsia" w:cstheme="minorHAnsi"/>
          <w:i/>
          <w:iCs/>
          <w:color w:val="000000" w:themeColor="text1"/>
          <w:szCs w:val="22"/>
        </w:rPr>
        <w:t>O</w:t>
      </w:r>
      <w:r w:rsidR="007D2C62" w:rsidRPr="0092047B">
        <w:rPr>
          <w:rFonts w:eastAsiaTheme="minorEastAsia" w:cstheme="minorHAnsi"/>
          <w:i/>
          <w:iCs/>
          <w:color w:val="000000" w:themeColor="text1"/>
          <w:szCs w:val="22"/>
        </w:rPr>
        <w:t>B</w:t>
      </w:r>
      <w:r w:rsidR="007D2C62" w:rsidRPr="0092047B">
        <w:rPr>
          <w:rFonts w:eastAsiaTheme="minorEastAsia" w:cstheme="minorHAnsi"/>
          <w:i/>
          <w:iCs/>
          <w:color w:val="000000" w:themeColor="text1"/>
          <w:szCs w:val="22"/>
          <w:vertAlign w:val="subscript"/>
        </w:rPr>
        <w:t>PEZ</w:t>
      </w:r>
      <w:r w:rsidR="007D2C62" w:rsidRPr="0092047B">
        <w:rPr>
          <w:rFonts w:eastAsiaTheme="minorEastAsia" w:cstheme="minorHAnsi"/>
          <w:iCs/>
          <w:color w:val="000000" w:themeColor="text1"/>
          <w:szCs w:val="22"/>
        </w:rPr>
        <w:tab/>
      </w:r>
      <w:r>
        <w:rPr>
          <w:rFonts w:eastAsiaTheme="minorEastAsia" w:cstheme="minorHAnsi"/>
          <w:iCs/>
          <w:color w:val="000000" w:themeColor="text1"/>
          <w:szCs w:val="22"/>
        </w:rPr>
        <w:t xml:space="preserve">obchodní </w:t>
      </w:r>
      <w:r w:rsidR="007D2C62" w:rsidRPr="0092047B">
        <w:rPr>
          <w:rFonts w:eastAsiaTheme="minorEastAsia" w:cstheme="minorHAnsi"/>
          <w:iCs/>
          <w:color w:val="000000" w:themeColor="text1"/>
          <w:szCs w:val="22"/>
        </w:rPr>
        <w:t>bilance dovozu a vývozu energie [mld. Kč]</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Im</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t>velikost dovozu dílčího druhu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Ex</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t>velikost vývozu dílčího druhu PEZ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c</w:t>
      </w:r>
      <w:r w:rsidRPr="0092047B">
        <w:rPr>
          <w:rFonts w:eastAsiaTheme="minorEastAsia" w:cstheme="minorHAnsi"/>
          <w:i/>
          <w:iCs/>
          <w:color w:val="000000" w:themeColor="text1"/>
          <w:szCs w:val="22"/>
          <w:vertAlign w:val="subscript"/>
        </w:rPr>
        <w:t>i</w:t>
      </w:r>
      <w:r w:rsidRPr="0092047B">
        <w:rPr>
          <w:rFonts w:eastAsiaTheme="minorEastAsia" w:cstheme="minorHAnsi"/>
          <w:iCs/>
          <w:color w:val="000000" w:themeColor="text1"/>
          <w:szCs w:val="22"/>
        </w:rPr>
        <w:tab/>
      </w:r>
      <w:r w:rsidRPr="0092047B">
        <w:rPr>
          <w:rFonts w:eastAsiaTheme="minorEastAsia" w:cstheme="minorHAnsi"/>
          <w:iCs/>
          <w:color w:val="000000" w:themeColor="text1"/>
          <w:szCs w:val="22"/>
        </w:rPr>
        <w:tab/>
        <w:t>cena dílčího druhu PEZ [Kč/MJ]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N</w:t>
      </w:r>
      <w:r w:rsidRPr="0092047B">
        <w:rPr>
          <w:rFonts w:eastAsiaTheme="minorEastAsia" w:cstheme="minorHAnsi"/>
          <w:iCs/>
          <w:color w:val="000000" w:themeColor="text1"/>
          <w:szCs w:val="22"/>
        </w:rPr>
        <w:tab/>
        <w:t>počet dílčích druhů PEZ [-]</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a budoucí výhledy zpracovávané na </w:t>
      </w:r>
      <w:r w:rsidR="00EE68CD">
        <w:rPr>
          <w:rFonts w:eastAsiaTheme="minorEastAsia" w:cstheme="minorHAnsi"/>
          <w:iCs/>
          <w:szCs w:val="22"/>
        </w:rPr>
        <w:t>MPO</w:t>
      </w:r>
      <w:r w:rsidRPr="0092047B">
        <w:rPr>
          <w:rFonts w:eastAsiaTheme="minorEastAsia" w:cstheme="minorHAnsi"/>
          <w:iCs/>
          <w:szCs w:val="22"/>
        </w:rPr>
        <w:t xml:space="preserve"> podle </w:t>
      </w:r>
      <w:r w:rsidR="0041288E">
        <w:rPr>
          <w:rFonts w:eastAsiaTheme="minorEastAsia" w:cstheme="minorHAnsi"/>
          <w:iCs/>
          <w:szCs w:val="22"/>
        </w:rPr>
        <w:t>vlastní metodiky</w:t>
      </w:r>
      <w:r w:rsidRPr="0092047B">
        <w:rPr>
          <w:rFonts w:eastAsiaTheme="minorEastAsia" w:cstheme="minorHAnsi"/>
          <w:iCs/>
          <w:szCs w:val="22"/>
        </w:rPr>
        <w:t>.</w:t>
      </w:r>
      <w:r w:rsidR="005E2A88" w:rsidRPr="0092047B">
        <w:rPr>
          <w:rFonts w:eastAsiaTheme="minorEastAsia" w:cstheme="minorHAnsi"/>
          <w:iCs/>
          <w:szCs w:val="22"/>
        </w:rPr>
        <w:t xml:space="preserve"> </w:t>
      </w:r>
      <w:r w:rsidR="00BA17F1" w:rsidRPr="0092047B">
        <w:rPr>
          <w:rFonts w:eastAsiaTheme="minorEastAsia" w:cstheme="minorHAnsi"/>
          <w:iCs/>
          <w:szCs w:val="22"/>
        </w:rPr>
        <w:t>Cílem je rychlá stabilizace vlivu dovozu energie na platební bilanci a její dlouhodobé udržení.</w:t>
      </w:r>
    </w:p>
    <w:p w:rsidR="007D2C62" w:rsidRPr="0092047B" w:rsidRDefault="007D2C62" w:rsidP="00184DC1">
      <w:pPr>
        <w:pStyle w:val="OdstavecCOPS"/>
        <w:spacing w:before="240" w:after="120"/>
        <w:rPr>
          <w:rFonts w:cstheme="minorHAnsi"/>
          <w:b/>
        </w:rPr>
      </w:pPr>
      <w:r w:rsidRPr="0092047B">
        <w:rPr>
          <w:rFonts w:cstheme="minorHAnsi"/>
          <w:b/>
        </w:rPr>
        <w:t>Udržitelnost měřená těmito parametry:</w:t>
      </w:r>
    </w:p>
    <w:p w:rsidR="007D2C62" w:rsidRPr="0092047B" w:rsidRDefault="007D2C62" w:rsidP="00184DC1">
      <w:pPr>
        <w:pStyle w:val="Odstavecseseznamem"/>
        <w:numPr>
          <w:ilvl w:val="0"/>
          <w:numId w:val="13"/>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rPr>
      </w:pPr>
      <w:r w:rsidRPr="0092047B">
        <w:rPr>
          <w:rFonts w:asciiTheme="minorHAnsi" w:hAnsiTheme="minorHAnsi" w:cstheme="minorHAnsi"/>
          <w:sz w:val="24"/>
          <w:szCs w:val="24"/>
          <w:u w:val="single"/>
        </w:rPr>
        <w:t>Energetická náročnost tvorby hrubé přidané hodnoty:</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color w:val="000000" w:themeColor="text1"/>
          <w:szCs w:val="22"/>
        </w:rPr>
        <w:t xml:space="preserve">Energetická náročnost tvorby HPH v daném roce je stanovena jako podíl celkové </w:t>
      </w:r>
      <w:r w:rsidR="007C59ED" w:rsidRPr="0092047B">
        <w:rPr>
          <w:rFonts w:eastAsiaTheme="minorEastAsia" w:cstheme="minorHAnsi"/>
          <w:iCs/>
          <w:color w:val="000000" w:themeColor="text1"/>
          <w:szCs w:val="22"/>
        </w:rPr>
        <w:t>spotřeby</w:t>
      </w:r>
      <w:r w:rsidRPr="0092047B">
        <w:rPr>
          <w:rFonts w:eastAsiaTheme="minorEastAsia" w:cstheme="minorHAnsi"/>
          <w:iCs/>
          <w:color w:val="000000" w:themeColor="text1"/>
          <w:szCs w:val="22"/>
        </w:rPr>
        <w:t xml:space="preserve"> PEZ a velikosti HPH v </w:t>
      </w:r>
      <w:r w:rsidRPr="0092047B">
        <w:rPr>
          <w:rFonts w:eastAsiaTheme="minorEastAsia" w:cstheme="minorHAnsi"/>
          <w:iCs/>
          <w:szCs w:val="22"/>
        </w:rPr>
        <w:t>odpovídajícím roce podle rovnice:</w:t>
      </w:r>
    </w:p>
    <w:p w:rsidR="007D2C62" w:rsidRPr="0092047B" w:rsidRDefault="007D2C62" w:rsidP="00184DC1">
      <w:pPr>
        <w:spacing w:before="240" w:after="120"/>
        <w:ind w:left="1276" w:firstLine="1"/>
        <w:rPr>
          <w:rFonts w:cstheme="minorHAnsi"/>
          <w:iCs/>
        </w:rPr>
      </w:pPr>
      <m:oMathPara>
        <m:oMathParaPr>
          <m:jc m:val="left"/>
        </m:oMathParaPr>
        <m:oMath>
          <m:r>
            <w:rPr>
              <w:rFonts w:ascii="Cambria Math" w:hAnsi="Cambria Math" w:cstheme="minorHAnsi"/>
            </w:rPr>
            <m:t>EN=</m:t>
          </m:r>
          <m:f>
            <m:fPr>
              <m:ctrlPr>
                <w:rPr>
                  <w:rFonts w:ascii="Cambria Math" w:hAnsi="Cambria Math" w:cstheme="minorHAnsi"/>
                  <w:i/>
                  <w:iCs/>
                </w:rPr>
              </m:ctrlPr>
            </m:fPr>
            <m:num>
              <m:r>
                <w:rPr>
                  <w:rFonts w:ascii="Cambria Math" w:hAnsi="Cambria Math" w:cstheme="minorHAnsi"/>
                </w:rPr>
                <m:t>PEZ</m:t>
              </m:r>
            </m:num>
            <m:den>
              <m:r>
                <w:rPr>
                  <w:rFonts w:ascii="Cambria Math" w:hAnsi="Cambria Math" w:cstheme="minorHAnsi"/>
                </w:rPr>
                <m:t>HPH</m:t>
              </m:r>
            </m:den>
          </m:f>
        </m:oMath>
      </m:oMathPara>
    </w:p>
    <w:p w:rsidR="007D2C62" w:rsidRPr="0092047B" w:rsidRDefault="007D2C62" w:rsidP="00184DC1">
      <w:pPr>
        <w:keepNext/>
        <w:spacing w:after="120"/>
        <w:ind w:left="567"/>
        <w:rPr>
          <w:rFonts w:eastAsiaTheme="minorEastAsia" w:cstheme="minorHAnsi"/>
          <w:iCs/>
          <w:szCs w:val="22"/>
        </w:rPr>
      </w:pPr>
      <w:r w:rsidRPr="0092047B">
        <w:rPr>
          <w:rFonts w:eastAsiaTheme="minorEastAsia" w:cstheme="minorHAnsi"/>
          <w:iCs/>
          <w:szCs w:val="22"/>
        </w:rPr>
        <w:t>kde:</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EN</w:t>
      </w:r>
      <w:r w:rsidRPr="0092047B">
        <w:rPr>
          <w:rFonts w:eastAsiaTheme="minorEastAsia" w:cstheme="minorHAnsi"/>
          <w:iCs/>
          <w:szCs w:val="22"/>
        </w:rPr>
        <w:tab/>
        <w:t>energetická náročnost tvorby HPH [MJ/Kč]</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PEZ</w:t>
      </w:r>
      <w:r w:rsidRPr="0092047B">
        <w:rPr>
          <w:rFonts w:eastAsiaTheme="minorEastAsia" w:cstheme="minorHAnsi"/>
          <w:iCs/>
          <w:szCs w:val="22"/>
        </w:rPr>
        <w:tab/>
        <w:t>celková spotřeba PEZ [PJ]</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HPH</w:t>
      </w:r>
      <w:r w:rsidRPr="0092047B">
        <w:rPr>
          <w:rFonts w:eastAsiaTheme="minorEastAsia" w:cstheme="minorHAnsi"/>
          <w:iCs/>
          <w:szCs w:val="22"/>
        </w:rPr>
        <w:tab/>
        <w:t>hrubá přidaná hodnota [mld. Kč]</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jsou statistiky</w:t>
      </w:r>
      <w:r w:rsidR="00FC336C">
        <w:rPr>
          <w:rFonts w:eastAsiaTheme="minorEastAsia" w:cstheme="minorHAnsi"/>
          <w:iCs/>
          <w:szCs w:val="22"/>
        </w:rPr>
        <w:t xml:space="preserve"> </w:t>
      </w:r>
      <w:r w:rsidR="00EE68CD">
        <w:rPr>
          <w:rFonts w:eastAsiaTheme="minorEastAsia" w:cstheme="minorHAnsi"/>
          <w:iCs/>
          <w:szCs w:val="22"/>
        </w:rPr>
        <w:t xml:space="preserve">zpracovávané na </w:t>
      </w:r>
      <w:r w:rsidR="00FC336C">
        <w:rPr>
          <w:rFonts w:eastAsiaTheme="minorEastAsia" w:cstheme="minorHAnsi"/>
          <w:iCs/>
          <w:szCs w:val="22"/>
        </w:rPr>
        <w:t>ČSÚ</w:t>
      </w:r>
      <w:r w:rsidRPr="0092047B">
        <w:rPr>
          <w:rFonts w:eastAsiaTheme="minorEastAsia" w:cstheme="minorHAnsi"/>
          <w:iCs/>
          <w:szCs w:val="22"/>
        </w:rPr>
        <w:t xml:space="preserve"> a</w:t>
      </w:r>
      <w:r w:rsidR="00FC336C">
        <w:rPr>
          <w:rFonts w:eastAsiaTheme="minorEastAsia" w:cstheme="minorHAnsi"/>
          <w:iCs/>
          <w:szCs w:val="22"/>
        </w:rPr>
        <w:t xml:space="preserve"> statistiky a</w:t>
      </w:r>
      <w:r w:rsidRPr="0092047B">
        <w:rPr>
          <w:rFonts w:eastAsiaTheme="minorEastAsia" w:cstheme="minorHAnsi"/>
          <w:iCs/>
          <w:szCs w:val="22"/>
        </w:rPr>
        <w:t xml:space="preserve"> budoucí výhledy zpracovávané na </w:t>
      </w:r>
      <w:r w:rsidR="00EE68CD">
        <w:rPr>
          <w:rFonts w:eastAsiaTheme="minorEastAsia" w:cstheme="minorHAnsi"/>
          <w:iCs/>
          <w:szCs w:val="22"/>
        </w:rPr>
        <w:t>MPO</w:t>
      </w:r>
      <w:r w:rsidRPr="0092047B">
        <w:rPr>
          <w:rFonts w:eastAsiaTheme="minorEastAsia" w:cstheme="minorHAnsi"/>
          <w:iCs/>
          <w:szCs w:val="22"/>
        </w:rPr>
        <w:t xml:space="preserve"> podle </w:t>
      </w:r>
      <w:r w:rsidR="00FC336C">
        <w:rPr>
          <w:rFonts w:eastAsiaTheme="minorEastAsia" w:cstheme="minorHAnsi"/>
          <w:iCs/>
          <w:szCs w:val="22"/>
        </w:rPr>
        <w:t>vlastní metodiky</w:t>
      </w:r>
      <w:r w:rsidRPr="0092047B">
        <w:rPr>
          <w:rFonts w:eastAsiaTheme="minorEastAsia" w:cstheme="minorHAnsi"/>
          <w:iCs/>
          <w:szCs w:val="22"/>
        </w:rPr>
        <w:t>.</w:t>
      </w:r>
      <w:r w:rsidR="00BA17F1" w:rsidRPr="0092047B">
        <w:rPr>
          <w:rFonts w:eastAsiaTheme="minorEastAsia" w:cstheme="minorHAnsi"/>
          <w:iCs/>
          <w:szCs w:val="22"/>
        </w:rPr>
        <w:t xml:space="preserve"> Cílem je pokles energetické náročnosti na polovinu současné hodnoty a dosažení průměru EU28</w:t>
      </w:r>
      <w:r w:rsidR="00BD35CF" w:rsidRPr="0092047B">
        <w:rPr>
          <w:rFonts w:eastAsiaTheme="minorEastAsia" w:cstheme="minorHAnsi"/>
          <w:iCs/>
          <w:szCs w:val="22"/>
        </w:rPr>
        <w:t>.</w:t>
      </w:r>
    </w:p>
    <w:p w:rsidR="007D2C62" w:rsidRPr="0092047B" w:rsidRDefault="007D2C62" w:rsidP="00184DC1">
      <w:pPr>
        <w:pStyle w:val="Odstavecseseznamem"/>
        <w:numPr>
          <w:ilvl w:val="0"/>
          <w:numId w:val="13"/>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Vliv na životní prostředí:</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Vliv na životní prostředí v daném roce je stanoven jako množství vypouštěných emisí CO</w:t>
      </w:r>
      <w:r w:rsidRPr="0092047B">
        <w:rPr>
          <w:rFonts w:eastAsiaTheme="minorEastAsia" w:cstheme="minorHAnsi"/>
          <w:iCs/>
          <w:szCs w:val="22"/>
          <w:vertAlign w:val="subscript"/>
        </w:rPr>
        <w:t>2</w:t>
      </w:r>
      <w:r w:rsidRPr="0092047B">
        <w:rPr>
          <w:rFonts w:eastAsiaTheme="minorEastAsia" w:cstheme="minorHAnsi"/>
          <w:iCs/>
          <w:szCs w:val="22"/>
        </w:rPr>
        <w:t>, SO</w:t>
      </w:r>
      <w:r w:rsidRPr="0092047B">
        <w:rPr>
          <w:rFonts w:eastAsiaTheme="minorEastAsia" w:cstheme="minorHAnsi"/>
          <w:iCs/>
          <w:szCs w:val="22"/>
          <w:vertAlign w:val="subscript"/>
        </w:rPr>
        <w:t>2</w:t>
      </w:r>
      <w:r w:rsidRPr="0092047B">
        <w:rPr>
          <w:rFonts w:eastAsiaTheme="minorEastAsia" w:cstheme="minorHAnsi"/>
          <w:iCs/>
          <w:szCs w:val="22"/>
        </w:rPr>
        <w:t>, NO</w:t>
      </w:r>
      <w:r w:rsidRPr="0092047B">
        <w:rPr>
          <w:rFonts w:eastAsiaTheme="minorEastAsia" w:cstheme="minorHAnsi"/>
          <w:iCs/>
          <w:szCs w:val="22"/>
          <w:vertAlign w:val="subscript"/>
        </w:rPr>
        <w:t>X</w:t>
      </w:r>
      <w:r w:rsidRPr="0092047B">
        <w:rPr>
          <w:rFonts w:eastAsiaTheme="minorEastAsia" w:cstheme="minorHAnsi"/>
          <w:iCs/>
          <w:szCs w:val="22"/>
        </w:rPr>
        <w:t>, polétavého prachu v tisících tun [tis. t] a polycyklických aromatických uhlovodíků (PAH) v kilogramech [kg] v odpovídajícím roce.</w:t>
      </w:r>
    </w:p>
    <w:p w:rsidR="007D2C62" w:rsidRPr="0092047B" w:rsidRDefault="00682700" w:rsidP="00184DC1">
      <w:pPr>
        <w:spacing w:after="120"/>
        <w:ind w:left="567"/>
        <w:rPr>
          <w:rFonts w:eastAsiaTheme="minorEastAsia" w:cstheme="minorHAnsi"/>
          <w:iCs/>
          <w:szCs w:val="22"/>
        </w:rPr>
      </w:pPr>
      <w:r w:rsidRPr="0092047B">
        <w:rPr>
          <w:rFonts w:eastAsiaTheme="minorEastAsia" w:cstheme="minorHAnsi"/>
          <w:iCs/>
          <w:szCs w:val="22"/>
        </w:rPr>
        <w:t xml:space="preserve">Zdrojem dat určujících tento ukazatel jsou </w:t>
      </w:r>
      <w:r w:rsidR="00EE68CD" w:rsidRPr="0092047B">
        <w:rPr>
          <w:rFonts w:eastAsiaTheme="minorEastAsia" w:cstheme="minorHAnsi"/>
          <w:iCs/>
          <w:szCs w:val="22"/>
        </w:rPr>
        <w:t>statistiky a budoucí výhledy zpracovávané</w:t>
      </w:r>
      <w:r w:rsidR="00EE68CD">
        <w:rPr>
          <w:rFonts w:eastAsiaTheme="minorEastAsia" w:cstheme="minorHAnsi"/>
          <w:iCs/>
          <w:szCs w:val="22"/>
        </w:rPr>
        <w:t xml:space="preserve"> </w:t>
      </w:r>
      <w:r w:rsidRPr="0092047B">
        <w:rPr>
          <w:rFonts w:eastAsiaTheme="minorEastAsia" w:cstheme="minorHAnsi"/>
          <w:iCs/>
          <w:szCs w:val="22"/>
        </w:rPr>
        <w:t>Česk</w:t>
      </w:r>
      <w:r w:rsidR="00EE68CD">
        <w:rPr>
          <w:rFonts w:eastAsiaTheme="minorEastAsia" w:cstheme="minorHAnsi"/>
          <w:iCs/>
          <w:szCs w:val="22"/>
        </w:rPr>
        <w:t>ý</w:t>
      </w:r>
      <w:r w:rsidRPr="0092047B">
        <w:rPr>
          <w:rFonts w:eastAsiaTheme="minorEastAsia" w:cstheme="minorHAnsi"/>
          <w:iCs/>
          <w:szCs w:val="22"/>
        </w:rPr>
        <w:t>m hydrometeorologick</w:t>
      </w:r>
      <w:r w:rsidR="00EE68CD">
        <w:rPr>
          <w:rFonts w:eastAsiaTheme="minorEastAsia" w:cstheme="minorHAnsi"/>
          <w:iCs/>
          <w:szCs w:val="22"/>
        </w:rPr>
        <w:t>ý</w:t>
      </w:r>
      <w:r w:rsidRPr="0092047B">
        <w:rPr>
          <w:rFonts w:eastAsiaTheme="minorEastAsia" w:cstheme="minorHAnsi"/>
          <w:iCs/>
          <w:szCs w:val="22"/>
        </w:rPr>
        <w:t>m ústav</w:t>
      </w:r>
      <w:r w:rsidR="00EE68CD">
        <w:rPr>
          <w:rFonts w:eastAsiaTheme="minorEastAsia" w:cstheme="minorHAnsi"/>
          <w:iCs/>
          <w:szCs w:val="22"/>
        </w:rPr>
        <w:t>em</w:t>
      </w:r>
      <w:r w:rsidRPr="0092047B">
        <w:rPr>
          <w:rFonts w:eastAsiaTheme="minorEastAsia" w:cstheme="minorHAnsi"/>
          <w:iCs/>
          <w:szCs w:val="22"/>
        </w:rPr>
        <w:t xml:space="preserve"> (ČHMÚ) na základě modelu GAINS s </w:t>
      </w:r>
      <w:r w:rsidR="00966C9C" w:rsidRPr="0092047B">
        <w:rPr>
          <w:rFonts w:eastAsiaTheme="minorEastAsia" w:cstheme="minorHAnsi"/>
          <w:iCs/>
          <w:szCs w:val="22"/>
        </w:rPr>
        <w:t>vy</w:t>
      </w:r>
      <w:r w:rsidRPr="0092047B">
        <w:rPr>
          <w:rFonts w:eastAsiaTheme="minorEastAsia" w:cstheme="minorHAnsi"/>
          <w:iCs/>
          <w:szCs w:val="22"/>
        </w:rPr>
        <w:t>užitím statistik</w:t>
      </w:r>
      <w:r w:rsidR="00966C9C" w:rsidRPr="0092047B">
        <w:rPr>
          <w:rFonts w:eastAsiaTheme="minorEastAsia" w:cstheme="minorHAnsi"/>
          <w:iCs/>
          <w:szCs w:val="22"/>
        </w:rPr>
        <w:t xml:space="preserve"> </w:t>
      </w:r>
      <w:r w:rsidRPr="0092047B">
        <w:rPr>
          <w:rFonts w:eastAsiaTheme="minorEastAsia" w:cstheme="minorHAnsi"/>
          <w:iCs/>
          <w:szCs w:val="22"/>
        </w:rPr>
        <w:t>a budoucích výhledů zpracovávaných na MPO</w:t>
      </w:r>
      <w:r w:rsidR="00966C9C" w:rsidRPr="0092047B">
        <w:rPr>
          <w:rFonts w:eastAsiaTheme="minorEastAsia" w:cstheme="minorHAnsi"/>
          <w:iCs/>
          <w:szCs w:val="22"/>
        </w:rPr>
        <w:t xml:space="preserve"> podle </w:t>
      </w:r>
      <w:r w:rsidR="00FC336C">
        <w:rPr>
          <w:rFonts w:eastAsiaTheme="minorEastAsia" w:cstheme="minorHAnsi"/>
          <w:iCs/>
          <w:szCs w:val="22"/>
        </w:rPr>
        <w:t>vlastní metodiky</w:t>
      </w:r>
      <w:r w:rsidRPr="0092047B">
        <w:rPr>
          <w:rFonts w:eastAsiaTheme="minorEastAsia" w:cstheme="minorHAnsi"/>
          <w:iCs/>
          <w:szCs w:val="22"/>
        </w:rPr>
        <w:t>.</w:t>
      </w:r>
      <w:r w:rsidR="00BA17F1" w:rsidRPr="0092047B">
        <w:rPr>
          <w:rFonts w:eastAsiaTheme="minorEastAsia" w:cstheme="minorHAnsi"/>
          <w:iCs/>
          <w:szCs w:val="22"/>
        </w:rPr>
        <w:t xml:space="preserve"> Cílem je dlouhodobé a trvalé snižování sumární zátěže životního prostředí ve všech sledovaných složkách.</w:t>
      </w:r>
    </w:p>
    <w:p w:rsidR="007D2C62" w:rsidRPr="0092047B" w:rsidRDefault="007D2C62" w:rsidP="00184DC1">
      <w:pPr>
        <w:pStyle w:val="Odstavecseseznamem"/>
        <w:numPr>
          <w:ilvl w:val="0"/>
          <w:numId w:val="13"/>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rPr>
      </w:pPr>
      <w:r w:rsidRPr="0092047B">
        <w:rPr>
          <w:rFonts w:asciiTheme="minorHAnsi" w:hAnsiTheme="minorHAnsi" w:cstheme="minorHAnsi"/>
          <w:sz w:val="24"/>
          <w:szCs w:val="24"/>
          <w:u w:val="single"/>
        </w:rPr>
        <w:t>Podíl energeticky užívané zemědělské půdy:</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Podíl energeticky užívané zemědělské půdy v daném roce je stanoven jako poměr součtu zemědělské půdy využívané pro pěstování energetických plodin a zemědělské půdy využívané pro účely ostatního energetického využití k souhrnné rozloze zemědělské půdy v odpovídajícím roce takto:</w:t>
      </w:r>
    </w:p>
    <w:p w:rsidR="007D2C62" w:rsidRPr="0092047B" w:rsidRDefault="00D76A86" w:rsidP="00184DC1">
      <w:pPr>
        <w:spacing w:before="240" w:after="120"/>
        <w:ind w:left="1276"/>
        <w:rPr>
          <w:rFonts w:cstheme="minorHAnsi"/>
          <w:iCs/>
        </w:rPr>
      </w:pPr>
      <m:oMathPara>
        <m:oMathParaPr>
          <m:jc m:val="left"/>
        </m:oMathPara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ZeP</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ZeP</m:t>
                  </m:r>
                </m:e>
                <m:sub>
                  <m:r>
                    <w:rPr>
                      <w:rFonts w:ascii="Cambria Math" w:hAnsi="Cambria Math" w:cstheme="minorHAnsi"/>
                    </w:rPr>
                    <m:t>E</m:t>
                  </m:r>
                </m:sub>
              </m:sSub>
            </m:num>
            <m:den>
              <m:r>
                <w:rPr>
                  <w:rFonts w:ascii="Cambria Math" w:hAnsi="Cambria Math" w:cstheme="minorHAnsi"/>
                </w:rPr>
                <m:t>ZeP</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kde:</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p</w:t>
      </w:r>
      <w:r w:rsidRPr="0092047B">
        <w:rPr>
          <w:rFonts w:eastAsiaTheme="minorEastAsia" w:cstheme="minorHAnsi"/>
          <w:i/>
          <w:iCs/>
          <w:szCs w:val="22"/>
          <w:vertAlign w:val="subscript"/>
        </w:rPr>
        <w:t>ZeP</w:t>
      </w:r>
      <w:r w:rsidRPr="0092047B">
        <w:rPr>
          <w:rFonts w:eastAsiaTheme="minorEastAsia" w:cstheme="minorHAnsi"/>
          <w:iCs/>
          <w:szCs w:val="22"/>
        </w:rPr>
        <w:tab/>
        <w:t>podíl energeticky užívané zemědělské půdy [%]</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ZeP</w:t>
      </w:r>
      <w:r w:rsidRPr="0092047B">
        <w:rPr>
          <w:rFonts w:eastAsiaTheme="minorEastAsia" w:cstheme="minorHAnsi"/>
          <w:i/>
          <w:iCs/>
          <w:szCs w:val="22"/>
          <w:vertAlign w:val="subscript"/>
        </w:rPr>
        <w:t>E</w:t>
      </w:r>
      <w:r w:rsidRPr="0092047B">
        <w:rPr>
          <w:rFonts w:eastAsiaTheme="minorEastAsia" w:cstheme="minorHAnsi"/>
          <w:iCs/>
          <w:szCs w:val="22"/>
        </w:rPr>
        <w:tab/>
        <w:t>rozloha energeticky užívané zemědělské půdy [tis. ha]</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ZeP</w:t>
      </w:r>
      <w:r w:rsidRPr="0092047B">
        <w:rPr>
          <w:rFonts w:eastAsiaTheme="minorEastAsia" w:cstheme="minorHAnsi"/>
          <w:iCs/>
          <w:szCs w:val="22"/>
        </w:rPr>
        <w:tab/>
        <w:t>celková rozloha zemědělské půdy [tis. ha]</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jsou statistiky a budoucí výhledy zpracovávané na Ministerstvu zemědělství (MZe).</w:t>
      </w:r>
      <w:r w:rsidR="00BA17F1" w:rsidRPr="0092047B">
        <w:rPr>
          <w:rFonts w:eastAsiaTheme="minorEastAsia" w:cstheme="minorHAnsi"/>
          <w:iCs/>
          <w:szCs w:val="22"/>
        </w:rPr>
        <w:t xml:space="preserve"> Cílem je optimalizace </w:t>
      </w:r>
      <w:r w:rsidR="00FC336C">
        <w:rPr>
          <w:rFonts w:eastAsiaTheme="minorEastAsia" w:cstheme="minorHAnsi"/>
          <w:iCs/>
          <w:szCs w:val="22"/>
        </w:rPr>
        <w:t xml:space="preserve">energetického </w:t>
      </w:r>
      <w:r w:rsidR="00BA17F1" w:rsidRPr="0092047B">
        <w:rPr>
          <w:rFonts w:eastAsiaTheme="minorEastAsia" w:cstheme="minorHAnsi"/>
          <w:iCs/>
          <w:szCs w:val="22"/>
        </w:rPr>
        <w:t xml:space="preserve">využití </w:t>
      </w:r>
      <w:r w:rsidR="00FC336C">
        <w:rPr>
          <w:rFonts w:eastAsiaTheme="minorEastAsia" w:cstheme="minorHAnsi"/>
          <w:iCs/>
          <w:szCs w:val="22"/>
        </w:rPr>
        <w:t>půdy při</w:t>
      </w:r>
      <w:r w:rsidR="00BB0ECC">
        <w:rPr>
          <w:rFonts w:eastAsiaTheme="minorEastAsia" w:cstheme="minorHAnsi"/>
          <w:iCs/>
          <w:szCs w:val="22"/>
        </w:rPr>
        <w:t xml:space="preserve"> </w:t>
      </w:r>
      <w:r w:rsidR="00FC336C">
        <w:rPr>
          <w:rFonts w:eastAsiaTheme="minorEastAsia" w:cstheme="minorHAnsi"/>
          <w:iCs/>
          <w:szCs w:val="22"/>
        </w:rPr>
        <w:t>zachování</w:t>
      </w:r>
      <w:r w:rsidR="00BA17F1" w:rsidRPr="0092047B">
        <w:rPr>
          <w:rFonts w:eastAsiaTheme="minorEastAsia" w:cstheme="minorHAnsi"/>
          <w:iCs/>
          <w:szCs w:val="22"/>
        </w:rPr>
        <w:t xml:space="preserve"> plné potravinové bezpečnosti.</w:t>
      </w:r>
    </w:p>
    <w:p w:rsidR="007D2C62" w:rsidRPr="0092047B" w:rsidRDefault="007D2C62" w:rsidP="00184DC1">
      <w:pPr>
        <w:pStyle w:val="Odstavecseseznamem"/>
        <w:keepNext/>
        <w:numPr>
          <w:ilvl w:val="0"/>
          <w:numId w:val="13"/>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u w:val="single"/>
        </w:rPr>
      </w:pPr>
      <w:r w:rsidRPr="0092047B">
        <w:rPr>
          <w:rFonts w:asciiTheme="minorHAnsi" w:hAnsiTheme="minorHAnsi" w:cstheme="minorHAnsi"/>
          <w:sz w:val="24"/>
          <w:szCs w:val="24"/>
          <w:u w:val="single"/>
        </w:rPr>
        <w:t>Podíl fosilních paliv na spotřebě primární energie:</w:t>
      </w:r>
    </w:p>
    <w:p w:rsidR="007D2C62" w:rsidRPr="0092047B" w:rsidRDefault="007D2C62" w:rsidP="00184DC1">
      <w:pPr>
        <w:keepNext/>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 xml:space="preserve">Podíl </w:t>
      </w:r>
      <w:r w:rsidRPr="0092047B">
        <w:rPr>
          <w:rFonts w:cstheme="minorHAnsi"/>
        </w:rPr>
        <w:t>fosilních paliv na spotřebě primární energie</w:t>
      </w:r>
      <w:r w:rsidRPr="0092047B">
        <w:rPr>
          <w:rFonts w:eastAsiaTheme="minorEastAsia" w:cstheme="minorHAnsi"/>
          <w:iCs/>
          <w:color w:val="000000" w:themeColor="text1"/>
          <w:szCs w:val="22"/>
        </w:rPr>
        <w:t xml:space="preserve"> v daném roce je stanoven jako poměr </w:t>
      </w:r>
      <w:r w:rsidR="007C59ED" w:rsidRPr="0092047B">
        <w:rPr>
          <w:rFonts w:eastAsiaTheme="minorEastAsia" w:cstheme="minorHAnsi"/>
          <w:iCs/>
          <w:color w:val="000000" w:themeColor="text1"/>
          <w:szCs w:val="22"/>
        </w:rPr>
        <w:t>spotřeby</w:t>
      </w:r>
      <w:r w:rsidRPr="0092047B">
        <w:rPr>
          <w:rFonts w:eastAsiaTheme="minorEastAsia" w:cstheme="minorHAnsi"/>
          <w:iCs/>
          <w:color w:val="000000" w:themeColor="text1"/>
          <w:szCs w:val="22"/>
        </w:rPr>
        <w:t xml:space="preserve"> PEZ z fosilních paliv k celkové </w:t>
      </w:r>
      <w:r w:rsidR="007C59ED" w:rsidRPr="0092047B">
        <w:rPr>
          <w:rFonts w:eastAsiaTheme="minorEastAsia" w:cstheme="minorHAnsi"/>
          <w:iCs/>
          <w:color w:val="000000" w:themeColor="text1"/>
          <w:szCs w:val="22"/>
        </w:rPr>
        <w:t>spotřebě</w:t>
      </w:r>
      <w:r w:rsidRPr="0092047B">
        <w:rPr>
          <w:rFonts w:eastAsiaTheme="minorEastAsia" w:cstheme="minorHAnsi"/>
          <w:iCs/>
          <w:color w:val="000000" w:themeColor="text1"/>
          <w:szCs w:val="22"/>
        </w:rPr>
        <w:t xml:space="preserve"> PEZ v odpovídajícím roce daný vztahem:</w:t>
      </w:r>
    </w:p>
    <w:p w:rsidR="007D2C62" w:rsidRPr="0092047B" w:rsidRDefault="00D76A86" w:rsidP="00184DC1">
      <w:pPr>
        <w:spacing w:before="240" w:after="120"/>
        <w:ind w:left="1276"/>
        <w:jc w:val="center"/>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FP</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PEZ</m:t>
                  </m:r>
                </m:e>
                <m:sub>
                  <m:r>
                    <w:rPr>
                      <w:rFonts w:ascii="Cambria Math" w:hAnsi="Cambria Math" w:cstheme="minorHAnsi"/>
                    </w:rPr>
                    <m:t>FP</m:t>
                  </m:r>
                </m:sub>
              </m:sSub>
            </m:num>
            <m:den>
              <m:r>
                <w:rPr>
                  <w:rFonts w:ascii="Cambria Math" w:hAnsi="Cambria Math" w:cstheme="minorHAnsi"/>
                </w:rPr>
                <m:t>PEZ</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FP</w:t>
      </w:r>
      <w:r w:rsidRPr="0092047B">
        <w:rPr>
          <w:rFonts w:eastAsiaTheme="minorEastAsia" w:cstheme="minorHAnsi"/>
          <w:iCs/>
          <w:color w:val="000000" w:themeColor="text1"/>
          <w:szCs w:val="22"/>
        </w:rPr>
        <w:tab/>
        <w:t xml:space="preserve">podíl </w:t>
      </w:r>
      <w:r w:rsidRPr="0092047B">
        <w:rPr>
          <w:rFonts w:cstheme="minorHAnsi"/>
        </w:rPr>
        <w:t>fosilních paliv na spotřebě primární energie</w:t>
      </w:r>
      <w:r w:rsidRPr="0092047B">
        <w:rPr>
          <w:rFonts w:eastAsiaTheme="minorEastAsia" w:cstheme="minorHAnsi"/>
          <w:iCs/>
          <w:color w:val="000000" w:themeColor="text1"/>
          <w:szCs w:val="22"/>
        </w:rPr>
        <w:t xml:space="preserve">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PEZ</w:t>
      </w:r>
      <w:r w:rsidRPr="0092047B">
        <w:rPr>
          <w:rFonts w:eastAsiaTheme="minorEastAsia" w:cstheme="minorHAnsi"/>
          <w:i/>
          <w:iCs/>
          <w:color w:val="000000" w:themeColor="text1"/>
          <w:szCs w:val="22"/>
          <w:vertAlign w:val="subscript"/>
        </w:rPr>
        <w:t>FP</w:t>
      </w:r>
      <w:r w:rsidRPr="0092047B">
        <w:rPr>
          <w:rFonts w:eastAsiaTheme="minorEastAsia" w:cstheme="minorHAnsi"/>
          <w:iCs/>
          <w:color w:val="000000" w:themeColor="text1"/>
          <w:szCs w:val="22"/>
        </w:rPr>
        <w:tab/>
        <w:t>primární energetické zdroje z fosilních paliv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PEZ</w:t>
      </w:r>
      <w:r w:rsidRPr="0092047B">
        <w:rPr>
          <w:rFonts w:eastAsiaTheme="minorEastAsia" w:cstheme="minorHAnsi"/>
          <w:iCs/>
          <w:color w:val="000000" w:themeColor="text1"/>
          <w:szCs w:val="22"/>
        </w:rPr>
        <w:tab/>
        <w:t>celková spotřeba PEZ [PJ]</w:t>
      </w:r>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szCs w:val="22"/>
        </w:rPr>
        <w:t xml:space="preserve">Zdrojem vstupních dat pro výpočet tohoto ukazatele jsou statistiky a budoucí výhledy zpracovávané na Ministerstvu průmyslu a obchodu podle </w:t>
      </w:r>
      <w:r w:rsidR="00FC336C">
        <w:rPr>
          <w:rFonts w:eastAsiaTheme="minorEastAsia" w:cstheme="minorHAnsi"/>
          <w:iCs/>
          <w:szCs w:val="22"/>
        </w:rPr>
        <w:t>vlastní metodiky</w:t>
      </w:r>
      <w:r w:rsidRPr="0092047B">
        <w:rPr>
          <w:rFonts w:eastAsiaTheme="minorEastAsia" w:cstheme="minorHAnsi"/>
          <w:iCs/>
          <w:szCs w:val="22"/>
        </w:rPr>
        <w:t>.</w:t>
      </w:r>
      <w:r w:rsidR="00BA17F1" w:rsidRPr="0092047B">
        <w:rPr>
          <w:rFonts w:eastAsiaTheme="minorEastAsia" w:cstheme="minorHAnsi"/>
          <w:iCs/>
          <w:szCs w:val="22"/>
        </w:rPr>
        <w:t xml:space="preserve"> Cílem je trvalý pokles podílu fosilních paliv</w:t>
      </w:r>
      <w:r w:rsidR="00EE5D39">
        <w:rPr>
          <w:rFonts w:eastAsiaTheme="minorEastAsia" w:cstheme="minorHAnsi"/>
          <w:iCs/>
          <w:szCs w:val="22"/>
        </w:rPr>
        <w:t>.</w:t>
      </w:r>
      <w:r w:rsidR="00BA17F1" w:rsidRPr="0092047B">
        <w:rPr>
          <w:rFonts w:eastAsiaTheme="minorEastAsia" w:cstheme="minorHAnsi"/>
          <w:iCs/>
          <w:szCs w:val="22"/>
        </w:rPr>
        <w:t xml:space="preserve"> </w:t>
      </w:r>
    </w:p>
    <w:p w:rsidR="007D2C62" w:rsidRPr="0092047B" w:rsidRDefault="007D2C62" w:rsidP="00184DC1">
      <w:pPr>
        <w:pStyle w:val="Odstavecseseznamem"/>
        <w:numPr>
          <w:ilvl w:val="0"/>
          <w:numId w:val="13"/>
        </w:numPr>
        <w:overflowPunct/>
        <w:autoSpaceDE/>
        <w:autoSpaceDN/>
        <w:adjustRightInd/>
        <w:spacing w:before="240" w:after="120" w:line="240" w:lineRule="auto"/>
        <w:ind w:left="567" w:hanging="425"/>
        <w:textAlignment w:val="auto"/>
        <w:rPr>
          <w:rFonts w:asciiTheme="minorHAnsi" w:hAnsiTheme="minorHAnsi" w:cstheme="minorHAnsi"/>
          <w:sz w:val="24"/>
          <w:szCs w:val="24"/>
        </w:rPr>
      </w:pPr>
      <w:r w:rsidRPr="0092047B">
        <w:rPr>
          <w:rFonts w:asciiTheme="minorHAnsi" w:hAnsiTheme="minorHAnsi" w:cstheme="minorHAnsi"/>
          <w:sz w:val="24"/>
          <w:szCs w:val="24"/>
          <w:u w:val="single"/>
        </w:rPr>
        <w:t>Elektroenergetická náročnost tvorby hrubé přidané hodnoty:</w:t>
      </w:r>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 xml:space="preserve">Elektroenergetická náročnost tvorby hrubé přidané hodnoty v daném roce je stanovena jako podíl </w:t>
      </w:r>
      <w:r w:rsidRPr="0092047B">
        <w:rPr>
          <w:rFonts w:eastAsiaTheme="minorEastAsia" w:cstheme="minorHAnsi"/>
          <w:iCs/>
          <w:szCs w:val="22"/>
        </w:rPr>
        <w:t xml:space="preserve">čisté tuzemské spotřeby elektřiny </w:t>
      </w:r>
      <w:r w:rsidRPr="0092047B">
        <w:rPr>
          <w:rFonts w:eastAsiaTheme="minorEastAsia" w:cstheme="minorHAnsi"/>
          <w:iCs/>
          <w:color w:val="000000" w:themeColor="text1"/>
          <w:szCs w:val="22"/>
        </w:rPr>
        <w:t>a velikosti HPH v odpovídajícím roce takto:</w:t>
      </w:r>
    </w:p>
    <w:p w:rsidR="007D2C62" w:rsidRPr="0092047B" w:rsidRDefault="007D2C62" w:rsidP="00184DC1">
      <w:pPr>
        <w:spacing w:before="240" w:after="120"/>
        <w:ind w:left="1276"/>
        <w:rPr>
          <w:rFonts w:cstheme="minorHAnsi"/>
          <w:iCs/>
        </w:rPr>
      </w:pPr>
      <m:oMathPara>
        <m:oMathParaPr>
          <m:jc m:val="left"/>
        </m:oMathParaPr>
        <m:oMath>
          <m:r>
            <w:rPr>
              <w:rFonts w:ascii="Cambria Math" w:hAnsi="Cambria Math" w:cstheme="minorHAnsi"/>
            </w:rPr>
            <m:t>EEN=</m:t>
          </m:r>
          <m:f>
            <m:fPr>
              <m:ctrlPr>
                <w:rPr>
                  <w:rFonts w:ascii="Cambria Math" w:hAnsi="Cambria Math" w:cstheme="minorHAnsi"/>
                  <w:i/>
                  <w:iCs/>
                </w:rPr>
              </m:ctrlPr>
            </m:fPr>
            <m:num>
              <m:r>
                <w:rPr>
                  <w:rFonts w:ascii="Cambria Math" w:hAnsi="Cambria Math" w:cstheme="minorHAnsi"/>
                </w:rPr>
                <m:t>TNS</m:t>
              </m:r>
            </m:num>
            <m:den>
              <m:r>
                <w:rPr>
                  <w:rFonts w:ascii="Cambria Math" w:hAnsi="Cambria Math" w:cstheme="minorHAnsi"/>
                </w:rPr>
                <m:t>HPH</m:t>
              </m:r>
            </m:den>
          </m:f>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EEN</w:t>
      </w:r>
      <w:r w:rsidRPr="0092047B">
        <w:rPr>
          <w:rFonts w:eastAsiaTheme="minorEastAsia" w:cstheme="minorHAnsi"/>
          <w:iCs/>
          <w:color w:val="000000" w:themeColor="text1"/>
          <w:szCs w:val="22"/>
        </w:rPr>
        <w:tab/>
        <w:t>elektroenergetická náročnost tvorby HPH [Wh/Kč]</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color w:val="000000" w:themeColor="text1"/>
          <w:szCs w:val="22"/>
        </w:rPr>
        <w:t>TNS</w:t>
      </w:r>
      <w:r w:rsidRPr="0092047B">
        <w:rPr>
          <w:rFonts w:eastAsiaTheme="minorEastAsia" w:cstheme="minorHAnsi"/>
          <w:iCs/>
          <w:color w:val="000000" w:themeColor="text1"/>
          <w:szCs w:val="22"/>
        </w:rPr>
        <w:tab/>
      </w:r>
      <w:r w:rsidRPr="0092047B">
        <w:rPr>
          <w:rFonts w:eastAsiaTheme="minorEastAsia" w:cstheme="minorHAnsi"/>
          <w:iCs/>
          <w:szCs w:val="22"/>
        </w:rPr>
        <w:t>tuzemská netto spotřeba elektřiny [GWh]</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HPH</w:t>
      </w:r>
      <w:r w:rsidRPr="0092047B">
        <w:rPr>
          <w:rFonts w:eastAsiaTheme="minorEastAsia" w:cstheme="minorHAnsi"/>
          <w:iCs/>
          <w:szCs w:val="22"/>
        </w:rPr>
        <w:tab/>
        <w:t>hrubá přidaná hodnota [mld. Kč]</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Zdrojem vstupních dat pro výpočet tohoto ukazatele jsou statistiky</w:t>
      </w:r>
      <w:r w:rsidR="00FC336C">
        <w:rPr>
          <w:rFonts w:eastAsiaTheme="minorEastAsia" w:cstheme="minorHAnsi"/>
          <w:iCs/>
          <w:szCs w:val="22"/>
        </w:rPr>
        <w:t xml:space="preserve"> </w:t>
      </w:r>
      <w:r w:rsidR="00865317">
        <w:rPr>
          <w:rFonts w:eastAsiaTheme="minorEastAsia" w:cstheme="minorHAnsi"/>
          <w:iCs/>
          <w:szCs w:val="22"/>
        </w:rPr>
        <w:t xml:space="preserve">zpracovávané na </w:t>
      </w:r>
      <w:r w:rsidR="00FC336C">
        <w:rPr>
          <w:rFonts w:eastAsiaTheme="minorEastAsia" w:cstheme="minorHAnsi"/>
          <w:iCs/>
          <w:szCs w:val="22"/>
        </w:rPr>
        <w:t>ČS</w:t>
      </w:r>
      <w:r w:rsidR="00FC336C" w:rsidRPr="00BB0ECC">
        <w:rPr>
          <w:rFonts w:eastAsiaTheme="minorEastAsia" w:cstheme="minorHAnsi"/>
          <w:iCs/>
          <w:szCs w:val="22"/>
        </w:rPr>
        <w:t>Ú</w:t>
      </w:r>
      <w:r w:rsidR="00865317">
        <w:rPr>
          <w:rFonts w:eastAsiaTheme="minorEastAsia" w:cstheme="minorHAnsi"/>
          <w:iCs/>
          <w:szCs w:val="22"/>
        </w:rPr>
        <w:t>,</w:t>
      </w:r>
      <w:r w:rsidR="00FC336C">
        <w:rPr>
          <w:rFonts w:eastAsiaTheme="minorEastAsia" w:cstheme="minorHAnsi"/>
          <w:iCs/>
          <w:szCs w:val="22"/>
        </w:rPr>
        <w:t xml:space="preserve"> </w:t>
      </w:r>
      <w:r w:rsidR="00865317" w:rsidRPr="0092047B">
        <w:rPr>
          <w:rFonts w:eastAsiaTheme="minorEastAsia" w:cstheme="minorHAnsi"/>
          <w:iCs/>
          <w:szCs w:val="22"/>
        </w:rPr>
        <w:t>statistiky</w:t>
      </w:r>
      <w:r w:rsidR="00865317">
        <w:rPr>
          <w:rFonts w:eastAsiaTheme="minorEastAsia" w:cstheme="minorHAnsi"/>
          <w:iCs/>
          <w:szCs w:val="22"/>
        </w:rPr>
        <w:t xml:space="preserve"> zpracovávané na </w:t>
      </w:r>
      <w:r w:rsidR="00FC336C">
        <w:rPr>
          <w:rFonts w:eastAsiaTheme="minorEastAsia" w:cstheme="minorHAnsi"/>
          <w:iCs/>
          <w:szCs w:val="22"/>
        </w:rPr>
        <w:t>ERÚ a statistiky a</w:t>
      </w:r>
      <w:r w:rsidRPr="0092047B">
        <w:rPr>
          <w:rFonts w:eastAsiaTheme="minorEastAsia" w:cstheme="minorHAnsi"/>
          <w:iCs/>
          <w:szCs w:val="22"/>
        </w:rPr>
        <w:t xml:space="preserve"> budoucí výhledy zpracovávané na MPO podle</w:t>
      </w:r>
      <w:r w:rsidR="00BB0ECC">
        <w:rPr>
          <w:rFonts w:eastAsiaTheme="minorEastAsia" w:cstheme="minorHAnsi"/>
          <w:iCs/>
          <w:szCs w:val="22"/>
        </w:rPr>
        <w:t xml:space="preserve"> </w:t>
      </w:r>
      <w:r w:rsidR="00FC336C">
        <w:rPr>
          <w:rFonts w:eastAsiaTheme="minorEastAsia" w:cstheme="minorHAnsi"/>
          <w:iCs/>
          <w:szCs w:val="22"/>
        </w:rPr>
        <w:t>vlastní metodiky</w:t>
      </w:r>
      <w:r w:rsidRPr="0092047B">
        <w:rPr>
          <w:rFonts w:eastAsiaTheme="minorEastAsia" w:cstheme="minorHAnsi"/>
          <w:iCs/>
          <w:szCs w:val="22"/>
        </w:rPr>
        <w:t>.</w:t>
      </w:r>
      <w:r w:rsidR="00BA17F1" w:rsidRPr="0092047B">
        <w:rPr>
          <w:rFonts w:eastAsiaTheme="minorEastAsia" w:cstheme="minorHAnsi"/>
          <w:iCs/>
          <w:szCs w:val="22"/>
        </w:rPr>
        <w:t xml:space="preserve"> Cílem je trvalé snižování elektroenergetické náročnosti HPH a trvalé udržení pod průměrem EU28. </w:t>
      </w:r>
    </w:p>
    <w:p w:rsidR="007D2C62" w:rsidRPr="0092047B" w:rsidRDefault="007D2C62" w:rsidP="00184DC1">
      <w:pPr>
        <w:pStyle w:val="Odstavecseseznamem"/>
        <w:numPr>
          <w:ilvl w:val="0"/>
          <w:numId w:val="13"/>
        </w:numPr>
        <w:overflowPunct/>
        <w:autoSpaceDE/>
        <w:autoSpaceDN/>
        <w:adjustRightInd/>
        <w:spacing w:before="240" w:after="120" w:line="240" w:lineRule="auto"/>
        <w:ind w:left="567" w:hanging="425"/>
        <w:contextualSpacing/>
        <w:textAlignment w:val="auto"/>
        <w:rPr>
          <w:rFonts w:asciiTheme="minorHAnsi" w:hAnsiTheme="minorHAnsi" w:cstheme="minorHAnsi"/>
          <w:sz w:val="24"/>
          <w:szCs w:val="24"/>
        </w:rPr>
      </w:pPr>
      <w:r w:rsidRPr="0092047B">
        <w:rPr>
          <w:rFonts w:asciiTheme="minorHAnsi" w:hAnsiTheme="minorHAnsi" w:cstheme="minorHAnsi"/>
          <w:sz w:val="24"/>
          <w:szCs w:val="24"/>
          <w:u w:val="single"/>
        </w:rPr>
        <w:t>Podíl obnovitelných zdrojů energie na hrubé konečné spotřebě:</w:t>
      </w:r>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 xml:space="preserve">Podíl </w:t>
      </w:r>
      <w:r w:rsidRPr="0092047B">
        <w:rPr>
          <w:rFonts w:cstheme="minorHAnsi"/>
        </w:rPr>
        <w:t>OZE na hrubé konečné spotřebě</w:t>
      </w:r>
      <w:r w:rsidRPr="0092047B">
        <w:rPr>
          <w:rFonts w:eastAsiaTheme="minorEastAsia" w:cstheme="minorHAnsi"/>
          <w:iCs/>
          <w:color w:val="000000" w:themeColor="text1"/>
          <w:szCs w:val="22"/>
        </w:rPr>
        <w:t xml:space="preserve"> v daném roce je stanoven jako poměr konečné spotřeby obnovitelných zdrojů energie k</w:t>
      </w:r>
      <w:r w:rsidR="00617C5F" w:rsidRPr="0092047B">
        <w:rPr>
          <w:rFonts w:eastAsiaTheme="minorEastAsia" w:cstheme="minorHAnsi"/>
          <w:iCs/>
          <w:color w:val="000000" w:themeColor="text1"/>
          <w:szCs w:val="22"/>
        </w:rPr>
        <w:t> </w:t>
      </w:r>
      <w:r w:rsidRPr="0092047B">
        <w:rPr>
          <w:rFonts w:eastAsiaTheme="minorEastAsia" w:cstheme="minorHAnsi"/>
          <w:iCs/>
          <w:color w:val="000000" w:themeColor="text1"/>
          <w:szCs w:val="22"/>
        </w:rPr>
        <w:t>celkové</w:t>
      </w:r>
      <w:r w:rsidR="00617C5F" w:rsidRPr="0092047B">
        <w:rPr>
          <w:rFonts w:eastAsiaTheme="minorEastAsia" w:cstheme="minorHAnsi"/>
          <w:iCs/>
          <w:color w:val="000000" w:themeColor="text1"/>
          <w:szCs w:val="22"/>
        </w:rPr>
        <w:t xml:space="preserve"> hrubé</w:t>
      </w:r>
      <w:r w:rsidRPr="0092047B">
        <w:rPr>
          <w:rFonts w:eastAsiaTheme="minorEastAsia" w:cstheme="minorHAnsi"/>
          <w:iCs/>
          <w:color w:val="000000" w:themeColor="text1"/>
          <w:szCs w:val="22"/>
        </w:rPr>
        <w:t xml:space="preserve"> konečné spotřebě energie v odpovídajícím roce:</w:t>
      </w:r>
    </w:p>
    <w:p w:rsidR="007D2C62" w:rsidRPr="0092047B" w:rsidRDefault="00D76A86" w:rsidP="00184DC1">
      <w:pPr>
        <w:spacing w:before="240" w:after="120"/>
        <w:ind w:left="1276"/>
        <w:rPr>
          <w:rFonts w:cstheme="minorHAnsi"/>
          <w:iCs/>
        </w:rPr>
      </w:pPr>
      <m:oMathPara>
        <m:oMathParaPr>
          <m:jc m:val="left"/>
        </m:oMathParaPr>
        <m:oMath>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OZE</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iCs/>
                    </w:rPr>
                  </m:ctrlPr>
                </m:sSubPr>
                <m:e>
                  <m:r>
                    <w:rPr>
                      <w:rFonts w:ascii="Cambria Math" w:hAnsi="Cambria Math" w:cstheme="minorHAnsi"/>
                    </w:rPr>
                    <m:t>KS</m:t>
                  </m:r>
                </m:e>
                <m:sub>
                  <m:r>
                    <w:rPr>
                      <w:rFonts w:ascii="Cambria Math" w:hAnsi="Cambria Math" w:cstheme="minorHAnsi"/>
                    </w:rPr>
                    <m:t>OZE</m:t>
                  </m:r>
                </m:sub>
              </m:sSub>
            </m:num>
            <m:den>
              <m:r>
                <w:rPr>
                  <w:rFonts w:ascii="Cambria Math" w:hAnsi="Cambria Math" w:cstheme="minorHAnsi"/>
                </w:rPr>
                <m:t>HKS</m:t>
              </m:r>
            </m:den>
          </m:f>
          <m:r>
            <w:rPr>
              <w:rFonts w:ascii="Cambria Math" w:hAnsi="Cambria Math" w:cstheme="minorHAnsi"/>
            </w:rPr>
            <m:t>∙100%</m:t>
          </m:r>
        </m:oMath>
      </m:oMathPara>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kde:</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p</w:t>
      </w:r>
      <w:r w:rsidRPr="0092047B">
        <w:rPr>
          <w:rFonts w:eastAsiaTheme="minorEastAsia" w:cstheme="minorHAnsi"/>
          <w:i/>
          <w:iCs/>
          <w:color w:val="000000" w:themeColor="text1"/>
          <w:szCs w:val="22"/>
          <w:vertAlign w:val="subscript"/>
        </w:rPr>
        <w:t>OZE</w:t>
      </w:r>
      <w:r w:rsidRPr="0092047B">
        <w:rPr>
          <w:rFonts w:eastAsiaTheme="minorEastAsia" w:cstheme="minorHAnsi"/>
          <w:iCs/>
          <w:color w:val="000000" w:themeColor="text1"/>
          <w:szCs w:val="22"/>
        </w:rPr>
        <w:tab/>
        <w:t xml:space="preserve">podíl </w:t>
      </w:r>
      <w:r w:rsidRPr="0092047B">
        <w:rPr>
          <w:rFonts w:cstheme="minorHAnsi"/>
        </w:rPr>
        <w:t>OZE v konečné spotřebě</w:t>
      </w:r>
      <w:r w:rsidRPr="0092047B">
        <w:rPr>
          <w:rFonts w:eastAsiaTheme="minorEastAsia" w:cstheme="minorHAnsi"/>
          <w:iCs/>
          <w:color w:val="000000" w:themeColor="text1"/>
          <w:szCs w:val="22"/>
        </w:rPr>
        <w:t xml:space="preserve"> [%]</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KS</w:t>
      </w:r>
      <w:r w:rsidRPr="0092047B">
        <w:rPr>
          <w:rFonts w:eastAsiaTheme="minorEastAsia" w:cstheme="minorHAnsi"/>
          <w:i/>
          <w:iCs/>
          <w:color w:val="000000" w:themeColor="text1"/>
          <w:szCs w:val="22"/>
          <w:vertAlign w:val="subscript"/>
        </w:rPr>
        <w:t>OZE</w:t>
      </w:r>
      <w:r w:rsidRPr="0092047B">
        <w:rPr>
          <w:rFonts w:eastAsiaTheme="minorEastAsia" w:cstheme="minorHAnsi"/>
          <w:iCs/>
          <w:color w:val="000000" w:themeColor="text1"/>
          <w:szCs w:val="22"/>
        </w:rPr>
        <w:tab/>
        <w:t>konečná spotřeba OZE [PJ]</w:t>
      </w:r>
    </w:p>
    <w:p w:rsidR="007D2C62" w:rsidRPr="0092047B" w:rsidRDefault="007D2C62" w:rsidP="00184DC1">
      <w:pPr>
        <w:spacing w:after="120"/>
        <w:ind w:left="1276"/>
        <w:rPr>
          <w:rFonts w:eastAsiaTheme="minorEastAsia" w:cstheme="minorHAnsi"/>
          <w:iCs/>
          <w:color w:val="000000" w:themeColor="text1"/>
          <w:szCs w:val="22"/>
        </w:rPr>
      </w:pPr>
      <w:r w:rsidRPr="0092047B">
        <w:rPr>
          <w:rFonts w:eastAsiaTheme="minorEastAsia" w:cstheme="minorHAnsi"/>
          <w:i/>
          <w:iCs/>
          <w:color w:val="000000" w:themeColor="text1"/>
          <w:szCs w:val="22"/>
        </w:rPr>
        <w:t>HKS</w:t>
      </w:r>
      <w:r w:rsidRPr="0092047B">
        <w:rPr>
          <w:rFonts w:eastAsiaTheme="minorEastAsia" w:cstheme="minorHAnsi"/>
          <w:iCs/>
          <w:color w:val="000000" w:themeColor="text1"/>
          <w:szCs w:val="22"/>
        </w:rPr>
        <w:tab/>
        <w:t>hrubá konečná spotřeba [PJ]</w:t>
      </w:r>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a budoucí výhledy zpracovávané na </w:t>
      </w:r>
      <w:r w:rsidR="00865317">
        <w:rPr>
          <w:rFonts w:eastAsiaTheme="minorEastAsia" w:cstheme="minorHAnsi"/>
          <w:iCs/>
          <w:szCs w:val="22"/>
        </w:rPr>
        <w:t>MPO</w:t>
      </w:r>
      <w:r w:rsidRPr="0092047B">
        <w:rPr>
          <w:rFonts w:eastAsiaTheme="minorEastAsia" w:cstheme="minorHAnsi"/>
          <w:iCs/>
          <w:szCs w:val="22"/>
        </w:rPr>
        <w:t xml:space="preserve"> podle </w:t>
      </w:r>
      <w:r w:rsidR="00FC336C">
        <w:rPr>
          <w:rFonts w:eastAsiaTheme="minorEastAsia" w:cstheme="minorHAnsi"/>
          <w:iCs/>
          <w:szCs w:val="22"/>
        </w:rPr>
        <w:t>vlastní metodiky</w:t>
      </w:r>
      <w:r w:rsidRPr="0092047B">
        <w:rPr>
          <w:rFonts w:eastAsiaTheme="minorEastAsia" w:cstheme="minorHAnsi"/>
          <w:iCs/>
          <w:szCs w:val="22"/>
        </w:rPr>
        <w:t>.</w:t>
      </w:r>
      <w:r w:rsidR="00BA17F1" w:rsidRPr="0092047B">
        <w:rPr>
          <w:rFonts w:eastAsiaTheme="minorEastAsia" w:cstheme="minorHAnsi"/>
          <w:iCs/>
          <w:szCs w:val="22"/>
        </w:rPr>
        <w:t xml:space="preserve"> Cílem je postupný nárůst podílu OZE na hodnoty znamenající plné využití ekonomicky efektivního potenciálu zdrojů </w:t>
      </w:r>
      <w:r w:rsidR="008C2223" w:rsidRPr="0092047B">
        <w:rPr>
          <w:rFonts w:eastAsiaTheme="minorEastAsia" w:cstheme="minorHAnsi"/>
          <w:iCs/>
          <w:szCs w:val="22"/>
        </w:rPr>
        <w:t>obnovitelné</w:t>
      </w:r>
      <w:r w:rsidR="00BA17F1" w:rsidRPr="0092047B">
        <w:rPr>
          <w:rFonts w:eastAsiaTheme="minorEastAsia" w:cstheme="minorHAnsi"/>
          <w:iCs/>
          <w:szCs w:val="22"/>
        </w:rPr>
        <w:t xml:space="preserve"> energie v ČR. </w:t>
      </w:r>
    </w:p>
    <w:p w:rsidR="007D2C62" w:rsidRPr="0092047B" w:rsidRDefault="007D2C62" w:rsidP="00184DC1">
      <w:pPr>
        <w:pStyle w:val="Odstavecseseznamem"/>
        <w:numPr>
          <w:ilvl w:val="0"/>
          <w:numId w:val="13"/>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bookmarkStart w:id="409" w:name="_Toc385489237"/>
      <w:r w:rsidRPr="0092047B">
        <w:rPr>
          <w:rFonts w:asciiTheme="minorHAnsi" w:hAnsiTheme="minorHAnsi" w:cstheme="minorHAnsi"/>
          <w:sz w:val="24"/>
          <w:szCs w:val="24"/>
          <w:u w:val="single"/>
        </w:rPr>
        <w:t>Spotřeba elektřiny na obyvatele</w:t>
      </w:r>
      <w:bookmarkEnd w:id="409"/>
      <w:r w:rsidRPr="0092047B">
        <w:rPr>
          <w:rFonts w:asciiTheme="minorHAnsi" w:hAnsiTheme="minorHAnsi" w:cstheme="minorHAnsi"/>
          <w:sz w:val="24"/>
          <w:szCs w:val="24"/>
          <w:u w:val="single"/>
        </w:rPr>
        <w:t>:</w:t>
      </w:r>
    </w:p>
    <w:p w:rsidR="007D2C62" w:rsidRPr="0092047B" w:rsidRDefault="007D2C62" w:rsidP="00184DC1">
      <w:pPr>
        <w:spacing w:after="120"/>
        <w:ind w:left="567"/>
        <w:rPr>
          <w:rFonts w:eastAsiaTheme="minorEastAsia" w:cstheme="minorHAnsi"/>
          <w:iCs/>
          <w:color w:val="000000" w:themeColor="text1"/>
          <w:szCs w:val="22"/>
        </w:rPr>
      </w:pPr>
      <w:r w:rsidRPr="0092047B">
        <w:rPr>
          <w:rFonts w:eastAsiaTheme="minorEastAsia" w:cstheme="minorHAnsi"/>
          <w:iCs/>
          <w:color w:val="000000" w:themeColor="text1"/>
          <w:szCs w:val="22"/>
        </w:rPr>
        <w:t>Spotřeba elektřiny na obyvatele v daném roce je stanov</w:t>
      </w:r>
      <w:r w:rsidRPr="0092047B">
        <w:rPr>
          <w:rFonts w:eastAsiaTheme="minorEastAsia" w:cstheme="minorHAnsi"/>
          <w:iCs/>
          <w:szCs w:val="22"/>
        </w:rPr>
        <w:t>ena jako podíl čisté domácí spotřeby elektřiny a počtu obyvatel v odpovídajícím roce následujícím způsobem</w:t>
      </w:r>
      <w:r w:rsidRPr="0092047B">
        <w:rPr>
          <w:rFonts w:eastAsiaTheme="minorEastAsia" w:cstheme="minorHAnsi"/>
          <w:iCs/>
          <w:color w:val="000000" w:themeColor="text1"/>
          <w:szCs w:val="22"/>
        </w:rPr>
        <w:t>:</w:t>
      </w:r>
    </w:p>
    <w:p w:rsidR="007D2C62" w:rsidRPr="0092047B" w:rsidRDefault="007D2C62" w:rsidP="00184DC1">
      <w:pPr>
        <w:spacing w:before="240" w:after="120"/>
        <w:ind w:left="1276"/>
        <w:rPr>
          <w:rFonts w:cstheme="minorHAnsi"/>
          <w:iCs/>
        </w:rPr>
      </w:pPr>
      <m:oMathPara>
        <m:oMathParaPr>
          <m:jc m:val="left"/>
        </m:oMathParaPr>
        <m:oMath>
          <m:r>
            <w:rPr>
              <w:rFonts w:ascii="Cambria Math" w:hAnsi="Cambria Math" w:cstheme="minorHAnsi"/>
            </w:rPr>
            <m:t>SEO=</m:t>
          </m:r>
          <m:f>
            <m:fPr>
              <m:ctrlPr>
                <w:rPr>
                  <w:rFonts w:ascii="Cambria Math" w:hAnsi="Cambria Math" w:cstheme="minorHAnsi"/>
                  <w:i/>
                  <w:iCs/>
                </w:rPr>
              </m:ctrlPr>
            </m:fPr>
            <m:num>
              <m:r>
                <w:rPr>
                  <w:rFonts w:ascii="Cambria Math" w:hAnsi="Cambria Math" w:cstheme="minorHAnsi"/>
                </w:rPr>
                <m:t>TNS</m:t>
              </m:r>
            </m:num>
            <m:den>
              <m:r>
                <w:rPr>
                  <w:rFonts w:ascii="Cambria Math" w:hAnsi="Cambria Math" w:cstheme="minorHAnsi"/>
                </w:rPr>
                <m:t>PO</m:t>
              </m:r>
            </m:den>
          </m:f>
        </m:oMath>
      </m:oMathPara>
    </w:p>
    <w:p w:rsidR="007D2C62"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kde:</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SEO</w:t>
      </w:r>
      <w:r w:rsidRPr="0092047B">
        <w:rPr>
          <w:rFonts w:eastAsiaTheme="minorEastAsia" w:cstheme="minorHAnsi"/>
          <w:iCs/>
          <w:szCs w:val="22"/>
        </w:rPr>
        <w:tab/>
        <w:t>spotřeba elektřiny na obyvatele [kWh/obyv.]</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TNS</w:t>
      </w:r>
      <w:r w:rsidRPr="0092047B">
        <w:rPr>
          <w:rFonts w:eastAsiaTheme="minorEastAsia" w:cstheme="minorHAnsi"/>
          <w:iCs/>
          <w:szCs w:val="22"/>
        </w:rPr>
        <w:tab/>
        <w:t>tuzemská netto spotřeba elektřiny [GWh]</w:t>
      </w:r>
    </w:p>
    <w:p w:rsidR="007D2C62" w:rsidRPr="0092047B" w:rsidRDefault="007D2C62" w:rsidP="00184DC1">
      <w:pPr>
        <w:spacing w:after="120"/>
        <w:ind w:left="1276"/>
        <w:rPr>
          <w:rFonts w:eastAsiaTheme="minorEastAsia" w:cstheme="minorHAnsi"/>
          <w:iCs/>
          <w:szCs w:val="22"/>
        </w:rPr>
      </w:pPr>
      <w:r w:rsidRPr="0092047B">
        <w:rPr>
          <w:rFonts w:eastAsiaTheme="minorEastAsia" w:cstheme="minorHAnsi"/>
          <w:i/>
          <w:iCs/>
          <w:szCs w:val="22"/>
        </w:rPr>
        <w:t>PO</w:t>
      </w:r>
      <w:r w:rsidRPr="0092047B">
        <w:rPr>
          <w:rFonts w:eastAsiaTheme="minorEastAsia" w:cstheme="minorHAnsi"/>
          <w:iCs/>
          <w:szCs w:val="22"/>
        </w:rPr>
        <w:tab/>
        <w:t>počet obyvatel [mil. obyv.]</w:t>
      </w:r>
    </w:p>
    <w:p w:rsidR="004A0490" w:rsidRPr="0092047B" w:rsidRDefault="007D2C62" w:rsidP="00184DC1">
      <w:pPr>
        <w:spacing w:after="120"/>
        <w:ind w:left="567"/>
        <w:rPr>
          <w:rFonts w:eastAsiaTheme="minorEastAsia" w:cstheme="minorHAnsi"/>
          <w:iCs/>
          <w:szCs w:val="22"/>
        </w:rPr>
      </w:pPr>
      <w:r w:rsidRPr="0092047B">
        <w:rPr>
          <w:rFonts w:eastAsiaTheme="minorEastAsia" w:cstheme="minorHAnsi"/>
          <w:iCs/>
          <w:szCs w:val="22"/>
        </w:rPr>
        <w:t xml:space="preserve">Zdrojem vstupních dat pro výpočet tohoto ukazatele jsou statistiky </w:t>
      </w:r>
      <w:r w:rsidR="00865317">
        <w:rPr>
          <w:rFonts w:eastAsiaTheme="minorEastAsia" w:cstheme="minorHAnsi"/>
          <w:iCs/>
          <w:szCs w:val="22"/>
        </w:rPr>
        <w:t xml:space="preserve">zpracovávané na </w:t>
      </w:r>
      <w:r w:rsidR="00FC336C">
        <w:rPr>
          <w:rFonts w:eastAsiaTheme="minorEastAsia" w:cstheme="minorHAnsi"/>
          <w:iCs/>
          <w:szCs w:val="22"/>
        </w:rPr>
        <w:t xml:space="preserve">ERÚ, statistiky </w:t>
      </w:r>
      <w:r w:rsidRPr="0092047B">
        <w:rPr>
          <w:rFonts w:eastAsiaTheme="minorEastAsia" w:cstheme="minorHAnsi"/>
          <w:iCs/>
          <w:szCs w:val="22"/>
        </w:rPr>
        <w:t>a budoucí výhledy zpracovávané</w:t>
      </w:r>
      <w:r w:rsidR="00FC336C">
        <w:rPr>
          <w:rFonts w:eastAsiaTheme="minorEastAsia" w:cstheme="minorHAnsi"/>
          <w:iCs/>
          <w:szCs w:val="22"/>
        </w:rPr>
        <w:t xml:space="preserve"> na MPO podle vlastní metodiky</w:t>
      </w:r>
      <w:r w:rsidRPr="0092047B">
        <w:rPr>
          <w:rFonts w:eastAsiaTheme="minorEastAsia" w:cstheme="minorHAnsi"/>
          <w:iCs/>
          <w:szCs w:val="22"/>
        </w:rPr>
        <w:t xml:space="preserve"> a Projekce počtu obyvatel zpracovávaná a zveřejňovaná ČSÚ.</w:t>
      </w:r>
      <w:r w:rsidR="00BA17F1" w:rsidRPr="0092047B">
        <w:rPr>
          <w:rFonts w:eastAsiaTheme="minorEastAsia" w:cstheme="minorHAnsi"/>
          <w:iCs/>
          <w:szCs w:val="22"/>
        </w:rPr>
        <w:t xml:space="preserve"> Cílem je udržet spotřebu elektřiny na obyvatele trvale pod úrovní průměru EU28.</w:t>
      </w:r>
    </w:p>
    <w:p w:rsidR="00AF2960" w:rsidRPr="00A738B0" w:rsidRDefault="00AF2960" w:rsidP="00184DC1">
      <w:pPr>
        <w:pStyle w:val="Odstavecseseznamem"/>
        <w:numPr>
          <w:ilvl w:val="0"/>
          <w:numId w:val="13"/>
        </w:numPr>
        <w:overflowPunct/>
        <w:autoSpaceDE/>
        <w:autoSpaceDN/>
        <w:adjustRightInd/>
        <w:spacing w:before="240" w:after="120" w:line="240" w:lineRule="auto"/>
        <w:ind w:left="567" w:hanging="425"/>
        <w:textAlignment w:val="auto"/>
        <w:rPr>
          <w:rFonts w:asciiTheme="minorHAnsi" w:hAnsiTheme="minorHAnsi" w:cstheme="minorHAnsi"/>
          <w:sz w:val="24"/>
          <w:szCs w:val="24"/>
          <w:u w:val="single"/>
        </w:rPr>
      </w:pPr>
      <w:r w:rsidRPr="00A738B0">
        <w:rPr>
          <w:rFonts w:asciiTheme="minorHAnsi" w:hAnsiTheme="minorHAnsi" w:cstheme="minorHAnsi"/>
          <w:sz w:val="24"/>
          <w:szCs w:val="24"/>
          <w:u w:val="single"/>
        </w:rPr>
        <w:t>Podíl</w:t>
      </w:r>
      <w:r w:rsidR="00F44B5E" w:rsidRPr="00A738B0">
        <w:rPr>
          <w:rFonts w:asciiTheme="minorHAnsi" w:hAnsiTheme="minorHAnsi" w:cstheme="minorHAnsi"/>
          <w:sz w:val="24"/>
          <w:szCs w:val="24"/>
          <w:u w:val="single"/>
        </w:rPr>
        <w:t>y</w:t>
      </w:r>
      <w:r w:rsidRPr="00A738B0">
        <w:rPr>
          <w:rFonts w:asciiTheme="minorHAnsi" w:hAnsiTheme="minorHAnsi" w:cstheme="minorHAnsi"/>
          <w:sz w:val="24"/>
          <w:szCs w:val="24"/>
          <w:u w:val="single"/>
        </w:rPr>
        <w:t xml:space="preserve"> </w:t>
      </w:r>
      <w:r w:rsidR="006D5A7D">
        <w:rPr>
          <w:rFonts w:asciiTheme="minorHAnsi" w:hAnsiTheme="minorHAnsi" w:cstheme="minorHAnsi"/>
          <w:sz w:val="24"/>
          <w:szCs w:val="24"/>
          <w:u w:val="single"/>
        </w:rPr>
        <w:t>OZE a KVET</w:t>
      </w:r>
      <w:r w:rsidR="004473C8" w:rsidRPr="00A738B0">
        <w:rPr>
          <w:rFonts w:asciiTheme="minorHAnsi" w:hAnsiTheme="minorHAnsi" w:cstheme="minorHAnsi"/>
          <w:sz w:val="24"/>
          <w:szCs w:val="24"/>
          <w:u w:val="single"/>
        </w:rPr>
        <w:t xml:space="preserve"> na</w:t>
      </w:r>
      <w:r w:rsidR="00115F4A" w:rsidRPr="00A738B0">
        <w:rPr>
          <w:rFonts w:asciiTheme="minorHAnsi" w:hAnsiTheme="minorHAnsi" w:cstheme="minorHAnsi"/>
          <w:sz w:val="24"/>
          <w:szCs w:val="24"/>
          <w:u w:val="single"/>
        </w:rPr>
        <w:t xml:space="preserve"> dodávkách tepla ze SZT</w:t>
      </w:r>
      <w:r w:rsidR="004473C8" w:rsidRPr="00A738B0">
        <w:rPr>
          <w:rFonts w:asciiTheme="minorHAnsi" w:hAnsiTheme="minorHAnsi" w:cstheme="minorHAnsi"/>
          <w:sz w:val="24"/>
          <w:szCs w:val="24"/>
          <w:u w:val="single"/>
        </w:rPr>
        <w:t>:</w:t>
      </w:r>
    </w:p>
    <w:p w:rsidR="00C8417C" w:rsidRPr="00A738B0" w:rsidRDefault="00C8417C" w:rsidP="00184DC1">
      <w:pPr>
        <w:spacing w:after="120"/>
        <w:ind w:left="567"/>
        <w:rPr>
          <w:rFonts w:cstheme="minorHAnsi"/>
        </w:rPr>
      </w:pPr>
      <w:r w:rsidRPr="00A738B0">
        <w:rPr>
          <w:rFonts w:cstheme="minorHAnsi"/>
        </w:rPr>
        <w:t xml:space="preserve">Podíly </w:t>
      </w:r>
      <w:r w:rsidR="006D5A7D">
        <w:rPr>
          <w:rFonts w:cstheme="minorHAnsi"/>
        </w:rPr>
        <w:t>OZE a KVET</w:t>
      </w:r>
      <w:r w:rsidRPr="00A738B0">
        <w:rPr>
          <w:rFonts w:cstheme="minorHAnsi"/>
        </w:rPr>
        <w:t xml:space="preserve"> na </w:t>
      </w:r>
      <w:r w:rsidR="00115F4A" w:rsidRPr="00A738B0">
        <w:rPr>
          <w:rFonts w:cstheme="minorHAnsi"/>
        </w:rPr>
        <w:t>dodávkách tepelné energie ze</w:t>
      </w:r>
      <w:r w:rsidR="00C47CE9">
        <w:rPr>
          <w:rFonts w:cstheme="minorHAnsi"/>
        </w:rPr>
        <w:t xml:space="preserve"> soustav zásobování tepelnou energií</w:t>
      </w:r>
      <w:r w:rsidR="00115F4A" w:rsidRPr="00A738B0">
        <w:rPr>
          <w:rFonts w:cstheme="minorHAnsi"/>
        </w:rPr>
        <w:t xml:space="preserve"> </w:t>
      </w:r>
      <w:r w:rsidR="00C47CE9">
        <w:rPr>
          <w:rFonts w:cstheme="minorHAnsi"/>
        </w:rPr>
        <w:t>(</w:t>
      </w:r>
      <w:r w:rsidR="00115F4A" w:rsidRPr="00A738B0">
        <w:rPr>
          <w:rFonts w:cstheme="minorHAnsi"/>
        </w:rPr>
        <w:t>SZT</w:t>
      </w:r>
      <w:r w:rsidR="00C47CE9">
        <w:rPr>
          <w:rFonts w:cstheme="minorHAnsi"/>
        </w:rPr>
        <w:t>)</w:t>
      </w:r>
      <w:r w:rsidR="00A738B0" w:rsidRPr="00A738B0">
        <w:rPr>
          <w:rFonts w:cstheme="minorHAnsi"/>
        </w:rPr>
        <w:t xml:space="preserve"> </w:t>
      </w:r>
      <w:r w:rsidRPr="00A738B0">
        <w:rPr>
          <w:rFonts w:cstheme="minorHAnsi"/>
        </w:rPr>
        <w:t xml:space="preserve">v daném roce jsou stanoveny jako poměry </w:t>
      </w:r>
      <w:r w:rsidR="00A738B0" w:rsidRPr="00A738B0">
        <w:rPr>
          <w:rFonts w:cstheme="minorHAnsi"/>
        </w:rPr>
        <w:t>dodávek tepelné energie ze SZT vyrobeného</w:t>
      </w:r>
      <w:r w:rsidRPr="00A738B0">
        <w:rPr>
          <w:rFonts w:cstheme="minorHAnsi"/>
        </w:rPr>
        <w:t xml:space="preserve"> </w:t>
      </w:r>
      <w:r w:rsidR="00A738B0" w:rsidRPr="00A738B0">
        <w:rPr>
          <w:rFonts w:cstheme="minorHAnsi"/>
        </w:rPr>
        <w:t>z</w:t>
      </w:r>
      <w:r w:rsidRPr="00A738B0">
        <w:rPr>
          <w:rFonts w:cstheme="minorHAnsi"/>
        </w:rPr>
        <w:t xml:space="preserve"> OZE, respektive z KVET, k celkové hodnotě </w:t>
      </w:r>
      <w:r w:rsidR="00A738B0" w:rsidRPr="00A738B0">
        <w:rPr>
          <w:rFonts w:cstheme="minorHAnsi"/>
        </w:rPr>
        <w:t xml:space="preserve">dodávek </w:t>
      </w:r>
      <w:r w:rsidRPr="00A738B0">
        <w:rPr>
          <w:rFonts w:cstheme="minorHAnsi"/>
        </w:rPr>
        <w:t xml:space="preserve">tepelné energie </w:t>
      </w:r>
      <w:r w:rsidR="00A738B0" w:rsidRPr="00A738B0">
        <w:rPr>
          <w:rFonts w:cstheme="minorHAnsi"/>
        </w:rPr>
        <w:t xml:space="preserve">ze SZT </w:t>
      </w:r>
      <w:r w:rsidRPr="00A738B0">
        <w:rPr>
          <w:rFonts w:cstheme="minorHAnsi"/>
        </w:rPr>
        <w:t>v odpovídajícím roce následovně:</w:t>
      </w:r>
    </w:p>
    <w:p w:rsidR="00C8417C" w:rsidRPr="00A738B0" w:rsidRDefault="00D76A86" w:rsidP="00184DC1">
      <w:pPr>
        <w:spacing w:before="240" w:after="120"/>
        <w:ind w:left="1276"/>
        <w:rPr>
          <w:rFonts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OZE</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rPr>
                  </m:ctrlPr>
                </m:sSubPr>
                <m:e>
                  <m:r>
                    <w:rPr>
                      <w:rFonts w:ascii="Cambria Math" w:hAnsi="Cambria Math" w:cstheme="minorHAnsi"/>
                    </w:rPr>
                    <m:t>SZT</m:t>
                  </m:r>
                </m:e>
                <m:sub>
                  <m:r>
                    <w:rPr>
                      <w:rFonts w:ascii="Cambria Math" w:hAnsi="Cambria Math" w:cstheme="minorHAnsi"/>
                    </w:rPr>
                    <m:t>OZE</m:t>
                  </m:r>
                </m:sub>
              </m:sSub>
            </m:num>
            <m:den>
              <m:r>
                <w:rPr>
                  <w:rFonts w:ascii="Cambria Math" w:hAnsi="Cambria Math" w:cstheme="minorHAnsi"/>
                </w:rPr>
                <m:t>SZT</m:t>
              </m:r>
            </m:den>
          </m:f>
          <m:r>
            <w:rPr>
              <w:rFonts w:ascii="Cambria Math" w:hAnsi="Cambria Math" w:cstheme="minorHAnsi"/>
            </w:rPr>
            <m:t>∙100%</m:t>
          </m:r>
        </m:oMath>
      </m:oMathPara>
    </w:p>
    <w:p w:rsidR="00865317" w:rsidRPr="00A738B0" w:rsidRDefault="00D76A86" w:rsidP="00184DC1">
      <w:pPr>
        <w:spacing w:before="240" w:after="120"/>
        <w:ind w:left="1276"/>
        <w:rPr>
          <w:rFonts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KVET</m:t>
              </m:r>
            </m:sub>
          </m:sSub>
          <m:r>
            <w:rPr>
              <w:rFonts w:ascii="Cambria Math" w:hAnsi="Cambria Math" w:cstheme="minorHAnsi"/>
            </w:rPr>
            <m:t>=</m:t>
          </m:r>
          <m:f>
            <m:fPr>
              <m:ctrlPr>
                <w:rPr>
                  <w:rFonts w:ascii="Cambria Math" w:hAnsi="Cambria Math" w:cstheme="minorHAnsi"/>
                  <w:i/>
                  <w:iCs/>
                </w:rPr>
              </m:ctrlPr>
            </m:fPr>
            <m:num>
              <m:sSub>
                <m:sSubPr>
                  <m:ctrlPr>
                    <w:rPr>
                      <w:rFonts w:ascii="Cambria Math" w:hAnsi="Cambria Math" w:cstheme="minorHAnsi"/>
                      <w:i/>
                    </w:rPr>
                  </m:ctrlPr>
                </m:sSubPr>
                <m:e>
                  <m:r>
                    <w:rPr>
                      <w:rFonts w:ascii="Cambria Math" w:hAnsi="Cambria Math" w:cstheme="minorHAnsi"/>
                    </w:rPr>
                    <m:t>SZT</m:t>
                  </m:r>
                </m:e>
                <m:sub>
                  <m:r>
                    <w:rPr>
                      <w:rFonts w:ascii="Cambria Math" w:hAnsi="Cambria Math" w:cstheme="minorHAnsi"/>
                    </w:rPr>
                    <m:t>KVET</m:t>
                  </m:r>
                </m:sub>
              </m:sSub>
            </m:num>
            <m:den>
              <m:r>
                <w:rPr>
                  <w:rFonts w:ascii="Cambria Math" w:hAnsi="Cambria Math" w:cstheme="minorHAnsi"/>
                </w:rPr>
                <m:t>SZT</m:t>
              </m:r>
            </m:den>
          </m:f>
          <m:r>
            <w:rPr>
              <w:rFonts w:ascii="Cambria Math" w:hAnsi="Cambria Math" w:cstheme="minorHAnsi"/>
            </w:rPr>
            <m:t>∙100%</m:t>
          </m:r>
        </m:oMath>
      </m:oMathPara>
    </w:p>
    <w:p w:rsidR="00C8417C" w:rsidRPr="00A738B0" w:rsidRDefault="00C8417C" w:rsidP="00184DC1">
      <w:pPr>
        <w:spacing w:after="120"/>
        <w:ind w:left="567"/>
        <w:rPr>
          <w:rFonts w:eastAsiaTheme="minorEastAsia" w:cstheme="minorHAnsi"/>
          <w:iCs/>
          <w:szCs w:val="22"/>
        </w:rPr>
      </w:pPr>
      <w:r w:rsidRPr="00A738B0">
        <w:rPr>
          <w:rFonts w:eastAsiaTheme="minorEastAsia" w:cstheme="minorHAnsi"/>
          <w:iCs/>
          <w:szCs w:val="22"/>
        </w:rPr>
        <w:t>kde:</w:t>
      </w:r>
    </w:p>
    <w:p w:rsidR="00217E8D" w:rsidRPr="00A738B0" w:rsidRDefault="00217E8D" w:rsidP="00184DC1">
      <w:pPr>
        <w:spacing w:after="120"/>
        <w:ind w:left="1276"/>
        <w:rPr>
          <w:rFonts w:eastAsiaTheme="minorEastAsia" w:cstheme="minorHAnsi"/>
          <w:iCs/>
          <w:szCs w:val="22"/>
        </w:rPr>
      </w:pPr>
      <w:r w:rsidRPr="00A738B0">
        <w:rPr>
          <w:rFonts w:eastAsiaTheme="minorEastAsia" w:cstheme="minorHAnsi"/>
          <w:i/>
          <w:iCs/>
          <w:szCs w:val="22"/>
        </w:rPr>
        <w:t>p</w:t>
      </w:r>
      <w:r w:rsidRPr="00A738B0">
        <w:rPr>
          <w:rFonts w:eastAsiaTheme="minorEastAsia" w:cstheme="minorHAnsi"/>
          <w:i/>
          <w:iCs/>
          <w:szCs w:val="22"/>
          <w:vertAlign w:val="subscript"/>
        </w:rPr>
        <w:t>OZE</w:t>
      </w:r>
      <w:r w:rsidRPr="00A738B0">
        <w:rPr>
          <w:rFonts w:eastAsiaTheme="minorEastAsia" w:cstheme="minorHAnsi"/>
          <w:iCs/>
          <w:szCs w:val="22"/>
        </w:rPr>
        <w:tab/>
        <w:t xml:space="preserve">podíl OZE na </w:t>
      </w:r>
      <w:r w:rsidR="000A681E">
        <w:rPr>
          <w:rFonts w:eastAsiaTheme="minorEastAsia" w:cstheme="minorHAnsi"/>
          <w:iCs/>
          <w:szCs w:val="22"/>
        </w:rPr>
        <w:t xml:space="preserve">dodávkách </w:t>
      </w:r>
      <w:r w:rsidR="000A681E" w:rsidRPr="00A738B0">
        <w:rPr>
          <w:rFonts w:eastAsiaTheme="minorEastAsia" w:cstheme="minorHAnsi"/>
          <w:iCs/>
          <w:szCs w:val="22"/>
        </w:rPr>
        <w:t>tepelné energie</w:t>
      </w:r>
      <w:r w:rsidR="000A681E">
        <w:rPr>
          <w:rFonts w:eastAsiaTheme="minorEastAsia" w:cstheme="minorHAnsi"/>
          <w:iCs/>
          <w:szCs w:val="22"/>
        </w:rPr>
        <w:t xml:space="preserve"> ze SZT</w:t>
      </w:r>
      <w:r w:rsidRPr="00A738B0">
        <w:rPr>
          <w:rFonts w:eastAsiaTheme="minorEastAsia" w:cstheme="minorHAnsi"/>
          <w:iCs/>
          <w:szCs w:val="22"/>
        </w:rPr>
        <w:t xml:space="preserve"> [%]</w:t>
      </w:r>
    </w:p>
    <w:p w:rsidR="006D5A7D" w:rsidRPr="00A738B0" w:rsidRDefault="006D5A7D" w:rsidP="00184DC1">
      <w:pPr>
        <w:spacing w:after="120"/>
        <w:ind w:left="1276"/>
        <w:rPr>
          <w:rFonts w:eastAsiaTheme="minorEastAsia" w:cstheme="minorHAnsi"/>
          <w:iCs/>
          <w:szCs w:val="22"/>
        </w:rPr>
      </w:pPr>
      <w:r w:rsidRPr="00A738B0">
        <w:rPr>
          <w:rFonts w:eastAsiaTheme="minorEastAsia" w:cstheme="minorHAnsi"/>
          <w:i/>
          <w:iCs/>
          <w:szCs w:val="22"/>
        </w:rPr>
        <w:t>p</w:t>
      </w:r>
      <w:r w:rsidRPr="00A738B0">
        <w:rPr>
          <w:rFonts w:eastAsiaTheme="minorEastAsia" w:cstheme="minorHAnsi"/>
          <w:i/>
          <w:iCs/>
          <w:szCs w:val="22"/>
          <w:vertAlign w:val="subscript"/>
        </w:rPr>
        <w:t>KVET</w:t>
      </w:r>
      <w:r w:rsidRPr="00A738B0">
        <w:rPr>
          <w:rFonts w:eastAsiaTheme="minorEastAsia" w:cstheme="minorHAnsi"/>
          <w:iCs/>
          <w:szCs w:val="22"/>
        </w:rPr>
        <w:tab/>
        <w:t xml:space="preserve">podíl KVET na </w:t>
      </w:r>
      <w:r>
        <w:rPr>
          <w:rFonts w:eastAsiaTheme="minorEastAsia" w:cstheme="minorHAnsi"/>
          <w:iCs/>
          <w:szCs w:val="22"/>
        </w:rPr>
        <w:t xml:space="preserve">dodávkách </w:t>
      </w:r>
      <w:r w:rsidRPr="00A738B0">
        <w:rPr>
          <w:rFonts w:eastAsiaTheme="minorEastAsia" w:cstheme="minorHAnsi"/>
          <w:iCs/>
          <w:szCs w:val="22"/>
        </w:rPr>
        <w:t>tepelné energie</w:t>
      </w:r>
      <w:r>
        <w:rPr>
          <w:rFonts w:eastAsiaTheme="minorEastAsia" w:cstheme="minorHAnsi"/>
          <w:iCs/>
          <w:szCs w:val="22"/>
        </w:rPr>
        <w:t xml:space="preserve"> ze SZT</w:t>
      </w:r>
      <w:r w:rsidRPr="00A738B0">
        <w:rPr>
          <w:rFonts w:eastAsiaTheme="minorEastAsia" w:cstheme="minorHAnsi"/>
          <w:iCs/>
          <w:szCs w:val="22"/>
        </w:rPr>
        <w:t xml:space="preserve"> [%]</w:t>
      </w:r>
    </w:p>
    <w:p w:rsidR="00217E8D" w:rsidRPr="004B05B4" w:rsidRDefault="00A738B0" w:rsidP="00184DC1">
      <w:pPr>
        <w:spacing w:after="120"/>
        <w:ind w:left="1276"/>
        <w:rPr>
          <w:rFonts w:eastAsiaTheme="minorEastAsia" w:cstheme="minorHAnsi"/>
          <w:iCs/>
          <w:color w:val="000000" w:themeColor="text1"/>
          <w:szCs w:val="22"/>
        </w:rPr>
      </w:pPr>
      <w:r>
        <w:rPr>
          <w:rFonts w:eastAsiaTheme="minorEastAsia" w:cstheme="minorHAnsi"/>
          <w:i/>
          <w:iCs/>
          <w:color w:val="000000" w:themeColor="text1"/>
          <w:szCs w:val="22"/>
        </w:rPr>
        <w:t>SZ</w:t>
      </w:r>
      <w:r w:rsidR="00217E8D" w:rsidRPr="004B05B4">
        <w:rPr>
          <w:rFonts w:eastAsiaTheme="minorEastAsia" w:cstheme="minorHAnsi"/>
          <w:i/>
          <w:iCs/>
          <w:color w:val="000000" w:themeColor="text1"/>
          <w:szCs w:val="22"/>
        </w:rPr>
        <w:t>T</w:t>
      </w:r>
      <w:r w:rsidR="00217E8D" w:rsidRPr="004B05B4">
        <w:rPr>
          <w:rFonts w:eastAsiaTheme="minorEastAsia" w:cstheme="minorHAnsi"/>
          <w:i/>
          <w:iCs/>
          <w:color w:val="000000" w:themeColor="text1"/>
          <w:szCs w:val="22"/>
          <w:vertAlign w:val="subscript"/>
        </w:rPr>
        <w:t>OZE</w:t>
      </w:r>
      <w:r w:rsidR="00217E8D" w:rsidRPr="004B05B4">
        <w:rPr>
          <w:rFonts w:eastAsiaTheme="minorEastAsia" w:cstheme="minorHAnsi"/>
          <w:iCs/>
          <w:color w:val="000000" w:themeColor="text1"/>
          <w:szCs w:val="22"/>
        </w:rPr>
        <w:tab/>
      </w:r>
      <w:r>
        <w:rPr>
          <w:rFonts w:eastAsiaTheme="minorEastAsia" w:cstheme="minorHAnsi"/>
          <w:iCs/>
          <w:color w:val="000000" w:themeColor="text1"/>
          <w:szCs w:val="22"/>
        </w:rPr>
        <w:t>dodávka</w:t>
      </w:r>
      <w:r w:rsidRPr="004B05B4">
        <w:rPr>
          <w:rFonts w:eastAsiaTheme="minorEastAsia" w:cstheme="minorHAnsi"/>
          <w:iCs/>
          <w:color w:val="000000" w:themeColor="text1"/>
          <w:szCs w:val="22"/>
        </w:rPr>
        <w:t xml:space="preserve"> tepelné energie z</w:t>
      </w:r>
      <w:r>
        <w:rPr>
          <w:rFonts w:eastAsiaTheme="minorEastAsia" w:cstheme="minorHAnsi"/>
          <w:iCs/>
          <w:color w:val="000000" w:themeColor="text1"/>
          <w:szCs w:val="22"/>
        </w:rPr>
        <w:t>e</w:t>
      </w:r>
      <w:r w:rsidRPr="004B05B4">
        <w:rPr>
          <w:rFonts w:eastAsiaTheme="minorEastAsia" w:cstheme="minorHAnsi"/>
          <w:iCs/>
          <w:color w:val="000000" w:themeColor="text1"/>
          <w:szCs w:val="22"/>
        </w:rPr>
        <w:t xml:space="preserve"> </w:t>
      </w:r>
      <w:r>
        <w:rPr>
          <w:rFonts w:eastAsiaTheme="minorEastAsia" w:cstheme="minorHAnsi"/>
          <w:iCs/>
          <w:color w:val="000000" w:themeColor="text1"/>
          <w:szCs w:val="22"/>
        </w:rPr>
        <w:t xml:space="preserve">SZT vyrobené </w:t>
      </w:r>
      <w:r w:rsidR="00217E8D" w:rsidRPr="004B05B4">
        <w:rPr>
          <w:rFonts w:eastAsiaTheme="minorEastAsia" w:cstheme="minorHAnsi"/>
          <w:iCs/>
          <w:color w:val="000000" w:themeColor="text1"/>
          <w:szCs w:val="22"/>
        </w:rPr>
        <w:t>z OZE [PJ]</w:t>
      </w:r>
    </w:p>
    <w:p w:rsidR="00A738B0" w:rsidRPr="004B05B4" w:rsidRDefault="00A738B0" w:rsidP="00184DC1">
      <w:pPr>
        <w:spacing w:after="120"/>
        <w:ind w:left="1276"/>
        <w:rPr>
          <w:rFonts w:eastAsiaTheme="minorEastAsia" w:cstheme="minorHAnsi"/>
          <w:iCs/>
          <w:color w:val="000000" w:themeColor="text1"/>
          <w:szCs w:val="22"/>
        </w:rPr>
      </w:pPr>
      <w:r>
        <w:rPr>
          <w:rFonts w:eastAsiaTheme="minorEastAsia" w:cstheme="minorHAnsi"/>
          <w:i/>
          <w:iCs/>
          <w:color w:val="000000" w:themeColor="text1"/>
          <w:szCs w:val="22"/>
        </w:rPr>
        <w:t>SZ</w:t>
      </w:r>
      <w:r w:rsidRPr="004B05B4">
        <w:rPr>
          <w:rFonts w:eastAsiaTheme="minorEastAsia" w:cstheme="minorHAnsi"/>
          <w:i/>
          <w:iCs/>
          <w:color w:val="000000" w:themeColor="text1"/>
          <w:szCs w:val="22"/>
        </w:rPr>
        <w:t>T</w:t>
      </w:r>
      <w:r w:rsidRPr="004B05B4">
        <w:rPr>
          <w:rFonts w:eastAsiaTheme="minorEastAsia" w:cstheme="minorHAnsi"/>
          <w:i/>
          <w:iCs/>
          <w:color w:val="000000" w:themeColor="text1"/>
          <w:szCs w:val="22"/>
          <w:vertAlign w:val="subscript"/>
        </w:rPr>
        <w:t>KVET</w:t>
      </w:r>
      <w:r w:rsidRPr="004B05B4">
        <w:rPr>
          <w:rFonts w:eastAsiaTheme="minorEastAsia" w:cstheme="minorHAnsi"/>
          <w:iCs/>
          <w:color w:val="000000" w:themeColor="text1"/>
          <w:szCs w:val="22"/>
        </w:rPr>
        <w:tab/>
      </w:r>
      <w:r>
        <w:rPr>
          <w:rFonts w:eastAsiaTheme="minorEastAsia" w:cstheme="minorHAnsi"/>
          <w:iCs/>
          <w:color w:val="000000" w:themeColor="text1"/>
          <w:szCs w:val="22"/>
        </w:rPr>
        <w:t>dodávka</w:t>
      </w:r>
      <w:r w:rsidRPr="004B05B4">
        <w:rPr>
          <w:rFonts w:eastAsiaTheme="minorEastAsia" w:cstheme="minorHAnsi"/>
          <w:iCs/>
          <w:color w:val="000000" w:themeColor="text1"/>
          <w:szCs w:val="22"/>
        </w:rPr>
        <w:t xml:space="preserve"> tepelné energie z</w:t>
      </w:r>
      <w:r>
        <w:rPr>
          <w:rFonts w:eastAsiaTheme="minorEastAsia" w:cstheme="minorHAnsi"/>
          <w:iCs/>
          <w:color w:val="000000" w:themeColor="text1"/>
          <w:szCs w:val="22"/>
        </w:rPr>
        <w:t>e</w:t>
      </w:r>
      <w:r w:rsidRPr="004B05B4">
        <w:rPr>
          <w:rFonts w:eastAsiaTheme="minorEastAsia" w:cstheme="minorHAnsi"/>
          <w:iCs/>
          <w:color w:val="000000" w:themeColor="text1"/>
          <w:szCs w:val="22"/>
        </w:rPr>
        <w:t xml:space="preserve"> </w:t>
      </w:r>
      <w:r>
        <w:rPr>
          <w:rFonts w:eastAsiaTheme="minorEastAsia" w:cstheme="minorHAnsi"/>
          <w:iCs/>
          <w:color w:val="000000" w:themeColor="text1"/>
          <w:szCs w:val="22"/>
        </w:rPr>
        <w:t xml:space="preserve">SZT vyrobené z </w:t>
      </w:r>
      <w:r w:rsidRPr="004B05B4">
        <w:rPr>
          <w:rFonts w:eastAsiaTheme="minorEastAsia" w:cstheme="minorHAnsi"/>
          <w:iCs/>
          <w:color w:val="000000" w:themeColor="text1"/>
          <w:szCs w:val="22"/>
        </w:rPr>
        <w:t>KVET [PJ]</w:t>
      </w:r>
    </w:p>
    <w:p w:rsidR="00217E8D" w:rsidRDefault="00A738B0" w:rsidP="00184DC1">
      <w:pPr>
        <w:spacing w:after="120"/>
        <w:ind w:left="1276"/>
        <w:rPr>
          <w:rFonts w:eastAsiaTheme="minorEastAsia" w:cstheme="minorHAnsi"/>
          <w:iCs/>
          <w:color w:val="FF0000"/>
          <w:szCs w:val="22"/>
        </w:rPr>
      </w:pPr>
      <w:r>
        <w:rPr>
          <w:rFonts w:eastAsiaTheme="minorEastAsia" w:cstheme="minorHAnsi"/>
          <w:i/>
          <w:iCs/>
          <w:color w:val="000000" w:themeColor="text1"/>
          <w:szCs w:val="22"/>
        </w:rPr>
        <w:t>SZ</w:t>
      </w:r>
      <w:r w:rsidR="00217E8D" w:rsidRPr="004B05B4">
        <w:rPr>
          <w:rFonts w:eastAsiaTheme="minorEastAsia" w:cstheme="minorHAnsi"/>
          <w:i/>
          <w:iCs/>
          <w:color w:val="000000" w:themeColor="text1"/>
          <w:szCs w:val="22"/>
        </w:rPr>
        <w:t>T</w:t>
      </w:r>
      <w:r w:rsidR="00217E8D" w:rsidRPr="004B05B4">
        <w:rPr>
          <w:rFonts w:eastAsiaTheme="minorEastAsia" w:cstheme="minorHAnsi"/>
          <w:iCs/>
          <w:color w:val="000000" w:themeColor="text1"/>
          <w:szCs w:val="22"/>
        </w:rPr>
        <w:tab/>
      </w:r>
      <w:r>
        <w:rPr>
          <w:rFonts w:eastAsiaTheme="minorEastAsia" w:cstheme="minorHAnsi"/>
          <w:iCs/>
          <w:color w:val="000000" w:themeColor="text1"/>
          <w:szCs w:val="22"/>
        </w:rPr>
        <w:t>celková dodávka</w:t>
      </w:r>
      <w:r w:rsidRPr="004B05B4">
        <w:rPr>
          <w:rFonts w:eastAsiaTheme="minorEastAsia" w:cstheme="minorHAnsi"/>
          <w:iCs/>
          <w:color w:val="000000" w:themeColor="text1"/>
          <w:szCs w:val="22"/>
        </w:rPr>
        <w:t xml:space="preserve"> tepelné energie z</w:t>
      </w:r>
      <w:r>
        <w:rPr>
          <w:rFonts w:eastAsiaTheme="minorEastAsia" w:cstheme="minorHAnsi"/>
          <w:iCs/>
          <w:color w:val="000000" w:themeColor="text1"/>
          <w:szCs w:val="22"/>
        </w:rPr>
        <w:t>e</w:t>
      </w:r>
      <w:r w:rsidRPr="004B05B4">
        <w:rPr>
          <w:rFonts w:eastAsiaTheme="minorEastAsia" w:cstheme="minorHAnsi"/>
          <w:iCs/>
          <w:color w:val="000000" w:themeColor="text1"/>
          <w:szCs w:val="22"/>
        </w:rPr>
        <w:t xml:space="preserve"> </w:t>
      </w:r>
      <w:r>
        <w:rPr>
          <w:rFonts w:eastAsiaTheme="minorEastAsia" w:cstheme="minorHAnsi"/>
          <w:iCs/>
          <w:color w:val="000000" w:themeColor="text1"/>
          <w:szCs w:val="22"/>
        </w:rPr>
        <w:t>SZT</w:t>
      </w:r>
      <w:r w:rsidRPr="004B05B4">
        <w:rPr>
          <w:rFonts w:eastAsiaTheme="minorEastAsia" w:cstheme="minorHAnsi"/>
          <w:iCs/>
          <w:color w:val="000000" w:themeColor="text1"/>
          <w:szCs w:val="22"/>
        </w:rPr>
        <w:t xml:space="preserve"> </w:t>
      </w:r>
      <w:r w:rsidR="00217E8D" w:rsidRPr="004B05B4">
        <w:rPr>
          <w:rFonts w:eastAsiaTheme="minorEastAsia" w:cstheme="minorHAnsi"/>
          <w:iCs/>
          <w:color w:val="000000" w:themeColor="text1"/>
          <w:szCs w:val="22"/>
        </w:rPr>
        <w:t>[PJ]</w:t>
      </w:r>
    </w:p>
    <w:p w:rsidR="004473C8" w:rsidRDefault="00217E8D" w:rsidP="00184DC1">
      <w:pPr>
        <w:keepLines/>
        <w:spacing w:after="120"/>
        <w:ind w:left="567" w:firstLine="11"/>
        <w:rPr>
          <w:color w:val="FF0000"/>
        </w:rPr>
      </w:pPr>
      <w:r w:rsidRPr="004B05B4">
        <w:rPr>
          <w:rFonts w:eastAsiaTheme="minorEastAsia" w:cstheme="minorHAnsi"/>
          <w:iCs/>
          <w:color w:val="000000" w:themeColor="text1"/>
          <w:szCs w:val="22"/>
        </w:rPr>
        <w:t xml:space="preserve">Zdrojem vstupních dat pro výpočet tohoto ukazatele jsou statistiky a budoucí výhledy zpracovávané na MPO podle </w:t>
      </w:r>
      <w:r w:rsidR="00FC336C">
        <w:rPr>
          <w:rFonts w:eastAsiaTheme="minorEastAsia" w:cstheme="minorHAnsi"/>
          <w:iCs/>
          <w:color w:val="000000" w:themeColor="text1"/>
          <w:szCs w:val="22"/>
        </w:rPr>
        <w:t>vlastní metodiky</w:t>
      </w:r>
      <w:r w:rsidRPr="004B05B4">
        <w:rPr>
          <w:rFonts w:eastAsiaTheme="minorEastAsia" w:cstheme="minorHAnsi"/>
          <w:iCs/>
          <w:color w:val="000000" w:themeColor="text1"/>
          <w:szCs w:val="22"/>
        </w:rPr>
        <w:t xml:space="preserve">. </w:t>
      </w:r>
      <w:r w:rsidRPr="004B05B4">
        <w:rPr>
          <w:color w:val="000000" w:themeColor="text1"/>
        </w:rPr>
        <w:t xml:space="preserve">Cílem je minimálně </w:t>
      </w:r>
      <w:r w:rsidR="00977FDF">
        <w:rPr>
          <w:color w:val="000000" w:themeColor="text1"/>
        </w:rPr>
        <w:t>60</w:t>
      </w:r>
      <w:r w:rsidRPr="004B05B4">
        <w:rPr>
          <w:color w:val="000000" w:themeColor="text1"/>
        </w:rPr>
        <w:t xml:space="preserve"> % </w:t>
      </w:r>
      <w:r w:rsidR="00A738B0">
        <w:rPr>
          <w:color w:val="000000" w:themeColor="text1"/>
        </w:rPr>
        <w:t xml:space="preserve">dodávky tepelné energie ze SZT </w:t>
      </w:r>
      <w:r w:rsidRPr="004B05B4">
        <w:rPr>
          <w:color w:val="000000" w:themeColor="text1"/>
        </w:rPr>
        <w:t>pokrýt</w:t>
      </w:r>
      <w:r w:rsidR="00A738B0">
        <w:rPr>
          <w:color w:val="000000" w:themeColor="text1"/>
        </w:rPr>
        <w:t xml:space="preserve"> výrobou </w:t>
      </w:r>
      <w:r w:rsidRPr="004B05B4">
        <w:rPr>
          <w:color w:val="000000" w:themeColor="text1"/>
        </w:rPr>
        <w:t xml:space="preserve">z KVET a minimálně </w:t>
      </w:r>
      <w:r w:rsidR="00977FDF">
        <w:rPr>
          <w:color w:val="000000" w:themeColor="text1"/>
        </w:rPr>
        <w:t>20</w:t>
      </w:r>
      <w:r w:rsidRPr="004B05B4">
        <w:rPr>
          <w:color w:val="000000" w:themeColor="text1"/>
        </w:rPr>
        <w:t xml:space="preserve"> % </w:t>
      </w:r>
      <w:r w:rsidR="00A738B0">
        <w:rPr>
          <w:color w:val="000000" w:themeColor="text1"/>
        </w:rPr>
        <w:t>dodávky tepelné energie ze SZT</w:t>
      </w:r>
      <w:r w:rsidR="00A738B0" w:rsidRPr="004B05B4">
        <w:rPr>
          <w:color w:val="000000" w:themeColor="text1"/>
        </w:rPr>
        <w:t xml:space="preserve"> pokrýt </w:t>
      </w:r>
      <w:r w:rsidR="00A738B0">
        <w:rPr>
          <w:color w:val="000000" w:themeColor="text1"/>
        </w:rPr>
        <w:t xml:space="preserve">výrobou </w:t>
      </w:r>
      <w:r w:rsidR="00A738B0" w:rsidRPr="004B05B4">
        <w:rPr>
          <w:color w:val="000000" w:themeColor="text1"/>
        </w:rPr>
        <w:t>z</w:t>
      </w:r>
      <w:r w:rsidRPr="004B05B4">
        <w:rPr>
          <w:color w:val="000000" w:themeColor="text1"/>
        </w:rPr>
        <w:t> OZE.</w:t>
      </w:r>
    </w:p>
    <w:p w:rsidR="000248E0" w:rsidRPr="0092047B" w:rsidRDefault="00F63525" w:rsidP="00184DC1">
      <w:pPr>
        <w:pStyle w:val="Nadpis2"/>
      </w:pPr>
      <w:bookmarkStart w:id="410" w:name="_Ref367883496"/>
      <w:bookmarkStart w:id="411" w:name="_Ref367885367"/>
      <w:bookmarkStart w:id="412" w:name="_Ref367886114"/>
      <w:bookmarkStart w:id="413" w:name="_Ref367886123"/>
      <w:bookmarkStart w:id="414" w:name="_Ref370122370"/>
      <w:bookmarkStart w:id="415" w:name="_Ref370123497"/>
      <w:bookmarkStart w:id="416" w:name="_Toc396923386"/>
      <w:bookmarkStart w:id="417" w:name="_Ref367885934"/>
      <w:r w:rsidRPr="0092047B">
        <w:t>Axiomy</w:t>
      </w:r>
      <w:r w:rsidR="00D119DD" w:rsidRPr="0092047B">
        <w:t>,</w:t>
      </w:r>
      <w:r w:rsidRPr="0092047B">
        <w:t xml:space="preserve"> i</w:t>
      </w:r>
      <w:r w:rsidR="000248E0" w:rsidRPr="0092047B">
        <w:t>ndikativní ukazatele a cílové hodnoty k roku 2040</w:t>
      </w:r>
      <w:bookmarkEnd w:id="410"/>
      <w:bookmarkEnd w:id="411"/>
      <w:bookmarkEnd w:id="412"/>
      <w:bookmarkEnd w:id="413"/>
      <w:bookmarkEnd w:id="414"/>
      <w:bookmarkEnd w:id="415"/>
      <w:bookmarkEnd w:id="416"/>
    </w:p>
    <w:p w:rsidR="00F63525" w:rsidRPr="0092047B" w:rsidDel="001B4291" w:rsidRDefault="00F63525" w:rsidP="00184DC1">
      <w:pPr>
        <w:spacing w:after="120"/>
        <w:rPr>
          <w:rFonts w:cstheme="minorHAnsi"/>
          <w:bCs/>
        </w:rPr>
      </w:pPr>
      <w:r w:rsidRPr="0092047B" w:rsidDel="001B4291">
        <w:rPr>
          <w:rFonts w:cstheme="minorHAnsi"/>
          <w:bCs/>
        </w:rPr>
        <w:t>Za základní vstupní předpoklady tzv. axiomy jsou považovány podmínky, které jsou při realizaci Státní energetické koncepce vždy dodrženy a při samotném modelování tak tvoří neměnné vstupní hodnoty parametrů. Mezi klíčové axiomy patří:</w:t>
      </w:r>
    </w:p>
    <w:p w:rsidR="001E5670" w:rsidRPr="0092047B" w:rsidDel="001B4291" w:rsidRDefault="001E5670" w:rsidP="00184DC1">
      <w:pPr>
        <w:pStyle w:val="Odstavecseseznamem"/>
        <w:numPr>
          <w:ilvl w:val="0"/>
          <w:numId w:val="26"/>
        </w:numPr>
        <w:spacing w:after="0" w:line="240" w:lineRule="auto"/>
        <w:rPr>
          <w:rFonts w:asciiTheme="minorHAnsi" w:hAnsiTheme="minorHAnsi" w:cstheme="minorHAnsi"/>
          <w:bCs/>
          <w:sz w:val="24"/>
          <w:szCs w:val="24"/>
        </w:rPr>
      </w:pPr>
      <w:r w:rsidRPr="0092047B" w:rsidDel="001B4291">
        <w:rPr>
          <w:rFonts w:asciiTheme="minorHAnsi" w:hAnsiTheme="minorHAnsi" w:cstheme="minorHAnsi"/>
          <w:bCs/>
          <w:sz w:val="24"/>
          <w:szCs w:val="24"/>
        </w:rPr>
        <w:t>Důraz na minimalizaci dovozní závislosti ČR v případě energetických surovin (především ropa a zemní plyn) a tím na zajištění energetické bezpečnosti.</w:t>
      </w:r>
    </w:p>
    <w:p w:rsidR="001E5670" w:rsidRPr="0092047B" w:rsidDel="001B4291" w:rsidRDefault="001E5670" w:rsidP="00184DC1">
      <w:pPr>
        <w:pStyle w:val="Odstavecseseznamem"/>
        <w:numPr>
          <w:ilvl w:val="0"/>
          <w:numId w:val="26"/>
        </w:numPr>
        <w:spacing w:after="0" w:line="240" w:lineRule="auto"/>
        <w:rPr>
          <w:rFonts w:asciiTheme="minorHAnsi" w:hAnsiTheme="minorHAnsi" w:cstheme="minorHAnsi"/>
          <w:bCs/>
          <w:sz w:val="24"/>
          <w:szCs w:val="24"/>
        </w:rPr>
      </w:pPr>
      <w:r w:rsidRPr="0092047B" w:rsidDel="001B4291">
        <w:rPr>
          <w:rFonts w:asciiTheme="minorHAnsi" w:hAnsiTheme="minorHAnsi" w:cstheme="minorHAnsi"/>
          <w:bCs/>
          <w:sz w:val="24"/>
          <w:szCs w:val="24"/>
        </w:rPr>
        <w:t xml:space="preserve">Prioritní zachování </w:t>
      </w:r>
      <w:r>
        <w:rPr>
          <w:rFonts w:asciiTheme="minorHAnsi" w:hAnsiTheme="minorHAnsi" w:cstheme="minorHAnsi"/>
          <w:bCs/>
          <w:sz w:val="24"/>
          <w:szCs w:val="24"/>
        </w:rPr>
        <w:t xml:space="preserve">(ekonomicky i energeticky) efektivních </w:t>
      </w:r>
      <w:r w:rsidRPr="0092047B" w:rsidDel="001B4291">
        <w:rPr>
          <w:rFonts w:asciiTheme="minorHAnsi" w:hAnsiTheme="minorHAnsi" w:cstheme="minorHAnsi"/>
          <w:bCs/>
          <w:sz w:val="24"/>
          <w:szCs w:val="24"/>
        </w:rPr>
        <w:t xml:space="preserve">systémů </w:t>
      </w:r>
      <w:r w:rsidRPr="0092047B">
        <w:rPr>
          <w:rFonts w:asciiTheme="minorHAnsi" w:hAnsiTheme="minorHAnsi" w:cstheme="minorHAnsi"/>
          <w:bCs/>
          <w:sz w:val="24"/>
          <w:szCs w:val="24"/>
        </w:rPr>
        <w:t>zásobování tepelnou energií</w:t>
      </w:r>
      <w:r w:rsidRPr="0092047B" w:rsidDel="001B4291">
        <w:rPr>
          <w:rFonts w:asciiTheme="minorHAnsi" w:hAnsiTheme="minorHAnsi" w:cstheme="minorHAnsi"/>
          <w:bCs/>
          <w:sz w:val="24"/>
          <w:szCs w:val="24"/>
        </w:rPr>
        <w:t xml:space="preserve">, </w:t>
      </w:r>
      <w:r w:rsidRPr="0092047B" w:rsidDel="001B4291">
        <w:rPr>
          <w:sz w:val="24"/>
          <w:szCs w:val="24"/>
        </w:rPr>
        <w:t>směřování hnědého uhlí primárně do kogenerace a zdrojů s nejvyšší účinností přeměny energie.</w:t>
      </w:r>
    </w:p>
    <w:p w:rsidR="004307B8" w:rsidRPr="004307B8" w:rsidRDefault="00EF7A26" w:rsidP="00184DC1">
      <w:pPr>
        <w:pStyle w:val="Odstavecseseznamem"/>
        <w:numPr>
          <w:ilvl w:val="0"/>
          <w:numId w:val="26"/>
        </w:numPr>
        <w:spacing w:after="0" w:line="240" w:lineRule="auto"/>
        <w:rPr>
          <w:rFonts w:asciiTheme="minorHAnsi" w:hAnsiTheme="minorHAnsi" w:cstheme="minorHAnsi"/>
          <w:bCs/>
          <w:sz w:val="24"/>
          <w:szCs w:val="24"/>
        </w:rPr>
      </w:pPr>
      <w:r w:rsidRPr="004307B8">
        <w:rPr>
          <w:rFonts w:asciiTheme="minorHAnsi" w:hAnsiTheme="minorHAnsi" w:cstheme="minorHAnsi"/>
          <w:bCs/>
          <w:sz w:val="24"/>
          <w:szCs w:val="24"/>
        </w:rPr>
        <w:t>Ochrana zemědělské půdy a její efektivní využití (s výjimkou pěstování biomasy by neměla být zemědělská půda využívána pro energetické zdroj</w:t>
      </w:r>
      <w:r w:rsidR="00273EC3" w:rsidRPr="004307B8">
        <w:rPr>
          <w:rFonts w:asciiTheme="minorHAnsi" w:hAnsiTheme="minorHAnsi" w:cstheme="minorHAnsi"/>
          <w:bCs/>
          <w:sz w:val="24"/>
          <w:szCs w:val="24"/>
        </w:rPr>
        <w:t>e</w:t>
      </w:r>
      <w:r w:rsidR="00BD35CF" w:rsidRPr="004307B8">
        <w:rPr>
          <w:rFonts w:asciiTheme="minorHAnsi" w:hAnsiTheme="minorHAnsi" w:cstheme="minorHAnsi"/>
          <w:bCs/>
          <w:sz w:val="24"/>
          <w:szCs w:val="24"/>
        </w:rPr>
        <w:t>; ty</w:t>
      </w:r>
      <w:r w:rsidRPr="004307B8">
        <w:rPr>
          <w:rFonts w:asciiTheme="minorHAnsi" w:hAnsiTheme="minorHAnsi" w:cstheme="minorHAnsi"/>
          <w:bCs/>
          <w:sz w:val="24"/>
          <w:szCs w:val="24"/>
        </w:rPr>
        <w:t xml:space="preserve"> by měly využívat existující konstrukce a průmyslové pozemky </w:t>
      </w:r>
      <w:r w:rsidR="004307B8" w:rsidRPr="004307B8">
        <w:rPr>
          <w:rFonts w:asciiTheme="minorHAnsi" w:hAnsiTheme="minorHAnsi" w:cstheme="minorHAnsi"/>
          <w:bCs/>
          <w:sz w:val="24"/>
          <w:szCs w:val="24"/>
        </w:rPr>
        <w:t>vy</w:t>
      </w:r>
      <w:r w:rsidRPr="004307B8">
        <w:rPr>
          <w:rFonts w:asciiTheme="minorHAnsi" w:hAnsiTheme="minorHAnsi" w:cstheme="minorHAnsi"/>
          <w:bCs/>
          <w:sz w:val="24"/>
          <w:szCs w:val="24"/>
        </w:rPr>
        <w:t>j</w:t>
      </w:r>
      <w:r w:rsidR="004307B8" w:rsidRPr="004307B8">
        <w:rPr>
          <w:rFonts w:asciiTheme="minorHAnsi" w:hAnsiTheme="minorHAnsi" w:cstheme="minorHAnsi"/>
          <w:bCs/>
          <w:sz w:val="24"/>
          <w:szCs w:val="24"/>
        </w:rPr>
        <w:t>ma</w:t>
      </w:r>
      <w:r w:rsidRPr="004307B8">
        <w:rPr>
          <w:rFonts w:asciiTheme="minorHAnsi" w:hAnsiTheme="minorHAnsi" w:cstheme="minorHAnsi"/>
          <w:bCs/>
          <w:sz w:val="24"/>
          <w:szCs w:val="24"/>
        </w:rPr>
        <w:t xml:space="preserve"> nezbytných staveb infrastruktury. </w:t>
      </w:r>
      <w:r w:rsidR="00BD35CF" w:rsidRPr="004307B8">
        <w:rPr>
          <w:rFonts w:asciiTheme="minorHAnsi" w:hAnsiTheme="minorHAnsi" w:cstheme="minorHAnsi"/>
          <w:bCs/>
          <w:sz w:val="24"/>
          <w:szCs w:val="24"/>
        </w:rPr>
        <w:t>V</w:t>
      </w:r>
      <w:r w:rsidR="008F1AF2" w:rsidRPr="004307B8">
        <w:rPr>
          <w:rFonts w:asciiTheme="minorHAnsi" w:hAnsiTheme="minorHAnsi" w:cstheme="minorHAnsi"/>
          <w:bCs/>
          <w:sz w:val="24"/>
          <w:szCs w:val="24"/>
        </w:rPr>
        <w:t xml:space="preserve"> rámci </w:t>
      </w:r>
      <w:r w:rsidR="008F1AF2" w:rsidRPr="004307B8">
        <w:rPr>
          <w:sz w:val="24"/>
          <w:szCs w:val="24"/>
        </w:rPr>
        <w:t>možností prosazovat navrácení dočasně vyloučené zemědělské půdy do zemědělského půdního fondu.</w:t>
      </w:r>
    </w:p>
    <w:p w:rsidR="001E5670" w:rsidRPr="004307B8" w:rsidDel="001B4291" w:rsidRDefault="001E5670" w:rsidP="00184DC1">
      <w:pPr>
        <w:pStyle w:val="Odstavecseseznamem"/>
        <w:numPr>
          <w:ilvl w:val="0"/>
          <w:numId w:val="26"/>
        </w:numPr>
        <w:spacing w:after="0" w:line="240" w:lineRule="auto"/>
        <w:rPr>
          <w:rFonts w:asciiTheme="minorHAnsi" w:hAnsiTheme="minorHAnsi" w:cstheme="minorHAnsi"/>
          <w:bCs/>
          <w:sz w:val="24"/>
          <w:szCs w:val="24"/>
        </w:rPr>
      </w:pPr>
      <w:r w:rsidRPr="004307B8" w:rsidDel="001B4291">
        <w:rPr>
          <w:rFonts w:asciiTheme="minorHAnsi" w:hAnsiTheme="minorHAnsi" w:cstheme="minorHAnsi"/>
          <w:bCs/>
          <w:sz w:val="24"/>
          <w:szCs w:val="24"/>
        </w:rPr>
        <w:t>Zachování potravinové bezpečnosti ČR na úrovni 100 %.</w:t>
      </w:r>
    </w:p>
    <w:p w:rsidR="00F63525" w:rsidRPr="0092047B" w:rsidDel="001B4291" w:rsidRDefault="0033189A" w:rsidP="00184DC1">
      <w:pPr>
        <w:pStyle w:val="Odstavecseseznamem"/>
        <w:numPr>
          <w:ilvl w:val="0"/>
          <w:numId w:val="26"/>
        </w:numPr>
        <w:spacing w:after="0" w:line="240" w:lineRule="auto"/>
        <w:rPr>
          <w:rFonts w:asciiTheme="minorHAnsi" w:hAnsiTheme="minorHAnsi" w:cstheme="minorHAnsi"/>
          <w:bCs/>
          <w:sz w:val="24"/>
          <w:szCs w:val="24"/>
        </w:rPr>
      </w:pPr>
      <w:r w:rsidRPr="0092047B">
        <w:rPr>
          <w:rFonts w:asciiTheme="minorHAnsi" w:hAnsiTheme="minorHAnsi" w:cstheme="minorHAnsi"/>
          <w:bCs/>
          <w:sz w:val="24"/>
          <w:szCs w:val="24"/>
        </w:rPr>
        <w:t xml:space="preserve">Při výstavbě energetických zdrojů </w:t>
      </w:r>
      <w:r w:rsidR="008C2223" w:rsidRPr="0092047B" w:rsidDel="001B4291">
        <w:rPr>
          <w:rFonts w:asciiTheme="minorHAnsi" w:hAnsiTheme="minorHAnsi" w:cstheme="minorHAnsi"/>
          <w:bCs/>
          <w:sz w:val="24"/>
          <w:szCs w:val="24"/>
        </w:rPr>
        <w:t>zohledňo</w:t>
      </w:r>
      <w:r w:rsidR="008C2223" w:rsidRPr="0092047B">
        <w:rPr>
          <w:rFonts w:asciiTheme="minorHAnsi" w:hAnsiTheme="minorHAnsi" w:cstheme="minorHAnsi"/>
          <w:bCs/>
          <w:sz w:val="24"/>
          <w:szCs w:val="24"/>
        </w:rPr>
        <w:t>vat</w:t>
      </w:r>
      <w:r w:rsidRPr="0092047B">
        <w:rPr>
          <w:rFonts w:asciiTheme="minorHAnsi" w:hAnsiTheme="minorHAnsi" w:cstheme="minorHAnsi"/>
          <w:bCs/>
          <w:sz w:val="24"/>
          <w:szCs w:val="24"/>
        </w:rPr>
        <w:t xml:space="preserve"> plně</w:t>
      </w:r>
      <w:r w:rsidR="00F63525" w:rsidRPr="0092047B" w:rsidDel="001B4291">
        <w:rPr>
          <w:rFonts w:asciiTheme="minorHAnsi" w:hAnsiTheme="minorHAnsi" w:cstheme="minorHAnsi"/>
          <w:bCs/>
          <w:sz w:val="24"/>
          <w:szCs w:val="24"/>
        </w:rPr>
        <w:t xml:space="preserve"> environ</w:t>
      </w:r>
      <w:r w:rsidR="008C2223">
        <w:rPr>
          <w:rFonts w:asciiTheme="minorHAnsi" w:hAnsiTheme="minorHAnsi" w:cstheme="minorHAnsi"/>
          <w:bCs/>
          <w:sz w:val="24"/>
          <w:szCs w:val="24"/>
        </w:rPr>
        <w:t>mentální (</w:t>
      </w:r>
      <w:r w:rsidR="00B54F01">
        <w:rPr>
          <w:rFonts w:asciiTheme="minorHAnsi" w:hAnsiTheme="minorHAnsi" w:cstheme="minorHAnsi"/>
          <w:bCs/>
          <w:sz w:val="24"/>
          <w:szCs w:val="24"/>
        </w:rPr>
        <w:t xml:space="preserve">NP, </w:t>
      </w:r>
      <w:r w:rsidR="008C2223">
        <w:rPr>
          <w:rFonts w:asciiTheme="minorHAnsi" w:hAnsiTheme="minorHAnsi" w:cstheme="minorHAnsi"/>
          <w:bCs/>
          <w:sz w:val="24"/>
          <w:szCs w:val="24"/>
        </w:rPr>
        <w:t xml:space="preserve">CHKO, </w:t>
      </w:r>
      <w:r w:rsidR="00B54F01">
        <w:rPr>
          <w:rFonts w:asciiTheme="minorHAnsi" w:hAnsiTheme="minorHAnsi" w:cstheme="minorHAnsi"/>
          <w:bCs/>
          <w:sz w:val="24"/>
          <w:szCs w:val="24"/>
        </w:rPr>
        <w:t xml:space="preserve">lokality soustavy </w:t>
      </w:r>
      <w:r w:rsidR="008C2223">
        <w:rPr>
          <w:rFonts w:asciiTheme="minorHAnsi" w:hAnsiTheme="minorHAnsi" w:cstheme="minorHAnsi"/>
          <w:bCs/>
          <w:sz w:val="24"/>
          <w:szCs w:val="24"/>
        </w:rPr>
        <w:t>Natura</w:t>
      </w:r>
      <w:r w:rsidR="00B54F01">
        <w:rPr>
          <w:rFonts w:asciiTheme="minorHAnsi" w:hAnsiTheme="minorHAnsi" w:cstheme="minorHAnsi"/>
          <w:bCs/>
          <w:sz w:val="24"/>
          <w:szCs w:val="24"/>
        </w:rPr>
        <w:t xml:space="preserve"> 2000</w:t>
      </w:r>
      <w:r w:rsidR="008C2223">
        <w:rPr>
          <w:rFonts w:asciiTheme="minorHAnsi" w:hAnsiTheme="minorHAnsi" w:cstheme="minorHAnsi"/>
          <w:bCs/>
          <w:sz w:val="24"/>
          <w:szCs w:val="24"/>
        </w:rPr>
        <w:t>) a socio</w:t>
      </w:r>
      <w:r w:rsidR="00F63525" w:rsidRPr="0092047B" w:rsidDel="001B4291">
        <w:rPr>
          <w:rFonts w:asciiTheme="minorHAnsi" w:hAnsiTheme="minorHAnsi" w:cstheme="minorHAnsi"/>
          <w:bCs/>
          <w:sz w:val="24"/>
          <w:szCs w:val="24"/>
        </w:rPr>
        <w:t>kulturní omezení</w:t>
      </w:r>
      <w:r w:rsidRPr="0092047B">
        <w:rPr>
          <w:rFonts w:asciiTheme="minorHAnsi" w:hAnsiTheme="minorHAnsi" w:cstheme="minorHAnsi"/>
          <w:bCs/>
          <w:sz w:val="24"/>
          <w:szCs w:val="24"/>
        </w:rPr>
        <w:t xml:space="preserve"> včetně ochrany krajiny a sídel</w:t>
      </w:r>
      <w:r w:rsidR="00F63525" w:rsidRPr="0092047B" w:rsidDel="001B4291">
        <w:rPr>
          <w:rFonts w:asciiTheme="minorHAnsi" w:hAnsiTheme="minorHAnsi" w:cstheme="minorHAnsi"/>
          <w:bCs/>
          <w:sz w:val="24"/>
          <w:szCs w:val="24"/>
        </w:rPr>
        <w:t>.</w:t>
      </w:r>
    </w:p>
    <w:p w:rsidR="00F63525" w:rsidRPr="0092047B" w:rsidDel="001B4291" w:rsidRDefault="00F63525" w:rsidP="00184DC1">
      <w:pPr>
        <w:pStyle w:val="Odstavecseseznamem"/>
        <w:numPr>
          <w:ilvl w:val="0"/>
          <w:numId w:val="26"/>
        </w:numPr>
        <w:spacing w:after="0" w:line="240" w:lineRule="auto"/>
        <w:rPr>
          <w:rFonts w:asciiTheme="minorHAnsi" w:hAnsiTheme="minorHAnsi" w:cstheme="minorHAnsi"/>
          <w:bCs/>
          <w:sz w:val="24"/>
          <w:szCs w:val="24"/>
        </w:rPr>
      </w:pPr>
      <w:r w:rsidRPr="0092047B" w:rsidDel="001B4291">
        <w:rPr>
          <w:rFonts w:asciiTheme="minorHAnsi" w:hAnsiTheme="minorHAnsi" w:cstheme="minorHAnsi"/>
          <w:bCs/>
          <w:sz w:val="24"/>
          <w:szCs w:val="24"/>
        </w:rPr>
        <w:t>Respektování chráněných území, významných center biodiverzity, míst s vysokým podílem přírodních biotopů a výskytem zvláště chráněných a ohrožených druhů.</w:t>
      </w:r>
    </w:p>
    <w:p w:rsidR="00F63525" w:rsidRPr="0092047B" w:rsidRDefault="00F63525" w:rsidP="00184DC1">
      <w:pPr>
        <w:pStyle w:val="Odstavecseseznamem"/>
        <w:numPr>
          <w:ilvl w:val="0"/>
          <w:numId w:val="26"/>
        </w:numPr>
        <w:spacing w:after="0" w:line="240" w:lineRule="auto"/>
        <w:ind w:left="765" w:hanging="357"/>
        <w:rPr>
          <w:rFonts w:asciiTheme="minorHAnsi" w:hAnsiTheme="minorHAnsi" w:cstheme="minorHAnsi"/>
          <w:bCs/>
          <w:sz w:val="24"/>
          <w:szCs w:val="24"/>
        </w:rPr>
      </w:pPr>
      <w:r w:rsidRPr="0092047B" w:rsidDel="001B4291">
        <w:rPr>
          <w:sz w:val="24"/>
          <w:szCs w:val="24"/>
        </w:rPr>
        <w:t>Zachování vysoké kvality zásobování energií a plnění parametrů přiměřenosti</w:t>
      </w:r>
      <w:r w:rsidR="002C1D30">
        <w:rPr>
          <w:sz w:val="24"/>
          <w:szCs w:val="24"/>
        </w:rPr>
        <w:t xml:space="preserve"> výrobních kapacit</w:t>
      </w:r>
      <w:r w:rsidRPr="0092047B" w:rsidDel="001B4291">
        <w:rPr>
          <w:sz w:val="24"/>
          <w:szCs w:val="24"/>
        </w:rPr>
        <w:t>.</w:t>
      </w:r>
    </w:p>
    <w:p w:rsidR="008F1AF2" w:rsidRPr="001E5670" w:rsidRDefault="008B72CE" w:rsidP="00184DC1">
      <w:pPr>
        <w:pStyle w:val="Odstavecseseznamem"/>
        <w:numPr>
          <w:ilvl w:val="0"/>
          <w:numId w:val="26"/>
        </w:numPr>
        <w:overflowPunct/>
        <w:autoSpaceDE/>
        <w:autoSpaceDN/>
        <w:adjustRightInd/>
        <w:spacing w:after="160" w:line="240" w:lineRule="auto"/>
        <w:contextualSpacing/>
        <w:textAlignment w:val="auto"/>
      </w:pPr>
      <w:r w:rsidRPr="0092047B">
        <w:t>Udržení výkonové přiměřenosti v rozsahu -5</w:t>
      </w:r>
      <w:r w:rsidR="0071542A" w:rsidRPr="0092047B">
        <w:t xml:space="preserve"> % až </w:t>
      </w:r>
      <w:r w:rsidRPr="0092047B">
        <w:t xml:space="preserve">+15 % </w:t>
      </w:r>
      <w:r w:rsidRPr="0092047B">
        <w:rPr>
          <w:rFonts w:eastAsiaTheme="minorEastAsia" w:cstheme="minorHAnsi"/>
          <w:iCs/>
          <w:szCs w:val="22"/>
        </w:rPr>
        <w:t>volného výkonu dle metodiky ENTSO-E.</w:t>
      </w:r>
    </w:p>
    <w:p w:rsidR="001E5670" w:rsidRPr="0092047B" w:rsidRDefault="001E5670" w:rsidP="00184DC1">
      <w:pPr>
        <w:pStyle w:val="Odstavecseseznamem"/>
        <w:numPr>
          <w:ilvl w:val="0"/>
          <w:numId w:val="26"/>
        </w:numPr>
        <w:spacing w:after="120" w:line="240" w:lineRule="auto"/>
        <w:ind w:left="765" w:hanging="357"/>
        <w:rPr>
          <w:rFonts w:asciiTheme="minorHAnsi" w:hAnsiTheme="minorHAnsi" w:cstheme="minorHAnsi"/>
          <w:bCs/>
          <w:sz w:val="24"/>
          <w:szCs w:val="24"/>
        </w:rPr>
      </w:pPr>
      <w:r w:rsidRPr="0092047B">
        <w:rPr>
          <w:sz w:val="24"/>
          <w:szCs w:val="24"/>
        </w:rPr>
        <w:t>Respektování hierarchie nakládání s odpady.</w:t>
      </w:r>
    </w:p>
    <w:p w:rsidR="000248E0" w:rsidRPr="0092047B" w:rsidRDefault="000248E0" w:rsidP="00184DC1">
      <w:pPr>
        <w:rPr>
          <w:rFonts w:cstheme="minorHAnsi"/>
        </w:rPr>
      </w:pPr>
      <w:r w:rsidRPr="0092047B">
        <w:rPr>
          <w:rFonts w:cstheme="minorHAnsi"/>
        </w:rPr>
        <w:t>Státní energetická koncepce stanovuje jako indikativní ukazatele a cílové hodnoty k roku 2040 koridory pro vyvážený mix zdrojů</w:t>
      </w:r>
      <w:r w:rsidR="004307B8">
        <w:rPr>
          <w:rFonts w:cstheme="minorHAnsi"/>
        </w:rPr>
        <w:t xml:space="preserve"> pro výrobu elektřiny a koridory pro složení diverzifikovaného mixu primárních energetických zdrojů</w:t>
      </w:r>
      <w:r w:rsidRPr="0092047B">
        <w:rPr>
          <w:rFonts w:cstheme="minorHAnsi"/>
        </w:rPr>
        <w:t xml:space="preserve"> s přednostním využíváním domácích primárních zdrojů a udržením dovozní závislosti na přijatelné úrovni. </w:t>
      </w:r>
    </w:p>
    <w:p w:rsidR="000248E0" w:rsidRPr="0092047B" w:rsidRDefault="000248E0" w:rsidP="00184DC1">
      <w:r w:rsidRPr="0092047B">
        <w:t xml:space="preserve">Jako cílové hodnoty jsou stanoveny </w:t>
      </w:r>
      <w:r w:rsidR="002A5E94" w:rsidRPr="0092047B">
        <w:t xml:space="preserve">mimo jiné </w:t>
      </w:r>
      <w:r w:rsidRPr="0092047B">
        <w:t>podíly pro dovozní závislost</w:t>
      </w:r>
      <w:r w:rsidR="002A5E94" w:rsidRPr="0092047B">
        <w:t xml:space="preserve"> nebo</w:t>
      </w:r>
      <w:r w:rsidRPr="0092047B">
        <w:t xml:space="preserve"> procento výkonové </w:t>
      </w:r>
      <w:r w:rsidR="000525A3" w:rsidRPr="0092047B">
        <w:t>bilance pokrývající</w:t>
      </w:r>
      <w:r w:rsidR="002A5E94" w:rsidRPr="0092047B">
        <w:t xml:space="preserve"> tuzemskou spotřebu</w:t>
      </w:r>
      <w:r w:rsidRPr="0092047B">
        <w:t>.</w:t>
      </w:r>
    </w:p>
    <w:p w:rsidR="000248E0" w:rsidRPr="0092047B" w:rsidRDefault="000248E0" w:rsidP="00184DC1">
      <w:r w:rsidRPr="0092047B">
        <w:t>Doporučená varianta SEK je tudíž představovaná poměrně širokým koridorem různých přijatelných stavů závislých na reálném vývoji společnosti a ekonomiky, vývoji v EU a ve světě a představuje tedy směr možných požadovaných a současně očekávaných stavů energetiky se zohledněním pevných omezení (axiomů) a vstupních předpokladů</w:t>
      </w:r>
      <w:r w:rsidR="004F6234">
        <w:t>,</w:t>
      </w:r>
      <w:r w:rsidRPr="0092047B">
        <w:t xml:space="preserve"> vyplývajících ze souvisejících odvětví (potravinová soběstačnost, omezení těžby uhlí na stávající dobývací prostory apod.).</w:t>
      </w:r>
    </w:p>
    <w:p w:rsidR="000248E0" w:rsidRPr="0092047B" w:rsidRDefault="000248E0" w:rsidP="00184DC1">
      <w:pPr>
        <w:keepLines/>
        <w:spacing w:after="120"/>
      </w:pPr>
      <w:r w:rsidRPr="0092047B">
        <w:t>Jedná se o následující indikativní ukazatele a cílové hodnoty k roku 2040, které vymezují strategické směřování české energetiky:</w:t>
      </w:r>
    </w:p>
    <w:p w:rsidR="0033189A" w:rsidRPr="0092047B" w:rsidRDefault="0033189A" w:rsidP="00184DC1">
      <w:pPr>
        <w:pStyle w:val="Odstavecseseznamem"/>
        <w:numPr>
          <w:ilvl w:val="0"/>
          <w:numId w:val="88"/>
        </w:numPr>
        <w:spacing w:after="120" w:line="240" w:lineRule="auto"/>
        <w:ind w:left="709" w:hanging="425"/>
        <w:rPr>
          <w:sz w:val="24"/>
          <w:szCs w:val="24"/>
        </w:rPr>
      </w:pPr>
      <w:r w:rsidRPr="0092047B">
        <w:rPr>
          <w:sz w:val="24"/>
          <w:szCs w:val="24"/>
        </w:rPr>
        <w:t>Dosažení poklesu emisí CO</w:t>
      </w:r>
      <w:r w:rsidRPr="0092047B">
        <w:rPr>
          <w:sz w:val="24"/>
          <w:szCs w:val="24"/>
          <w:vertAlign w:val="subscript"/>
        </w:rPr>
        <w:t>2</w:t>
      </w:r>
      <w:r w:rsidRPr="0092047B">
        <w:rPr>
          <w:sz w:val="24"/>
          <w:szCs w:val="24"/>
        </w:rPr>
        <w:t xml:space="preserve"> do roku 2030 o 40</w:t>
      </w:r>
      <w:r w:rsidR="00BD35CF" w:rsidRPr="0092047B">
        <w:rPr>
          <w:sz w:val="24"/>
          <w:szCs w:val="24"/>
        </w:rPr>
        <w:t xml:space="preserve"> </w:t>
      </w:r>
      <w:r w:rsidRPr="0092047B">
        <w:rPr>
          <w:sz w:val="24"/>
          <w:szCs w:val="24"/>
        </w:rPr>
        <w:t>% ve srovnání s rokem 1990 a další pokles emi</w:t>
      </w:r>
      <w:r w:rsidR="00BD35CF" w:rsidRPr="0092047B">
        <w:rPr>
          <w:sz w:val="24"/>
          <w:szCs w:val="24"/>
        </w:rPr>
        <w:t>s</w:t>
      </w:r>
      <w:r w:rsidRPr="0092047B">
        <w:rPr>
          <w:sz w:val="24"/>
          <w:szCs w:val="24"/>
        </w:rPr>
        <w:t xml:space="preserve">í v souladu se strategií </w:t>
      </w:r>
      <w:r w:rsidR="004F6234">
        <w:rPr>
          <w:sz w:val="24"/>
          <w:szCs w:val="24"/>
        </w:rPr>
        <w:t xml:space="preserve">EU směřující k </w:t>
      </w:r>
      <w:r w:rsidRPr="0092047B">
        <w:rPr>
          <w:sz w:val="24"/>
          <w:szCs w:val="24"/>
        </w:rPr>
        <w:t>dekarbonizac</w:t>
      </w:r>
      <w:r w:rsidR="004F6234">
        <w:rPr>
          <w:sz w:val="24"/>
          <w:szCs w:val="24"/>
        </w:rPr>
        <w:t>i</w:t>
      </w:r>
      <w:r w:rsidRPr="0092047B">
        <w:rPr>
          <w:sz w:val="24"/>
          <w:szCs w:val="24"/>
        </w:rPr>
        <w:t xml:space="preserve"> ekonomiky k roku 2050 v souladu s ekonomickými možnostmi ČR</w:t>
      </w:r>
      <w:r w:rsidR="00BD35CF" w:rsidRPr="0092047B">
        <w:rPr>
          <w:sz w:val="24"/>
          <w:szCs w:val="24"/>
        </w:rPr>
        <w:t>.</w:t>
      </w:r>
    </w:p>
    <w:p w:rsidR="0033189A" w:rsidRPr="0092047B" w:rsidRDefault="00D81B10" w:rsidP="00184DC1">
      <w:pPr>
        <w:pStyle w:val="Odstavecseseznamem"/>
        <w:numPr>
          <w:ilvl w:val="0"/>
          <w:numId w:val="88"/>
        </w:numPr>
        <w:spacing w:after="120" w:line="240" w:lineRule="auto"/>
        <w:ind w:left="709" w:hanging="425"/>
        <w:rPr>
          <w:sz w:val="24"/>
          <w:szCs w:val="24"/>
        </w:rPr>
      </w:pPr>
      <w:r>
        <w:rPr>
          <w:sz w:val="24"/>
          <w:szCs w:val="24"/>
        </w:rPr>
        <w:t>Zvýšení</w:t>
      </w:r>
      <w:r w:rsidRPr="0092047B">
        <w:rPr>
          <w:sz w:val="24"/>
          <w:szCs w:val="24"/>
        </w:rPr>
        <w:t xml:space="preserve"> </w:t>
      </w:r>
      <w:r w:rsidR="0033189A" w:rsidRPr="0092047B">
        <w:rPr>
          <w:sz w:val="24"/>
          <w:szCs w:val="24"/>
        </w:rPr>
        <w:t>energetických úspor v roce 2020 oproti předpokládanému stavu bez aktivních opatření („bussiness as usual“) o 20</w:t>
      </w:r>
      <w:r w:rsidR="00BD35CF" w:rsidRPr="0092047B">
        <w:rPr>
          <w:sz w:val="24"/>
          <w:szCs w:val="24"/>
        </w:rPr>
        <w:t xml:space="preserve"> </w:t>
      </w:r>
      <w:r w:rsidR="0033189A" w:rsidRPr="0092047B">
        <w:rPr>
          <w:sz w:val="24"/>
          <w:szCs w:val="24"/>
        </w:rPr>
        <w:t xml:space="preserve">% s cílovou čistou konečnou spotřebou energie 1060 PJ </w:t>
      </w:r>
      <w:r w:rsidR="00BD35CF" w:rsidRPr="0092047B">
        <w:rPr>
          <w:sz w:val="24"/>
          <w:szCs w:val="24"/>
        </w:rPr>
        <w:t xml:space="preserve">(podle metodiky Eurostat, respektive 1020 PJ </w:t>
      </w:r>
      <w:r w:rsidR="00FF175A">
        <w:rPr>
          <w:sz w:val="24"/>
          <w:szCs w:val="24"/>
        </w:rPr>
        <w:t>po</w:t>
      </w:r>
      <w:r w:rsidR="00BD35CF" w:rsidRPr="0092047B">
        <w:rPr>
          <w:sz w:val="24"/>
          <w:szCs w:val="24"/>
        </w:rPr>
        <w:t xml:space="preserve">dle metodiky IEA) </w:t>
      </w:r>
      <w:r w:rsidR="0033189A" w:rsidRPr="0092047B">
        <w:rPr>
          <w:sz w:val="24"/>
          <w:szCs w:val="24"/>
        </w:rPr>
        <w:t>a</w:t>
      </w:r>
      <w:r w:rsidR="00FF175A">
        <w:rPr>
          <w:sz w:val="24"/>
          <w:szCs w:val="24"/>
        </w:rPr>
        <w:t> </w:t>
      </w:r>
      <w:r w:rsidR="0033189A" w:rsidRPr="0092047B">
        <w:rPr>
          <w:sz w:val="24"/>
          <w:szCs w:val="24"/>
        </w:rPr>
        <w:t xml:space="preserve">pokračování </w:t>
      </w:r>
      <w:r w:rsidR="00A76172">
        <w:rPr>
          <w:sz w:val="24"/>
          <w:szCs w:val="24"/>
        </w:rPr>
        <w:t>zvyšování</w:t>
      </w:r>
      <w:r w:rsidR="00A76172" w:rsidRPr="0092047B">
        <w:rPr>
          <w:sz w:val="24"/>
          <w:szCs w:val="24"/>
        </w:rPr>
        <w:t xml:space="preserve"> </w:t>
      </w:r>
      <w:r w:rsidR="0033189A" w:rsidRPr="0092047B">
        <w:rPr>
          <w:sz w:val="24"/>
          <w:szCs w:val="24"/>
        </w:rPr>
        <w:t xml:space="preserve">energetické účinnosti </w:t>
      </w:r>
      <w:r w:rsidR="00A13AA1" w:rsidRPr="0092047B">
        <w:rPr>
          <w:sz w:val="24"/>
          <w:szCs w:val="24"/>
        </w:rPr>
        <w:t>do roku 2040 v souladu se strategií EU</w:t>
      </w:r>
      <w:r w:rsidR="00BA17F1" w:rsidRPr="0092047B">
        <w:rPr>
          <w:sz w:val="24"/>
          <w:szCs w:val="24"/>
        </w:rPr>
        <w:t xml:space="preserve"> s cílem dosažení energetické náročnosti i průměrné spotřeby energie na obyvatele pod úrovní průměru EU28</w:t>
      </w:r>
      <w:r w:rsidR="00A76172">
        <w:rPr>
          <w:sz w:val="24"/>
          <w:szCs w:val="24"/>
        </w:rPr>
        <w:t>.</w:t>
      </w:r>
    </w:p>
    <w:p w:rsidR="000248E0" w:rsidRPr="0092047B" w:rsidRDefault="000248E0" w:rsidP="00184DC1">
      <w:pPr>
        <w:pStyle w:val="Odstavecseseznamem"/>
        <w:numPr>
          <w:ilvl w:val="0"/>
          <w:numId w:val="88"/>
        </w:numPr>
        <w:spacing w:after="120" w:line="240" w:lineRule="auto"/>
        <w:ind w:left="709" w:hanging="425"/>
        <w:rPr>
          <w:sz w:val="24"/>
          <w:szCs w:val="24"/>
        </w:rPr>
      </w:pPr>
      <w:r w:rsidRPr="0092047B">
        <w:rPr>
          <w:sz w:val="24"/>
          <w:szCs w:val="24"/>
        </w:rPr>
        <w:t xml:space="preserve">Podíl roční výroby elektřiny z domácích primárních zdrojů </w:t>
      </w:r>
      <w:r w:rsidR="004F6234">
        <w:rPr>
          <w:sz w:val="24"/>
          <w:szCs w:val="24"/>
        </w:rPr>
        <w:t>na</w:t>
      </w:r>
      <w:r w:rsidRPr="0092047B">
        <w:rPr>
          <w:sz w:val="24"/>
          <w:szCs w:val="24"/>
        </w:rPr>
        <w:t xml:space="preserve"> </w:t>
      </w:r>
      <w:r w:rsidR="004127B1" w:rsidRPr="0092047B">
        <w:rPr>
          <w:sz w:val="24"/>
          <w:szCs w:val="24"/>
        </w:rPr>
        <w:t xml:space="preserve">celkové </w:t>
      </w:r>
      <w:r w:rsidRPr="0092047B">
        <w:rPr>
          <w:sz w:val="24"/>
          <w:szCs w:val="24"/>
        </w:rPr>
        <w:t xml:space="preserve">hrubé </w:t>
      </w:r>
      <w:r w:rsidR="00271BB6" w:rsidRPr="0092047B">
        <w:rPr>
          <w:sz w:val="24"/>
          <w:szCs w:val="24"/>
        </w:rPr>
        <w:t>výrobě</w:t>
      </w:r>
      <w:r w:rsidRPr="0092047B">
        <w:rPr>
          <w:sz w:val="24"/>
          <w:szCs w:val="24"/>
        </w:rPr>
        <w:t xml:space="preserve"> elektřiny v ČR </w:t>
      </w:r>
      <w:r w:rsidR="004F6234">
        <w:rPr>
          <w:sz w:val="24"/>
          <w:szCs w:val="24"/>
        </w:rPr>
        <w:t xml:space="preserve">ve výši </w:t>
      </w:r>
      <w:r w:rsidRPr="0092047B">
        <w:rPr>
          <w:sz w:val="24"/>
          <w:szCs w:val="24"/>
        </w:rPr>
        <w:t xml:space="preserve">minimálně 80 % (OZE, druhotné zdroje a odpady, hnědé a černé uhlí a jaderné palivo za podmínky zajištění </w:t>
      </w:r>
      <w:r w:rsidR="00BA17F1" w:rsidRPr="0092047B">
        <w:rPr>
          <w:sz w:val="24"/>
          <w:szCs w:val="24"/>
        </w:rPr>
        <w:t xml:space="preserve">jeho </w:t>
      </w:r>
      <w:r w:rsidRPr="0092047B">
        <w:rPr>
          <w:sz w:val="24"/>
          <w:szCs w:val="24"/>
        </w:rPr>
        <w:t>dostatečných zásob) s</w:t>
      </w:r>
      <w:r w:rsidR="00BA17F1" w:rsidRPr="0092047B">
        <w:rPr>
          <w:sz w:val="24"/>
          <w:szCs w:val="24"/>
        </w:rPr>
        <w:t> cílovou</w:t>
      </w:r>
      <w:r w:rsidRPr="0092047B">
        <w:rPr>
          <w:sz w:val="24"/>
          <w:szCs w:val="24"/>
        </w:rPr>
        <w:t xml:space="preserve"> </w:t>
      </w:r>
      <w:r w:rsidRPr="0092047B">
        <w:rPr>
          <w:b/>
          <w:sz w:val="24"/>
          <w:szCs w:val="24"/>
        </w:rPr>
        <w:t>strukturou výroby elektřiny</w:t>
      </w:r>
      <w:r w:rsidRPr="0092047B">
        <w:rPr>
          <w:sz w:val="24"/>
          <w:szCs w:val="24"/>
        </w:rPr>
        <w:t xml:space="preserve"> (v poměru k </w:t>
      </w:r>
      <w:r w:rsidR="00CB0351" w:rsidRPr="0092047B">
        <w:rPr>
          <w:sz w:val="24"/>
          <w:szCs w:val="24"/>
        </w:rPr>
        <w:t xml:space="preserve">celkové </w:t>
      </w:r>
      <w:r w:rsidRPr="0092047B">
        <w:rPr>
          <w:sz w:val="24"/>
          <w:szCs w:val="24"/>
        </w:rPr>
        <w:t xml:space="preserve">hrubé </w:t>
      </w:r>
      <w:r w:rsidR="00271BB6" w:rsidRPr="0092047B">
        <w:rPr>
          <w:sz w:val="24"/>
          <w:szCs w:val="24"/>
        </w:rPr>
        <w:t>výrobě elektřiny</w:t>
      </w:r>
      <w:r w:rsidRPr="0092047B">
        <w:rPr>
          <w:sz w:val="24"/>
          <w:szCs w:val="24"/>
        </w:rPr>
        <w:t>)</w:t>
      </w:r>
      <w:r w:rsidR="0003039E" w:rsidRPr="0092047B">
        <w:rPr>
          <w:sz w:val="24"/>
          <w:szCs w:val="24"/>
        </w:rPr>
        <w:t xml:space="preserve"> v koridorech</w:t>
      </w:r>
      <w:r w:rsidR="00081EB4" w:rsidRPr="0092047B">
        <w:rPr>
          <w:rStyle w:val="Znakapoznpodarou"/>
          <w:rFonts w:asciiTheme="minorHAnsi" w:hAnsiTheme="minorHAnsi" w:cstheme="minorHAnsi"/>
          <w:sz w:val="24"/>
          <w:szCs w:val="24"/>
        </w:rPr>
        <w:footnoteReference w:id="16"/>
      </w:r>
      <w:r w:rsidRPr="0092047B">
        <w:rPr>
          <w:sz w:val="24"/>
          <w:szCs w:val="24"/>
        </w:rPr>
        <w:t>:</w:t>
      </w:r>
    </w:p>
    <w:p w:rsidR="000248E0" w:rsidRPr="0092047B" w:rsidRDefault="000248E0" w:rsidP="00184DC1">
      <w:pPr>
        <w:pStyle w:val="Odstavecseseznamem"/>
        <w:numPr>
          <w:ilvl w:val="0"/>
          <w:numId w:val="32"/>
        </w:numPr>
        <w:spacing w:after="0" w:line="240" w:lineRule="auto"/>
        <w:ind w:left="1786" w:hanging="357"/>
        <w:rPr>
          <w:rFonts w:asciiTheme="minorHAnsi" w:hAnsiTheme="minorHAnsi" w:cstheme="minorHAnsi"/>
          <w:sz w:val="24"/>
          <w:szCs w:val="24"/>
        </w:rPr>
      </w:pPr>
      <w:r w:rsidRPr="0092047B">
        <w:rPr>
          <w:rFonts w:asciiTheme="minorHAnsi" w:hAnsiTheme="minorHAnsi" w:cstheme="minorHAnsi"/>
          <w:sz w:val="24"/>
          <w:szCs w:val="24"/>
        </w:rPr>
        <w:t xml:space="preserve">Jaderné palivo </w:t>
      </w:r>
      <w:r w:rsidRPr="0092047B">
        <w:rPr>
          <w:rFonts w:asciiTheme="minorHAnsi" w:hAnsiTheme="minorHAnsi" w:cstheme="minorHAnsi"/>
          <w:sz w:val="24"/>
          <w:szCs w:val="24"/>
        </w:rPr>
        <w:tab/>
      </w:r>
      <w:r w:rsidRPr="0092047B">
        <w:rPr>
          <w:rFonts w:asciiTheme="minorHAnsi" w:hAnsiTheme="minorHAnsi" w:cstheme="minorHAnsi"/>
          <w:sz w:val="24"/>
          <w:szCs w:val="24"/>
        </w:rPr>
        <w:tab/>
      </w:r>
      <w:r w:rsidRPr="0092047B">
        <w:rPr>
          <w:rFonts w:asciiTheme="minorHAnsi" w:hAnsiTheme="minorHAnsi" w:cstheme="minorHAnsi"/>
          <w:sz w:val="24"/>
          <w:szCs w:val="24"/>
        </w:rPr>
        <w:tab/>
        <w:t>4</w:t>
      </w:r>
      <w:r w:rsidR="009C48D9" w:rsidRPr="0092047B">
        <w:rPr>
          <w:rFonts w:asciiTheme="minorHAnsi" w:hAnsiTheme="minorHAnsi" w:cstheme="minorHAnsi"/>
          <w:sz w:val="24"/>
          <w:szCs w:val="24"/>
        </w:rPr>
        <w:t>6</w:t>
      </w:r>
      <w:r w:rsidRPr="0092047B">
        <w:rPr>
          <w:rFonts w:asciiTheme="minorHAnsi" w:hAnsiTheme="minorHAnsi" w:cstheme="minorHAnsi"/>
          <w:sz w:val="24"/>
          <w:szCs w:val="24"/>
        </w:rPr>
        <w:t xml:space="preserve"> – 58 %</w:t>
      </w:r>
    </w:p>
    <w:p w:rsidR="000248E0" w:rsidRPr="0092047B" w:rsidRDefault="000248E0" w:rsidP="00184DC1">
      <w:pPr>
        <w:pStyle w:val="Odstavecseseznamem"/>
        <w:numPr>
          <w:ilvl w:val="0"/>
          <w:numId w:val="32"/>
        </w:numPr>
        <w:spacing w:after="0" w:line="240" w:lineRule="auto"/>
        <w:ind w:left="1786" w:hanging="357"/>
        <w:rPr>
          <w:rFonts w:asciiTheme="minorHAnsi" w:hAnsiTheme="minorHAnsi" w:cstheme="minorHAnsi"/>
          <w:sz w:val="24"/>
          <w:szCs w:val="24"/>
        </w:rPr>
      </w:pPr>
      <w:r w:rsidRPr="0092047B">
        <w:rPr>
          <w:rFonts w:asciiTheme="minorHAnsi" w:hAnsiTheme="minorHAnsi" w:cstheme="minorHAnsi"/>
          <w:sz w:val="24"/>
          <w:szCs w:val="24"/>
        </w:rPr>
        <w:t xml:space="preserve">Obnovitelné a druhotné zdroje </w:t>
      </w:r>
      <w:r w:rsidRPr="0092047B">
        <w:rPr>
          <w:rFonts w:asciiTheme="minorHAnsi" w:hAnsiTheme="minorHAnsi" w:cstheme="minorHAnsi"/>
          <w:sz w:val="24"/>
          <w:szCs w:val="24"/>
        </w:rPr>
        <w:tab/>
        <w:t>18 – 25 %</w:t>
      </w:r>
    </w:p>
    <w:p w:rsidR="000248E0" w:rsidRPr="0092047B" w:rsidRDefault="000248E0" w:rsidP="00184DC1">
      <w:pPr>
        <w:pStyle w:val="Odstavecseseznamem"/>
        <w:numPr>
          <w:ilvl w:val="0"/>
          <w:numId w:val="32"/>
        </w:numPr>
        <w:spacing w:after="0" w:line="240" w:lineRule="auto"/>
        <w:ind w:left="1786" w:hanging="357"/>
        <w:rPr>
          <w:rFonts w:asciiTheme="minorHAnsi" w:hAnsiTheme="minorHAnsi" w:cstheme="minorHAnsi"/>
          <w:sz w:val="24"/>
          <w:szCs w:val="24"/>
        </w:rPr>
      </w:pPr>
      <w:r w:rsidRPr="0092047B">
        <w:rPr>
          <w:rFonts w:asciiTheme="minorHAnsi" w:hAnsiTheme="minorHAnsi" w:cstheme="minorHAnsi"/>
          <w:sz w:val="24"/>
          <w:szCs w:val="24"/>
        </w:rPr>
        <w:t xml:space="preserve">Zemní plyn </w:t>
      </w:r>
      <w:r w:rsidRPr="0092047B">
        <w:rPr>
          <w:rFonts w:asciiTheme="minorHAnsi" w:hAnsiTheme="minorHAnsi" w:cstheme="minorHAnsi"/>
          <w:sz w:val="24"/>
          <w:szCs w:val="24"/>
        </w:rPr>
        <w:tab/>
      </w:r>
      <w:r w:rsidRPr="0092047B">
        <w:rPr>
          <w:rFonts w:asciiTheme="minorHAnsi" w:hAnsiTheme="minorHAnsi" w:cstheme="minorHAnsi"/>
          <w:sz w:val="24"/>
          <w:szCs w:val="24"/>
        </w:rPr>
        <w:tab/>
      </w:r>
      <w:r w:rsidRPr="0092047B">
        <w:rPr>
          <w:rFonts w:asciiTheme="minorHAnsi" w:hAnsiTheme="minorHAnsi" w:cstheme="minorHAnsi"/>
          <w:sz w:val="24"/>
          <w:szCs w:val="24"/>
        </w:rPr>
        <w:tab/>
      </w:r>
      <w:r w:rsidR="009C48D9" w:rsidRPr="0092047B">
        <w:rPr>
          <w:rFonts w:asciiTheme="minorHAnsi" w:hAnsiTheme="minorHAnsi" w:cstheme="minorHAnsi"/>
          <w:sz w:val="24"/>
          <w:szCs w:val="24"/>
        </w:rPr>
        <w:t>5</w:t>
      </w:r>
      <w:r w:rsidRPr="0092047B">
        <w:rPr>
          <w:rFonts w:asciiTheme="minorHAnsi" w:hAnsiTheme="minorHAnsi" w:cstheme="minorHAnsi"/>
          <w:sz w:val="24"/>
          <w:szCs w:val="24"/>
        </w:rPr>
        <w:t xml:space="preserve"> – 15 %</w:t>
      </w:r>
    </w:p>
    <w:p w:rsidR="0003039E" w:rsidRPr="0092047B" w:rsidRDefault="000248E0" w:rsidP="00184DC1">
      <w:pPr>
        <w:pStyle w:val="Odstavecseseznamem"/>
        <w:numPr>
          <w:ilvl w:val="0"/>
          <w:numId w:val="32"/>
        </w:numPr>
        <w:spacing w:after="120" w:line="240" w:lineRule="auto"/>
        <w:ind w:left="1786" w:hanging="357"/>
        <w:rPr>
          <w:rFonts w:asciiTheme="minorHAnsi" w:hAnsiTheme="minorHAnsi" w:cstheme="minorHAnsi"/>
          <w:sz w:val="24"/>
          <w:szCs w:val="24"/>
        </w:rPr>
      </w:pPr>
      <w:r w:rsidRPr="0092047B">
        <w:rPr>
          <w:rFonts w:asciiTheme="minorHAnsi" w:hAnsiTheme="minorHAnsi" w:cstheme="minorHAnsi"/>
          <w:sz w:val="24"/>
          <w:szCs w:val="24"/>
        </w:rPr>
        <w:t xml:space="preserve">Hnědé a černé uhlí </w:t>
      </w:r>
      <w:r w:rsidRPr="0092047B">
        <w:rPr>
          <w:rFonts w:asciiTheme="minorHAnsi" w:hAnsiTheme="minorHAnsi" w:cstheme="minorHAnsi"/>
          <w:sz w:val="24"/>
          <w:szCs w:val="24"/>
        </w:rPr>
        <w:tab/>
      </w:r>
      <w:r w:rsidRPr="0092047B">
        <w:rPr>
          <w:rFonts w:asciiTheme="minorHAnsi" w:hAnsiTheme="minorHAnsi" w:cstheme="minorHAnsi"/>
          <w:sz w:val="24"/>
          <w:szCs w:val="24"/>
        </w:rPr>
        <w:tab/>
        <w:t>11 – 21 %</w:t>
      </w:r>
    </w:p>
    <w:p w:rsidR="000248E0" w:rsidRPr="0092047B" w:rsidRDefault="000248E0" w:rsidP="00184DC1">
      <w:pPr>
        <w:pStyle w:val="Odstavecseseznamem"/>
        <w:numPr>
          <w:ilvl w:val="0"/>
          <w:numId w:val="88"/>
        </w:numPr>
        <w:spacing w:after="120" w:line="240" w:lineRule="auto"/>
        <w:ind w:left="709" w:hanging="425"/>
        <w:rPr>
          <w:rFonts w:cstheme="minorHAnsi"/>
          <w:sz w:val="24"/>
          <w:szCs w:val="24"/>
        </w:rPr>
      </w:pPr>
      <w:r w:rsidRPr="0092047B">
        <w:rPr>
          <w:rFonts w:cstheme="minorHAnsi"/>
          <w:sz w:val="24"/>
          <w:szCs w:val="24"/>
        </w:rPr>
        <w:t xml:space="preserve">Diverzifikovaný </w:t>
      </w:r>
      <w:r w:rsidRPr="0092047B">
        <w:rPr>
          <w:rFonts w:cstheme="minorHAnsi"/>
          <w:b/>
          <w:sz w:val="24"/>
          <w:szCs w:val="24"/>
        </w:rPr>
        <w:t>mix primárních zdrojů</w:t>
      </w:r>
      <w:r w:rsidRPr="0092047B">
        <w:rPr>
          <w:rFonts w:cstheme="minorHAnsi"/>
          <w:sz w:val="24"/>
          <w:szCs w:val="24"/>
        </w:rPr>
        <w:t xml:space="preserve"> </w:t>
      </w:r>
      <w:r w:rsidR="00452B31" w:rsidRPr="0092047B">
        <w:rPr>
          <w:rFonts w:cstheme="minorHAnsi"/>
          <w:sz w:val="24"/>
          <w:szCs w:val="24"/>
        </w:rPr>
        <w:t xml:space="preserve">(v poměru k celkové roční spotřebě primárních energetických zdrojů) </w:t>
      </w:r>
      <w:r w:rsidRPr="0092047B">
        <w:rPr>
          <w:rFonts w:cstheme="minorHAnsi"/>
          <w:sz w:val="24"/>
          <w:szCs w:val="24"/>
        </w:rPr>
        <w:t xml:space="preserve">s </w:t>
      </w:r>
      <w:r w:rsidR="00BA17F1" w:rsidRPr="0092047B">
        <w:rPr>
          <w:rFonts w:cstheme="minorHAnsi"/>
          <w:sz w:val="24"/>
          <w:szCs w:val="24"/>
        </w:rPr>
        <w:t xml:space="preserve">cílovou </w:t>
      </w:r>
      <w:r w:rsidRPr="0092047B">
        <w:rPr>
          <w:rFonts w:cstheme="minorHAnsi"/>
          <w:sz w:val="24"/>
          <w:szCs w:val="24"/>
        </w:rPr>
        <w:t>strukturou</w:t>
      </w:r>
      <w:r w:rsidR="00BA17F1" w:rsidRPr="0092047B">
        <w:rPr>
          <w:rFonts w:cstheme="minorHAnsi"/>
          <w:sz w:val="24"/>
          <w:szCs w:val="24"/>
        </w:rPr>
        <w:t xml:space="preserve"> v koridorech</w:t>
      </w:r>
      <w:r w:rsidR="006D4C90" w:rsidRPr="0092047B">
        <w:rPr>
          <w:rStyle w:val="Znakapoznpodarou"/>
          <w:rFonts w:cstheme="minorHAnsi"/>
          <w:sz w:val="24"/>
          <w:szCs w:val="24"/>
        </w:rPr>
        <w:footnoteReference w:id="17"/>
      </w:r>
      <w:r w:rsidR="00BA17F1" w:rsidRPr="0092047B">
        <w:rPr>
          <w:rFonts w:cstheme="minorHAnsi"/>
          <w:sz w:val="24"/>
          <w:szCs w:val="24"/>
        </w:rPr>
        <w:t>:</w:t>
      </w:r>
    </w:p>
    <w:p w:rsidR="000248E0" w:rsidRPr="0092047B" w:rsidRDefault="009C48D9" w:rsidP="00184DC1">
      <w:pPr>
        <w:pStyle w:val="Odstavecseseznamem"/>
        <w:numPr>
          <w:ilvl w:val="0"/>
          <w:numId w:val="33"/>
        </w:numPr>
        <w:spacing w:after="0" w:line="240" w:lineRule="auto"/>
        <w:ind w:left="1854" w:hanging="425"/>
        <w:rPr>
          <w:rFonts w:asciiTheme="minorHAnsi" w:hAnsiTheme="minorHAnsi" w:cstheme="minorHAnsi"/>
          <w:sz w:val="24"/>
          <w:szCs w:val="24"/>
        </w:rPr>
      </w:pPr>
      <w:r w:rsidRPr="0092047B">
        <w:rPr>
          <w:rFonts w:asciiTheme="minorHAnsi" w:hAnsiTheme="minorHAnsi" w:cstheme="minorHAnsi"/>
          <w:sz w:val="24"/>
          <w:szCs w:val="24"/>
        </w:rPr>
        <w:t xml:space="preserve">Jaderné palivo </w:t>
      </w:r>
      <w:r w:rsidRPr="0092047B">
        <w:rPr>
          <w:rFonts w:asciiTheme="minorHAnsi" w:hAnsiTheme="minorHAnsi" w:cstheme="minorHAnsi"/>
          <w:sz w:val="24"/>
          <w:szCs w:val="24"/>
        </w:rPr>
        <w:tab/>
      </w:r>
      <w:r w:rsidRPr="0092047B">
        <w:rPr>
          <w:rFonts w:asciiTheme="minorHAnsi" w:hAnsiTheme="minorHAnsi" w:cstheme="minorHAnsi"/>
          <w:sz w:val="24"/>
          <w:szCs w:val="24"/>
        </w:rPr>
        <w:tab/>
      </w:r>
      <w:r w:rsidRPr="0092047B">
        <w:rPr>
          <w:rFonts w:asciiTheme="minorHAnsi" w:hAnsiTheme="minorHAnsi" w:cstheme="minorHAnsi"/>
          <w:sz w:val="24"/>
          <w:szCs w:val="24"/>
        </w:rPr>
        <w:tab/>
        <w:t>25</w:t>
      </w:r>
      <w:r w:rsidR="000248E0" w:rsidRPr="0092047B">
        <w:rPr>
          <w:rFonts w:asciiTheme="minorHAnsi" w:hAnsiTheme="minorHAnsi" w:cstheme="minorHAnsi"/>
          <w:sz w:val="24"/>
          <w:szCs w:val="24"/>
        </w:rPr>
        <w:t xml:space="preserve"> – 33 %</w:t>
      </w:r>
    </w:p>
    <w:p w:rsidR="000248E0" w:rsidRPr="0092047B" w:rsidRDefault="00E76C02" w:rsidP="00184DC1">
      <w:pPr>
        <w:pStyle w:val="Odstavecseseznamem"/>
        <w:numPr>
          <w:ilvl w:val="0"/>
          <w:numId w:val="33"/>
        </w:numPr>
        <w:spacing w:after="0" w:line="240" w:lineRule="auto"/>
        <w:ind w:left="1854" w:hanging="425"/>
        <w:rPr>
          <w:rFonts w:asciiTheme="minorHAnsi" w:hAnsiTheme="minorHAnsi" w:cstheme="minorHAnsi"/>
          <w:sz w:val="24"/>
          <w:szCs w:val="24"/>
        </w:rPr>
      </w:pPr>
      <w:r w:rsidRPr="0092047B">
        <w:rPr>
          <w:rFonts w:asciiTheme="minorHAnsi" w:hAnsiTheme="minorHAnsi" w:cstheme="minorHAnsi"/>
          <w:sz w:val="24"/>
          <w:szCs w:val="24"/>
        </w:rPr>
        <w:t xml:space="preserve">Tuhá paliva </w:t>
      </w:r>
      <w:r w:rsidRPr="0092047B">
        <w:rPr>
          <w:rFonts w:asciiTheme="minorHAnsi" w:hAnsiTheme="minorHAnsi" w:cstheme="minorHAnsi"/>
          <w:sz w:val="24"/>
          <w:szCs w:val="24"/>
        </w:rPr>
        <w:tab/>
      </w:r>
      <w:r w:rsidRPr="0092047B">
        <w:rPr>
          <w:rFonts w:asciiTheme="minorHAnsi" w:hAnsiTheme="minorHAnsi" w:cstheme="minorHAnsi"/>
          <w:sz w:val="24"/>
          <w:szCs w:val="24"/>
        </w:rPr>
        <w:tab/>
      </w:r>
      <w:r w:rsidRPr="0092047B">
        <w:rPr>
          <w:rFonts w:asciiTheme="minorHAnsi" w:hAnsiTheme="minorHAnsi" w:cstheme="minorHAnsi"/>
          <w:sz w:val="24"/>
          <w:szCs w:val="24"/>
        </w:rPr>
        <w:tab/>
      </w:r>
      <w:r w:rsidR="000248E0" w:rsidRPr="0092047B">
        <w:rPr>
          <w:rFonts w:asciiTheme="minorHAnsi" w:hAnsiTheme="minorHAnsi" w:cstheme="minorHAnsi"/>
          <w:sz w:val="24"/>
          <w:szCs w:val="24"/>
        </w:rPr>
        <w:t>11 – 17 %</w:t>
      </w:r>
    </w:p>
    <w:p w:rsidR="000248E0" w:rsidRPr="0092047B" w:rsidRDefault="000248E0" w:rsidP="00184DC1">
      <w:pPr>
        <w:pStyle w:val="Odstavecseseznamem"/>
        <w:numPr>
          <w:ilvl w:val="0"/>
          <w:numId w:val="33"/>
        </w:numPr>
        <w:spacing w:after="0" w:line="240" w:lineRule="auto"/>
        <w:ind w:left="1854" w:hanging="425"/>
        <w:rPr>
          <w:rFonts w:asciiTheme="minorHAnsi" w:hAnsiTheme="minorHAnsi" w:cstheme="minorHAnsi"/>
          <w:sz w:val="24"/>
          <w:szCs w:val="24"/>
        </w:rPr>
      </w:pPr>
      <w:r w:rsidRPr="0092047B">
        <w:rPr>
          <w:rFonts w:asciiTheme="minorHAnsi" w:hAnsiTheme="minorHAnsi" w:cstheme="minorHAnsi"/>
          <w:sz w:val="24"/>
          <w:szCs w:val="24"/>
        </w:rPr>
        <w:t xml:space="preserve">Plynná paliva </w:t>
      </w:r>
      <w:r w:rsidRPr="0092047B">
        <w:rPr>
          <w:rFonts w:asciiTheme="minorHAnsi" w:hAnsiTheme="minorHAnsi" w:cstheme="minorHAnsi"/>
          <w:sz w:val="24"/>
          <w:szCs w:val="24"/>
        </w:rPr>
        <w:tab/>
      </w:r>
      <w:r w:rsidRPr="0092047B">
        <w:rPr>
          <w:rFonts w:asciiTheme="minorHAnsi" w:hAnsiTheme="minorHAnsi" w:cstheme="minorHAnsi"/>
          <w:sz w:val="24"/>
          <w:szCs w:val="24"/>
        </w:rPr>
        <w:tab/>
      </w:r>
      <w:r w:rsidRPr="0092047B">
        <w:rPr>
          <w:rFonts w:asciiTheme="minorHAnsi" w:hAnsiTheme="minorHAnsi" w:cstheme="minorHAnsi"/>
          <w:sz w:val="24"/>
          <w:szCs w:val="24"/>
        </w:rPr>
        <w:tab/>
      </w:r>
      <w:r w:rsidR="009C48D9" w:rsidRPr="0092047B">
        <w:rPr>
          <w:rFonts w:asciiTheme="minorHAnsi" w:hAnsiTheme="minorHAnsi" w:cstheme="minorHAnsi"/>
          <w:sz w:val="24"/>
          <w:szCs w:val="24"/>
        </w:rPr>
        <w:t>18</w:t>
      </w:r>
      <w:r w:rsidRPr="0092047B">
        <w:rPr>
          <w:rFonts w:asciiTheme="minorHAnsi" w:hAnsiTheme="minorHAnsi" w:cstheme="minorHAnsi"/>
          <w:sz w:val="24"/>
          <w:szCs w:val="24"/>
        </w:rPr>
        <w:t xml:space="preserve"> – 25 %</w:t>
      </w:r>
    </w:p>
    <w:p w:rsidR="000248E0" w:rsidRPr="0092047B" w:rsidRDefault="000248E0" w:rsidP="00184DC1">
      <w:pPr>
        <w:pStyle w:val="Odstavecseseznamem"/>
        <w:numPr>
          <w:ilvl w:val="0"/>
          <w:numId w:val="33"/>
        </w:numPr>
        <w:spacing w:after="0" w:line="240" w:lineRule="auto"/>
        <w:ind w:left="1854" w:hanging="425"/>
        <w:rPr>
          <w:rFonts w:asciiTheme="minorHAnsi" w:hAnsiTheme="minorHAnsi" w:cstheme="minorHAnsi"/>
          <w:sz w:val="24"/>
          <w:szCs w:val="24"/>
        </w:rPr>
      </w:pPr>
      <w:r w:rsidRPr="0092047B">
        <w:rPr>
          <w:rFonts w:asciiTheme="minorHAnsi" w:hAnsiTheme="minorHAnsi" w:cstheme="minorHAnsi"/>
          <w:sz w:val="24"/>
          <w:szCs w:val="24"/>
        </w:rPr>
        <w:t xml:space="preserve">Kapalná paliva </w:t>
      </w:r>
      <w:r w:rsidRPr="0092047B">
        <w:rPr>
          <w:rFonts w:asciiTheme="minorHAnsi" w:hAnsiTheme="minorHAnsi" w:cstheme="minorHAnsi"/>
          <w:sz w:val="24"/>
          <w:szCs w:val="24"/>
        </w:rPr>
        <w:tab/>
      </w:r>
      <w:r w:rsidRPr="0092047B">
        <w:rPr>
          <w:rFonts w:asciiTheme="minorHAnsi" w:hAnsiTheme="minorHAnsi" w:cstheme="minorHAnsi"/>
          <w:sz w:val="24"/>
          <w:szCs w:val="24"/>
        </w:rPr>
        <w:tab/>
      </w:r>
      <w:r w:rsidRPr="0092047B">
        <w:rPr>
          <w:rFonts w:asciiTheme="minorHAnsi" w:hAnsiTheme="minorHAnsi" w:cstheme="minorHAnsi"/>
          <w:sz w:val="24"/>
          <w:szCs w:val="24"/>
        </w:rPr>
        <w:tab/>
        <w:t>14 – 17 %</w:t>
      </w:r>
    </w:p>
    <w:p w:rsidR="00452B31" w:rsidRPr="0092047B" w:rsidRDefault="000248E0" w:rsidP="00184DC1">
      <w:pPr>
        <w:pStyle w:val="Odstavecseseznamem"/>
        <w:numPr>
          <w:ilvl w:val="0"/>
          <w:numId w:val="33"/>
        </w:numPr>
        <w:spacing w:after="240" w:line="240" w:lineRule="auto"/>
        <w:ind w:left="1854" w:hanging="425"/>
        <w:rPr>
          <w:rFonts w:asciiTheme="minorHAnsi" w:hAnsiTheme="minorHAnsi" w:cstheme="minorHAnsi"/>
          <w:sz w:val="24"/>
          <w:szCs w:val="24"/>
        </w:rPr>
      </w:pPr>
      <w:r w:rsidRPr="0092047B">
        <w:rPr>
          <w:rFonts w:asciiTheme="minorHAnsi" w:hAnsiTheme="minorHAnsi" w:cstheme="minorHAnsi"/>
          <w:sz w:val="24"/>
          <w:szCs w:val="24"/>
        </w:rPr>
        <w:t xml:space="preserve">Obnovitelné a druhotné zdroje </w:t>
      </w:r>
      <w:r w:rsidRPr="0092047B">
        <w:rPr>
          <w:rFonts w:asciiTheme="minorHAnsi" w:hAnsiTheme="minorHAnsi" w:cstheme="minorHAnsi"/>
          <w:sz w:val="24"/>
          <w:szCs w:val="24"/>
        </w:rPr>
        <w:tab/>
        <w:t>17 – 22 %</w:t>
      </w:r>
    </w:p>
    <w:p w:rsidR="000248E0" w:rsidRPr="0092047B" w:rsidRDefault="000248E0" w:rsidP="00184DC1">
      <w:pPr>
        <w:pStyle w:val="Odstavecseseznamem"/>
        <w:numPr>
          <w:ilvl w:val="0"/>
          <w:numId w:val="88"/>
        </w:numPr>
        <w:spacing w:after="240" w:line="240" w:lineRule="auto"/>
        <w:ind w:left="709" w:hanging="425"/>
        <w:rPr>
          <w:rFonts w:cstheme="minorHAnsi"/>
          <w:sz w:val="24"/>
          <w:szCs w:val="24"/>
        </w:rPr>
      </w:pPr>
      <w:r w:rsidRPr="0092047B">
        <w:rPr>
          <w:rFonts w:cstheme="minorHAnsi"/>
          <w:sz w:val="24"/>
          <w:szCs w:val="24"/>
        </w:rPr>
        <w:t xml:space="preserve">Udržení </w:t>
      </w:r>
      <w:r w:rsidR="002C2F31" w:rsidRPr="0092047B">
        <w:rPr>
          <w:rFonts w:cstheme="minorHAnsi"/>
          <w:sz w:val="24"/>
          <w:szCs w:val="24"/>
        </w:rPr>
        <w:t>kladné</w:t>
      </w:r>
      <w:r w:rsidRPr="0092047B">
        <w:rPr>
          <w:rFonts w:cstheme="minorHAnsi"/>
          <w:sz w:val="24"/>
          <w:szCs w:val="24"/>
        </w:rPr>
        <w:t xml:space="preserve"> výkonové bilance elektřiny a zajištění přiměřenosti výkonových rezerv a regulačních výkonů (zajištění potřebných podpůrných služeb</w:t>
      </w:r>
      <w:r w:rsidR="00A13AA1" w:rsidRPr="0092047B">
        <w:rPr>
          <w:rFonts w:cstheme="minorHAnsi"/>
          <w:sz w:val="24"/>
          <w:szCs w:val="24"/>
        </w:rPr>
        <w:t>)</w:t>
      </w:r>
      <w:r w:rsidRPr="0092047B">
        <w:rPr>
          <w:rFonts w:cstheme="minorHAnsi"/>
          <w:sz w:val="24"/>
          <w:szCs w:val="24"/>
        </w:rPr>
        <w:t xml:space="preserve"> a </w:t>
      </w:r>
      <w:r w:rsidR="00A13AA1" w:rsidRPr="0092047B">
        <w:rPr>
          <w:rFonts w:cstheme="minorHAnsi"/>
          <w:sz w:val="24"/>
          <w:szCs w:val="24"/>
        </w:rPr>
        <w:t xml:space="preserve">trvalé </w:t>
      </w:r>
      <w:r w:rsidRPr="0092047B">
        <w:rPr>
          <w:rFonts w:cstheme="minorHAnsi"/>
          <w:sz w:val="24"/>
          <w:szCs w:val="24"/>
        </w:rPr>
        <w:t xml:space="preserve">zajištění </w:t>
      </w:r>
      <w:r w:rsidR="00FF175A">
        <w:rPr>
          <w:rFonts w:cstheme="minorHAnsi"/>
          <w:sz w:val="24"/>
          <w:szCs w:val="24"/>
        </w:rPr>
        <w:t xml:space="preserve">výkonové </w:t>
      </w:r>
      <w:r w:rsidR="00A13AA1" w:rsidRPr="0092047B">
        <w:rPr>
          <w:rFonts w:cstheme="minorHAnsi"/>
          <w:sz w:val="24"/>
          <w:szCs w:val="24"/>
        </w:rPr>
        <w:t xml:space="preserve">přiměřenosti </w:t>
      </w:r>
      <w:r w:rsidRPr="0092047B">
        <w:rPr>
          <w:rFonts w:cstheme="minorHAnsi"/>
          <w:sz w:val="24"/>
          <w:szCs w:val="24"/>
        </w:rPr>
        <w:t xml:space="preserve">v rozsahu </w:t>
      </w:r>
      <w:r w:rsidR="002C2F31" w:rsidRPr="0092047B">
        <w:rPr>
          <w:rFonts w:cstheme="minorHAnsi"/>
          <w:sz w:val="24"/>
          <w:szCs w:val="24"/>
        </w:rPr>
        <w:t>-</w:t>
      </w:r>
      <w:r w:rsidR="00A13AA1" w:rsidRPr="0092047B">
        <w:rPr>
          <w:rFonts w:cstheme="minorHAnsi"/>
          <w:sz w:val="24"/>
          <w:szCs w:val="24"/>
        </w:rPr>
        <w:t>5</w:t>
      </w:r>
      <w:r w:rsidRPr="0092047B">
        <w:rPr>
          <w:rFonts w:cstheme="minorHAnsi"/>
          <w:sz w:val="24"/>
          <w:szCs w:val="24"/>
        </w:rPr>
        <w:t xml:space="preserve"> až </w:t>
      </w:r>
      <w:r w:rsidR="00AA05F2">
        <w:rPr>
          <w:rFonts w:cstheme="minorHAnsi"/>
          <w:sz w:val="24"/>
          <w:szCs w:val="24"/>
        </w:rPr>
        <w:t>+</w:t>
      </w:r>
      <w:r w:rsidRPr="0092047B">
        <w:rPr>
          <w:rFonts w:cstheme="minorHAnsi"/>
          <w:sz w:val="24"/>
          <w:szCs w:val="24"/>
        </w:rPr>
        <w:t>15 % maximálního zatížení elektrizační soustavy</w:t>
      </w:r>
      <w:r w:rsidR="00A13AA1" w:rsidRPr="0092047B">
        <w:rPr>
          <w:rFonts w:cstheme="minorHAnsi"/>
          <w:sz w:val="24"/>
          <w:szCs w:val="24"/>
        </w:rPr>
        <w:t xml:space="preserve"> (volný pohotový výkon podle metodiky ENTSO-E</w:t>
      </w:r>
      <w:r w:rsidR="00BD35CF" w:rsidRPr="0092047B">
        <w:rPr>
          <w:rFonts w:cstheme="minorHAnsi"/>
          <w:sz w:val="24"/>
          <w:szCs w:val="24"/>
        </w:rPr>
        <w:t>)</w:t>
      </w:r>
      <w:r w:rsidRPr="0092047B">
        <w:rPr>
          <w:rFonts w:cstheme="minorHAnsi"/>
          <w:sz w:val="24"/>
          <w:szCs w:val="24"/>
        </w:rPr>
        <w:t>.</w:t>
      </w:r>
    </w:p>
    <w:p w:rsidR="000248E0" w:rsidRPr="0092047B" w:rsidRDefault="000248E0" w:rsidP="00184DC1">
      <w:pPr>
        <w:pStyle w:val="Odstavecseseznamem"/>
        <w:numPr>
          <w:ilvl w:val="0"/>
          <w:numId w:val="88"/>
        </w:numPr>
        <w:spacing w:after="240" w:line="240" w:lineRule="auto"/>
        <w:ind w:left="709" w:hanging="425"/>
        <w:rPr>
          <w:rFonts w:cstheme="minorHAnsi"/>
          <w:sz w:val="24"/>
          <w:szCs w:val="24"/>
        </w:rPr>
      </w:pPr>
      <w:r w:rsidRPr="0092047B">
        <w:rPr>
          <w:rFonts w:cstheme="minorHAnsi"/>
          <w:sz w:val="24"/>
          <w:szCs w:val="24"/>
        </w:rPr>
        <w:t>Dovozní závislost nepřesahující 65 % do roku 2030 a 70 % do roku 2040 (jaderné palivo jako dovozový zdroj).</w:t>
      </w:r>
    </w:p>
    <w:p w:rsidR="000248E0" w:rsidRPr="0092047B" w:rsidRDefault="000248E0" w:rsidP="00184DC1">
      <w:pPr>
        <w:pStyle w:val="Odstavecseseznamem"/>
        <w:numPr>
          <w:ilvl w:val="0"/>
          <w:numId w:val="88"/>
        </w:numPr>
        <w:spacing w:after="240" w:line="240" w:lineRule="auto"/>
        <w:ind w:left="709" w:hanging="425"/>
        <w:rPr>
          <w:rFonts w:cstheme="minorHAnsi"/>
          <w:sz w:val="24"/>
          <w:szCs w:val="24"/>
        </w:rPr>
      </w:pPr>
      <w:r w:rsidRPr="0092047B">
        <w:rPr>
          <w:rFonts w:cstheme="minorHAnsi"/>
          <w:sz w:val="24"/>
          <w:szCs w:val="24"/>
        </w:rPr>
        <w:t>Konečné ceny (tržní</w:t>
      </w:r>
      <w:r w:rsidR="004955BA">
        <w:rPr>
          <w:rFonts w:cstheme="minorHAnsi"/>
          <w:sz w:val="24"/>
          <w:szCs w:val="24"/>
        </w:rPr>
        <w:t xml:space="preserve"> plus</w:t>
      </w:r>
      <w:r w:rsidRPr="0092047B">
        <w:rPr>
          <w:rFonts w:cstheme="minorHAnsi"/>
          <w:sz w:val="24"/>
          <w:szCs w:val="24"/>
        </w:rPr>
        <w:t xml:space="preserve"> regulovaná část) elektřiny pro podnikatelský sektor srovnatelné s vývojem v sousedních zemích (konečné ceny elektřiny na hladině vvn a vn)</w:t>
      </w:r>
      <w:r w:rsidR="00BA17F1" w:rsidRPr="0092047B">
        <w:rPr>
          <w:rFonts w:cstheme="minorHAnsi"/>
          <w:sz w:val="24"/>
          <w:szCs w:val="24"/>
        </w:rPr>
        <w:t xml:space="preserve"> a pod úrovní EU28, současně nejvýše 120</w:t>
      </w:r>
      <w:r w:rsidR="00BD35CF" w:rsidRPr="0092047B">
        <w:rPr>
          <w:rFonts w:cstheme="minorHAnsi"/>
          <w:sz w:val="24"/>
          <w:szCs w:val="24"/>
        </w:rPr>
        <w:t xml:space="preserve"> </w:t>
      </w:r>
      <w:r w:rsidR="00BA17F1" w:rsidRPr="0092047B">
        <w:rPr>
          <w:rFonts w:cstheme="minorHAnsi"/>
          <w:sz w:val="24"/>
          <w:szCs w:val="24"/>
        </w:rPr>
        <w:t>% průměru zemí OECD</w:t>
      </w:r>
      <w:r w:rsidRPr="0092047B">
        <w:rPr>
          <w:rFonts w:cstheme="minorHAnsi"/>
          <w:sz w:val="24"/>
          <w:szCs w:val="24"/>
        </w:rPr>
        <w:t>.</w:t>
      </w:r>
    </w:p>
    <w:p w:rsidR="000248E0" w:rsidRPr="0092047B" w:rsidRDefault="000248E0" w:rsidP="00184DC1">
      <w:pPr>
        <w:pStyle w:val="Odstavecseseznamem"/>
        <w:numPr>
          <w:ilvl w:val="0"/>
          <w:numId w:val="88"/>
        </w:numPr>
        <w:spacing w:after="240" w:line="240" w:lineRule="auto"/>
        <w:ind w:left="709" w:hanging="425"/>
        <w:rPr>
          <w:rFonts w:cstheme="minorHAnsi"/>
          <w:sz w:val="24"/>
          <w:szCs w:val="24"/>
        </w:rPr>
      </w:pPr>
      <w:r w:rsidRPr="0092047B">
        <w:rPr>
          <w:rFonts w:cstheme="minorHAnsi"/>
          <w:sz w:val="24"/>
          <w:szCs w:val="24"/>
        </w:rPr>
        <w:t xml:space="preserve">Klesající trend podílu </w:t>
      </w:r>
      <w:r w:rsidR="002A5E94" w:rsidRPr="0092047B">
        <w:rPr>
          <w:rFonts w:cstheme="minorHAnsi"/>
          <w:sz w:val="24"/>
          <w:szCs w:val="24"/>
        </w:rPr>
        <w:t>výdajů na</w:t>
      </w:r>
      <w:r w:rsidRPr="0092047B">
        <w:rPr>
          <w:rFonts w:cstheme="minorHAnsi"/>
          <w:sz w:val="24"/>
          <w:szCs w:val="24"/>
        </w:rPr>
        <w:t xml:space="preserve"> energie na </w:t>
      </w:r>
      <w:r w:rsidR="002A5E94" w:rsidRPr="0092047B">
        <w:rPr>
          <w:rFonts w:cstheme="minorHAnsi"/>
          <w:sz w:val="24"/>
          <w:szCs w:val="24"/>
        </w:rPr>
        <w:t xml:space="preserve">celkových </w:t>
      </w:r>
      <w:r w:rsidRPr="0092047B">
        <w:rPr>
          <w:rFonts w:cstheme="minorHAnsi"/>
          <w:sz w:val="24"/>
          <w:szCs w:val="24"/>
        </w:rPr>
        <w:t>výdajích domácností</w:t>
      </w:r>
      <w:r w:rsidR="00BA17F1" w:rsidRPr="0092047B">
        <w:rPr>
          <w:rFonts w:cstheme="minorHAnsi"/>
          <w:sz w:val="24"/>
          <w:szCs w:val="24"/>
        </w:rPr>
        <w:t xml:space="preserve"> s cílovou hodnotou pod 10</w:t>
      </w:r>
      <w:r w:rsidR="00BD35CF" w:rsidRPr="0092047B">
        <w:rPr>
          <w:rFonts w:cstheme="minorHAnsi"/>
          <w:sz w:val="24"/>
          <w:szCs w:val="24"/>
        </w:rPr>
        <w:t xml:space="preserve"> </w:t>
      </w:r>
      <w:r w:rsidR="00BA17F1" w:rsidRPr="0092047B">
        <w:rPr>
          <w:rFonts w:cstheme="minorHAnsi"/>
          <w:sz w:val="24"/>
          <w:szCs w:val="24"/>
        </w:rPr>
        <w:t xml:space="preserve">%. </w:t>
      </w:r>
    </w:p>
    <w:p w:rsidR="004A6A4B" w:rsidRPr="0092047B" w:rsidRDefault="00CD78BA" w:rsidP="00184DC1">
      <w:pPr>
        <w:pStyle w:val="Nadpis2"/>
      </w:pPr>
      <w:bookmarkStart w:id="418" w:name="_Toc396923387"/>
      <w:r w:rsidRPr="0092047B">
        <w:t>S</w:t>
      </w:r>
      <w:r w:rsidR="007E343C" w:rsidRPr="0092047B">
        <w:t>trategické priority energetiky ČR</w:t>
      </w:r>
      <w:bookmarkEnd w:id="417"/>
      <w:bookmarkEnd w:id="418"/>
    </w:p>
    <w:p w:rsidR="006E3CE4" w:rsidRPr="0092047B" w:rsidRDefault="006E3CE4" w:rsidP="00184DC1">
      <w:pPr>
        <w:pStyle w:val="Zkladntext3"/>
        <w:spacing w:after="120"/>
        <w:rPr>
          <w:rFonts w:cstheme="minorHAnsi"/>
          <w:sz w:val="24"/>
          <w:szCs w:val="24"/>
        </w:rPr>
      </w:pPr>
      <w:r w:rsidRPr="0092047B">
        <w:rPr>
          <w:rFonts w:cstheme="minorHAnsi"/>
          <w:sz w:val="24"/>
          <w:szCs w:val="24"/>
        </w:rPr>
        <w:t>Pro zajištění spolehlivých, bezpečných a</w:t>
      </w:r>
      <w:r w:rsidR="00491BAB" w:rsidRPr="0092047B">
        <w:rPr>
          <w:rFonts w:cstheme="minorHAnsi"/>
          <w:sz w:val="24"/>
          <w:szCs w:val="24"/>
        </w:rPr>
        <w:t> </w:t>
      </w:r>
      <w:r w:rsidRPr="0092047B">
        <w:rPr>
          <w:rFonts w:cstheme="minorHAnsi"/>
          <w:sz w:val="24"/>
          <w:szCs w:val="24"/>
        </w:rPr>
        <w:t>k životnímu prostředí šetrných dodávek energie pro potřeby obyvatelstva a</w:t>
      </w:r>
      <w:r w:rsidR="00491BAB" w:rsidRPr="0092047B">
        <w:rPr>
          <w:rFonts w:cstheme="minorHAnsi"/>
          <w:sz w:val="24"/>
          <w:szCs w:val="24"/>
        </w:rPr>
        <w:t> </w:t>
      </w:r>
      <w:r w:rsidRPr="0092047B">
        <w:rPr>
          <w:rFonts w:cstheme="minorHAnsi"/>
          <w:sz w:val="24"/>
          <w:szCs w:val="24"/>
        </w:rPr>
        <w:t>ekonomiky ČR za konkurenceschopné a</w:t>
      </w:r>
      <w:r w:rsidR="00491BAB" w:rsidRPr="0092047B">
        <w:rPr>
          <w:rFonts w:cstheme="minorHAnsi"/>
          <w:sz w:val="24"/>
          <w:szCs w:val="24"/>
        </w:rPr>
        <w:t> </w:t>
      </w:r>
      <w:r w:rsidRPr="0092047B">
        <w:rPr>
          <w:rFonts w:cstheme="minorHAnsi"/>
          <w:sz w:val="24"/>
          <w:szCs w:val="24"/>
        </w:rPr>
        <w:t>přijatelné ceny je nutno se zaměřit zejména na následující klíčové priority:</w:t>
      </w:r>
    </w:p>
    <w:p w:rsidR="006E3CE4" w:rsidRPr="0092047B" w:rsidRDefault="003D7415" w:rsidP="00184DC1">
      <w:pPr>
        <w:numPr>
          <w:ilvl w:val="0"/>
          <w:numId w:val="1"/>
        </w:numPr>
        <w:tabs>
          <w:tab w:val="clear" w:pos="360"/>
          <w:tab w:val="num" w:pos="567"/>
        </w:tabs>
        <w:ind w:left="567" w:hanging="283"/>
        <w:contextualSpacing/>
        <w:rPr>
          <w:rFonts w:cstheme="minorHAnsi"/>
          <w:szCs w:val="28"/>
        </w:rPr>
      </w:pPr>
      <w:r w:rsidRPr="0092047B">
        <w:rPr>
          <w:rFonts w:cstheme="minorHAnsi"/>
          <w:szCs w:val="28"/>
          <w:u w:val="single"/>
        </w:rPr>
        <w:t>Vyvážený energetický mix</w:t>
      </w:r>
      <w:r w:rsidRPr="0092047B">
        <w:rPr>
          <w:rFonts w:cstheme="minorHAnsi"/>
          <w:szCs w:val="28"/>
        </w:rPr>
        <w:t xml:space="preserve">: </w:t>
      </w:r>
      <w:r w:rsidR="006E3CE4" w:rsidRPr="0092047B">
        <w:rPr>
          <w:rFonts w:cstheme="minorHAnsi"/>
          <w:szCs w:val="28"/>
        </w:rPr>
        <w:t xml:space="preserve">Vyvážený mix </w:t>
      </w:r>
      <w:r w:rsidR="00E461EF" w:rsidRPr="0092047B">
        <w:rPr>
          <w:rFonts w:cstheme="minorHAnsi"/>
          <w:szCs w:val="28"/>
        </w:rPr>
        <w:t>primárních</w:t>
      </w:r>
      <w:r w:rsidR="00BD35CF" w:rsidRPr="0092047B">
        <w:rPr>
          <w:rFonts w:cstheme="minorHAnsi"/>
          <w:szCs w:val="28"/>
        </w:rPr>
        <w:t xml:space="preserve"> energetických</w:t>
      </w:r>
      <w:r w:rsidR="00E461EF" w:rsidRPr="0092047B">
        <w:rPr>
          <w:rFonts w:cstheme="minorHAnsi"/>
          <w:szCs w:val="28"/>
        </w:rPr>
        <w:t xml:space="preserve"> </w:t>
      </w:r>
      <w:r w:rsidR="006E3CE4" w:rsidRPr="0092047B">
        <w:rPr>
          <w:rFonts w:cstheme="minorHAnsi"/>
          <w:szCs w:val="28"/>
        </w:rPr>
        <w:t xml:space="preserve">zdrojů </w:t>
      </w:r>
      <w:r w:rsidR="00E461EF" w:rsidRPr="0092047B">
        <w:rPr>
          <w:rFonts w:cstheme="minorHAnsi"/>
          <w:szCs w:val="28"/>
        </w:rPr>
        <w:t xml:space="preserve">i zdrojů výroby elektřiny </w:t>
      </w:r>
      <w:r w:rsidR="006E3CE4" w:rsidRPr="0092047B">
        <w:rPr>
          <w:rFonts w:cstheme="minorHAnsi"/>
          <w:szCs w:val="28"/>
        </w:rPr>
        <w:t>založený na jejich širokém portfoliu, efektivním využití všech dostupných tuzemských energetických zdrojů a</w:t>
      </w:r>
      <w:r w:rsidR="00491BAB" w:rsidRPr="0092047B">
        <w:rPr>
          <w:rFonts w:cstheme="minorHAnsi"/>
          <w:szCs w:val="28"/>
        </w:rPr>
        <w:t> </w:t>
      </w:r>
      <w:r w:rsidR="004F0576" w:rsidRPr="0092047B">
        <w:rPr>
          <w:rFonts w:cstheme="minorHAnsi"/>
          <w:szCs w:val="28"/>
        </w:rPr>
        <w:t xml:space="preserve">pokrytí spotřeby </w:t>
      </w:r>
      <w:r w:rsidR="00E461EF" w:rsidRPr="0092047B">
        <w:rPr>
          <w:rFonts w:cstheme="minorHAnsi"/>
          <w:szCs w:val="28"/>
        </w:rPr>
        <w:t xml:space="preserve">ČR </w:t>
      </w:r>
      <w:r w:rsidR="004F0576" w:rsidRPr="0092047B">
        <w:rPr>
          <w:rFonts w:cstheme="minorHAnsi"/>
          <w:szCs w:val="28"/>
        </w:rPr>
        <w:t xml:space="preserve">zajištěnou výrobou </w:t>
      </w:r>
      <w:r w:rsidR="00E461EF" w:rsidRPr="0092047B">
        <w:rPr>
          <w:rFonts w:cstheme="minorHAnsi"/>
          <w:szCs w:val="28"/>
        </w:rPr>
        <w:t xml:space="preserve">elektřiny </w:t>
      </w:r>
      <w:r w:rsidR="004F0576" w:rsidRPr="0092047B">
        <w:rPr>
          <w:rFonts w:cstheme="minorHAnsi"/>
          <w:szCs w:val="28"/>
        </w:rPr>
        <w:t>do</w:t>
      </w:r>
      <w:r w:rsidR="006E3CE4" w:rsidRPr="0092047B">
        <w:rPr>
          <w:rFonts w:cstheme="minorHAnsi"/>
          <w:szCs w:val="28"/>
        </w:rPr>
        <w:t xml:space="preserve"> ES s</w:t>
      </w:r>
      <w:r w:rsidR="00491BAB" w:rsidRPr="0092047B">
        <w:rPr>
          <w:rFonts w:cstheme="minorHAnsi"/>
          <w:szCs w:val="28"/>
        </w:rPr>
        <w:t> </w:t>
      </w:r>
      <w:r w:rsidR="006E3CE4" w:rsidRPr="0092047B">
        <w:rPr>
          <w:rFonts w:cstheme="minorHAnsi"/>
          <w:szCs w:val="28"/>
        </w:rPr>
        <w:t xml:space="preserve">dostatkem rezerv. </w:t>
      </w:r>
      <w:r w:rsidR="0023471A" w:rsidRPr="0092047B">
        <w:rPr>
          <w:rFonts w:cstheme="minorHAnsi"/>
          <w:szCs w:val="28"/>
        </w:rPr>
        <w:t>Udržování dostupných strategických rezerv tuzemských forem energie.</w:t>
      </w:r>
    </w:p>
    <w:p w:rsidR="006E3CE4" w:rsidRPr="0092047B" w:rsidRDefault="003D7415" w:rsidP="00184DC1">
      <w:pPr>
        <w:numPr>
          <w:ilvl w:val="0"/>
          <w:numId w:val="1"/>
        </w:numPr>
        <w:tabs>
          <w:tab w:val="clear" w:pos="360"/>
          <w:tab w:val="num" w:pos="567"/>
        </w:tabs>
        <w:spacing w:before="120"/>
        <w:ind w:left="567" w:hanging="283"/>
        <w:contextualSpacing/>
        <w:rPr>
          <w:rFonts w:cstheme="minorHAnsi"/>
          <w:szCs w:val="28"/>
        </w:rPr>
      </w:pPr>
      <w:r w:rsidRPr="0092047B">
        <w:rPr>
          <w:rFonts w:cstheme="minorHAnsi"/>
          <w:szCs w:val="28"/>
          <w:u w:val="single"/>
        </w:rPr>
        <w:t>Úspory a účinnost</w:t>
      </w:r>
      <w:r w:rsidRPr="0092047B">
        <w:rPr>
          <w:rFonts w:cstheme="minorHAnsi"/>
          <w:szCs w:val="28"/>
        </w:rPr>
        <w:t xml:space="preserve">: </w:t>
      </w:r>
      <w:r w:rsidR="006E3CE4" w:rsidRPr="0092047B">
        <w:rPr>
          <w:rFonts w:cstheme="minorHAnsi"/>
          <w:szCs w:val="28"/>
        </w:rPr>
        <w:t>Zvyšování energetické účinnosti a</w:t>
      </w:r>
      <w:r w:rsidR="00491BAB" w:rsidRPr="0092047B">
        <w:rPr>
          <w:rFonts w:cstheme="minorHAnsi"/>
          <w:szCs w:val="28"/>
        </w:rPr>
        <w:t> </w:t>
      </w:r>
      <w:r w:rsidR="006E3CE4" w:rsidRPr="0092047B">
        <w:rPr>
          <w:rFonts w:cstheme="minorHAnsi"/>
          <w:szCs w:val="28"/>
        </w:rPr>
        <w:t xml:space="preserve">dosažení úspor energie </w:t>
      </w:r>
      <w:r w:rsidR="005667D0" w:rsidRPr="0092047B">
        <w:rPr>
          <w:rFonts w:cstheme="minorHAnsi"/>
          <w:szCs w:val="28"/>
        </w:rPr>
        <w:t xml:space="preserve">v celém energetickém řetězci </w:t>
      </w:r>
      <w:r w:rsidR="006E3CE4" w:rsidRPr="0092047B">
        <w:rPr>
          <w:rFonts w:cstheme="minorHAnsi"/>
          <w:szCs w:val="28"/>
        </w:rPr>
        <w:t>v</w:t>
      </w:r>
      <w:r w:rsidR="00491BAB" w:rsidRPr="0092047B">
        <w:rPr>
          <w:rFonts w:cstheme="minorHAnsi"/>
          <w:szCs w:val="28"/>
        </w:rPr>
        <w:t> </w:t>
      </w:r>
      <w:r w:rsidR="006E3CE4" w:rsidRPr="0092047B">
        <w:rPr>
          <w:rFonts w:cstheme="minorHAnsi"/>
          <w:szCs w:val="28"/>
        </w:rPr>
        <w:t>hospodářství i</w:t>
      </w:r>
      <w:r w:rsidR="00491BAB" w:rsidRPr="0092047B">
        <w:rPr>
          <w:rFonts w:cstheme="minorHAnsi"/>
          <w:szCs w:val="28"/>
        </w:rPr>
        <w:t> </w:t>
      </w:r>
      <w:r w:rsidR="006E3CE4" w:rsidRPr="0092047B">
        <w:rPr>
          <w:rFonts w:cstheme="minorHAnsi"/>
          <w:szCs w:val="28"/>
        </w:rPr>
        <w:t>v domácnostech</w:t>
      </w:r>
      <w:r w:rsidR="006E3CE4" w:rsidRPr="0092047B">
        <w:rPr>
          <w:rFonts w:cstheme="minorHAnsi"/>
          <w:i/>
          <w:iCs/>
          <w:szCs w:val="28"/>
        </w:rPr>
        <w:t>.</w:t>
      </w:r>
      <w:r w:rsidR="00E461EF" w:rsidRPr="0092047B">
        <w:rPr>
          <w:rFonts w:cstheme="minorHAnsi"/>
          <w:iCs/>
          <w:szCs w:val="28"/>
        </w:rPr>
        <w:t xml:space="preserve"> Naplnění strategických cílů snižování spotřeby EU a dosažení energetické účinnosti alespoň na úrovni průměru EU28.</w:t>
      </w:r>
    </w:p>
    <w:p w:rsidR="00032170" w:rsidRPr="0092047B" w:rsidRDefault="003D7415" w:rsidP="00184DC1">
      <w:pPr>
        <w:numPr>
          <w:ilvl w:val="0"/>
          <w:numId w:val="1"/>
        </w:numPr>
        <w:tabs>
          <w:tab w:val="clear" w:pos="360"/>
          <w:tab w:val="num" w:pos="567"/>
        </w:tabs>
        <w:spacing w:before="120"/>
        <w:ind w:left="567" w:hanging="283"/>
        <w:contextualSpacing/>
        <w:rPr>
          <w:rFonts w:cstheme="minorHAnsi"/>
          <w:szCs w:val="28"/>
        </w:rPr>
      </w:pPr>
      <w:r w:rsidRPr="0092047B">
        <w:rPr>
          <w:rFonts w:cstheme="minorHAnsi"/>
          <w:szCs w:val="28"/>
          <w:u w:val="single"/>
        </w:rPr>
        <w:t>Infrastruktura a mezinárodní spolupráce</w:t>
      </w:r>
      <w:r w:rsidRPr="0092047B">
        <w:rPr>
          <w:rFonts w:cstheme="minorHAnsi"/>
          <w:szCs w:val="28"/>
        </w:rPr>
        <w:t xml:space="preserve">: </w:t>
      </w:r>
      <w:r w:rsidR="00032170" w:rsidRPr="0092047B">
        <w:rPr>
          <w:rFonts w:cstheme="minorHAnsi"/>
          <w:szCs w:val="28"/>
        </w:rPr>
        <w:t>Rozvoj síťové infrastruktury ČR v kontextu zemí střední Evropy, posílení mezinárodní spolupráce a integra</w:t>
      </w:r>
      <w:r w:rsidR="0053384C" w:rsidRPr="0092047B">
        <w:rPr>
          <w:rFonts w:cstheme="minorHAnsi"/>
          <w:szCs w:val="28"/>
        </w:rPr>
        <w:t>ce trhů s elektřinou a plynem v </w:t>
      </w:r>
      <w:r w:rsidR="00032170" w:rsidRPr="0092047B">
        <w:rPr>
          <w:rFonts w:cstheme="minorHAnsi"/>
          <w:szCs w:val="28"/>
        </w:rPr>
        <w:t>regionu včetně podpory vytváření účinné a akceschopné společné energetické politiky EU</w:t>
      </w:r>
      <w:r w:rsidR="0071737A" w:rsidRPr="0092047B">
        <w:rPr>
          <w:rFonts w:cstheme="minorHAnsi"/>
          <w:szCs w:val="28"/>
        </w:rPr>
        <w:t>.</w:t>
      </w:r>
    </w:p>
    <w:p w:rsidR="006E3CE4" w:rsidRPr="0092047B" w:rsidRDefault="00D278FA" w:rsidP="00184DC1">
      <w:pPr>
        <w:numPr>
          <w:ilvl w:val="0"/>
          <w:numId w:val="1"/>
        </w:numPr>
        <w:tabs>
          <w:tab w:val="clear" w:pos="360"/>
          <w:tab w:val="num" w:pos="567"/>
        </w:tabs>
        <w:spacing w:before="120"/>
        <w:ind w:left="567" w:hanging="283"/>
        <w:contextualSpacing/>
        <w:rPr>
          <w:rFonts w:cstheme="minorHAnsi"/>
          <w:szCs w:val="28"/>
        </w:rPr>
      </w:pPr>
      <w:r>
        <w:rPr>
          <w:rFonts w:cstheme="minorHAnsi"/>
          <w:szCs w:val="28"/>
          <w:u w:val="single"/>
        </w:rPr>
        <w:t>Výzkum, vývoj</w:t>
      </w:r>
      <w:r w:rsidRPr="0092047B">
        <w:rPr>
          <w:rFonts w:cstheme="minorHAnsi"/>
          <w:szCs w:val="28"/>
          <w:u w:val="single"/>
        </w:rPr>
        <w:t xml:space="preserve"> </w:t>
      </w:r>
      <w:r w:rsidR="003D7415" w:rsidRPr="0092047B">
        <w:rPr>
          <w:rFonts w:cstheme="minorHAnsi"/>
          <w:szCs w:val="28"/>
          <w:u w:val="single"/>
        </w:rPr>
        <w:t>a inovace</w:t>
      </w:r>
      <w:r w:rsidR="003D7415" w:rsidRPr="0092047B">
        <w:rPr>
          <w:rFonts w:cstheme="minorHAnsi"/>
          <w:szCs w:val="28"/>
        </w:rPr>
        <w:t xml:space="preserve">: </w:t>
      </w:r>
      <w:r w:rsidR="006E3CE4" w:rsidRPr="0092047B">
        <w:rPr>
          <w:rFonts w:cstheme="minorHAnsi"/>
          <w:szCs w:val="28"/>
        </w:rPr>
        <w:t>Podpora výzkumu, vývoje a</w:t>
      </w:r>
      <w:r w:rsidR="00491BAB" w:rsidRPr="0092047B">
        <w:rPr>
          <w:rFonts w:cstheme="minorHAnsi"/>
          <w:szCs w:val="28"/>
        </w:rPr>
        <w:t> </w:t>
      </w:r>
      <w:r w:rsidR="006E3CE4" w:rsidRPr="0092047B">
        <w:rPr>
          <w:rFonts w:cstheme="minorHAnsi"/>
          <w:szCs w:val="28"/>
        </w:rPr>
        <w:t>inovací zajišťující konkurenceschopnost české energetiky a</w:t>
      </w:r>
      <w:r w:rsidR="00491BAB" w:rsidRPr="0092047B">
        <w:rPr>
          <w:rFonts w:cstheme="minorHAnsi"/>
          <w:szCs w:val="28"/>
        </w:rPr>
        <w:t> </w:t>
      </w:r>
      <w:r w:rsidR="006E3CE4" w:rsidRPr="0092047B">
        <w:rPr>
          <w:rFonts w:cstheme="minorHAnsi"/>
          <w:szCs w:val="28"/>
        </w:rPr>
        <w:t>podpora školství, s</w:t>
      </w:r>
      <w:r w:rsidR="00491BAB" w:rsidRPr="0092047B">
        <w:rPr>
          <w:rFonts w:cstheme="minorHAnsi"/>
          <w:szCs w:val="28"/>
        </w:rPr>
        <w:t> </w:t>
      </w:r>
      <w:r w:rsidR="006E3CE4" w:rsidRPr="0092047B">
        <w:rPr>
          <w:rFonts w:cstheme="minorHAnsi"/>
          <w:szCs w:val="28"/>
        </w:rPr>
        <w:t xml:space="preserve">cílem nutnosti </w:t>
      </w:r>
      <w:r w:rsidR="006E3CE4" w:rsidRPr="0092047B">
        <w:rPr>
          <w:rFonts w:cstheme="minorHAnsi"/>
        </w:rPr>
        <w:t>generační obměny a</w:t>
      </w:r>
      <w:r w:rsidR="00491BAB" w:rsidRPr="0092047B">
        <w:rPr>
          <w:rFonts w:cstheme="minorHAnsi"/>
        </w:rPr>
        <w:t> </w:t>
      </w:r>
      <w:r w:rsidR="006E3CE4" w:rsidRPr="0092047B">
        <w:rPr>
          <w:rFonts w:cstheme="minorHAnsi"/>
        </w:rPr>
        <w:t>zlepšení kvality technické inteligence v</w:t>
      </w:r>
      <w:r w:rsidR="00491BAB" w:rsidRPr="0092047B">
        <w:rPr>
          <w:rFonts w:cstheme="minorHAnsi"/>
        </w:rPr>
        <w:t> </w:t>
      </w:r>
      <w:r w:rsidR="006E3CE4" w:rsidRPr="0092047B">
        <w:rPr>
          <w:rFonts w:cstheme="minorHAnsi"/>
        </w:rPr>
        <w:t>oblasti energetiky.</w:t>
      </w:r>
    </w:p>
    <w:p w:rsidR="006E3CE4" w:rsidRPr="0092047B" w:rsidRDefault="00316715" w:rsidP="00184DC1">
      <w:pPr>
        <w:numPr>
          <w:ilvl w:val="0"/>
          <w:numId w:val="1"/>
        </w:numPr>
        <w:tabs>
          <w:tab w:val="clear" w:pos="360"/>
          <w:tab w:val="num" w:pos="567"/>
        </w:tabs>
        <w:spacing w:before="120"/>
        <w:ind w:left="567" w:hanging="283"/>
        <w:contextualSpacing/>
        <w:rPr>
          <w:rFonts w:cstheme="minorHAnsi"/>
        </w:rPr>
      </w:pPr>
      <w:r w:rsidRPr="0092047B">
        <w:rPr>
          <w:rFonts w:cstheme="minorHAnsi"/>
          <w:szCs w:val="28"/>
          <w:u w:val="single"/>
        </w:rPr>
        <w:t>Energetická bezpečnost</w:t>
      </w:r>
      <w:r w:rsidRPr="0092047B">
        <w:rPr>
          <w:rFonts w:cstheme="minorHAnsi"/>
          <w:szCs w:val="28"/>
        </w:rPr>
        <w:t xml:space="preserve">: </w:t>
      </w:r>
      <w:r w:rsidR="006E3CE4" w:rsidRPr="0092047B">
        <w:rPr>
          <w:rFonts w:cstheme="minorHAnsi"/>
          <w:szCs w:val="28"/>
        </w:rPr>
        <w:t>Zvýšení energetické bezpečnosti a</w:t>
      </w:r>
      <w:r w:rsidR="00491BAB" w:rsidRPr="0092047B">
        <w:rPr>
          <w:rFonts w:cstheme="minorHAnsi"/>
          <w:szCs w:val="28"/>
        </w:rPr>
        <w:t> </w:t>
      </w:r>
      <w:r w:rsidR="006E3CE4" w:rsidRPr="0092047B">
        <w:rPr>
          <w:rFonts w:cstheme="minorHAnsi"/>
          <w:szCs w:val="28"/>
        </w:rPr>
        <w:t>odolnosti ČR a</w:t>
      </w:r>
      <w:r w:rsidR="00491BAB" w:rsidRPr="0092047B">
        <w:rPr>
          <w:rFonts w:cstheme="minorHAnsi"/>
          <w:szCs w:val="28"/>
        </w:rPr>
        <w:t> </w:t>
      </w:r>
      <w:r w:rsidR="006E3CE4" w:rsidRPr="0092047B">
        <w:rPr>
          <w:rFonts w:cstheme="minorHAnsi"/>
          <w:szCs w:val="28"/>
        </w:rPr>
        <w:t>posílení schopnosti zajistit nezbytné dodávky energií v</w:t>
      </w:r>
      <w:r w:rsidR="00491BAB" w:rsidRPr="0092047B">
        <w:rPr>
          <w:rFonts w:cstheme="minorHAnsi"/>
          <w:szCs w:val="28"/>
        </w:rPr>
        <w:t> </w:t>
      </w:r>
      <w:r w:rsidR="006E3CE4" w:rsidRPr="0092047B">
        <w:rPr>
          <w:rFonts w:cstheme="minorHAnsi"/>
          <w:szCs w:val="28"/>
        </w:rPr>
        <w:t>případech kumulace poruch, vícenásobných útoků proti kritické infrastruktuře a</w:t>
      </w:r>
      <w:r w:rsidR="00491BAB" w:rsidRPr="0092047B">
        <w:rPr>
          <w:rFonts w:cstheme="minorHAnsi"/>
          <w:szCs w:val="28"/>
        </w:rPr>
        <w:t> </w:t>
      </w:r>
      <w:r w:rsidR="006E3CE4" w:rsidRPr="0092047B">
        <w:rPr>
          <w:rFonts w:cstheme="minorHAnsi"/>
          <w:szCs w:val="28"/>
        </w:rPr>
        <w:t>v případech déle</w:t>
      </w:r>
      <w:r w:rsidR="00A07B16" w:rsidRPr="0092047B">
        <w:rPr>
          <w:rFonts w:cstheme="minorHAnsi"/>
          <w:szCs w:val="28"/>
        </w:rPr>
        <w:t xml:space="preserve"> </w:t>
      </w:r>
      <w:r w:rsidR="006E3CE4" w:rsidRPr="0092047B">
        <w:rPr>
          <w:rFonts w:cstheme="minorHAnsi"/>
          <w:szCs w:val="28"/>
        </w:rPr>
        <w:t>trvajících krizí v</w:t>
      </w:r>
      <w:r w:rsidR="00491BAB" w:rsidRPr="0092047B">
        <w:rPr>
          <w:rFonts w:cstheme="minorHAnsi"/>
          <w:szCs w:val="28"/>
        </w:rPr>
        <w:t> </w:t>
      </w:r>
      <w:r w:rsidR="006E3CE4" w:rsidRPr="0092047B">
        <w:rPr>
          <w:rFonts w:cstheme="minorHAnsi"/>
          <w:szCs w:val="28"/>
        </w:rPr>
        <w:t>zásobování palivy.</w:t>
      </w:r>
    </w:p>
    <w:p w:rsidR="00CD78BA" w:rsidRPr="00E16455" w:rsidRDefault="00CD78BA" w:rsidP="00184DC1">
      <w:pPr>
        <w:pStyle w:val="Nadpis3"/>
      </w:pPr>
      <w:bookmarkStart w:id="419" w:name="_Toc241988071"/>
      <w:bookmarkStart w:id="420" w:name="_Toc241988202"/>
      <w:bookmarkStart w:id="421" w:name="_Toc241987940"/>
      <w:bookmarkStart w:id="422" w:name="_Toc241988072"/>
      <w:bookmarkStart w:id="423" w:name="_Toc241988203"/>
      <w:bookmarkStart w:id="424" w:name="_Toc241987941"/>
      <w:bookmarkStart w:id="425" w:name="_Toc241988073"/>
      <w:bookmarkStart w:id="426" w:name="_Toc241988204"/>
      <w:bookmarkStart w:id="427" w:name="_Toc241987942"/>
      <w:bookmarkStart w:id="428" w:name="_Toc241988074"/>
      <w:bookmarkStart w:id="429" w:name="_Toc241988205"/>
      <w:bookmarkStart w:id="430" w:name="_Toc241987943"/>
      <w:bookmarkStart w:id="431" w:name="_Toc241988075"/>
      <w:bookmarkStart w:id="432" w:name="_Toc241988206"/>
      <w:bookmarkStart w:id="433" w:name="_Toc241987944"/>
      <w:bookmarkStart w:id="434" w:name="_Toc241988076"/>
      <w:bookmarkStart w:id="435" w:name="_Toc241988207"/>
      <w:bookmarkStart w:id="436" w:name="_Toc241987945"/>
      <w:bookmarkStart w:id="437" w:name="_Toc241988077"/>
      <w:bookmarkStart w:id="438" w:name="_Toc241988208"/>
      <w:bookmarkStart w:id="439" w:name="_Toc241987946"/>
      <w:bookmarkStart w:id="440" w:name="_Toc241988078"/>
      <w:bookmarkStart w:id="441" w:name="_Toc241988209"/>
      <w:bookmarkStart w:id="442" w:name="_Toc241987947"/>
      <w:bookmarkStart w:id="443" w:name="_Toc241988079"/>
      <w:bookmarkStart w:id="444" w:name="_Toc241988210"/>
      <w:bookmarkStart w:id="445" w:name="_Toc241987948"/>
      <w:bookmarkStart w:id="446" w:name="_Toc241988080"/>
      <w:bookmarkStart w:id="447" w:name="_Toc241988211"/>
      <w:bookmarkStart w:id="448" w:name="_Toc241987949"/>
      <w:bookmarkStart w:id="449" w:name="_Toc241988081"/>
      <w:bookmarkStart w:id="450" w:name="_Toc241988212"/>
      <w:bookmarkStart w:id="451" w:name="_Toc241987950"/>
      <w:bookmarkStart w:id="452" w:name="_Toc241988082"/>
      <w:bookmarkStart w:id="453" w:name="_Toc241988213"/>
      <w:bookmarkStart w:id="454" w:name="_Toc241987951"/>
      <w:bookmarkStart w:id="455" w:name="_Toc241988083"/>
      <w:bookmarkStart w:id="456" w:name="_Toc241988214"/>
      <w:bookmarkStart w:id="457" w:name="_Toc241987952"/>
      <w:bookmarkStart w:id="458" w:name="_Toc241988084"/>
      <w:bookmarkStart w:id="459" w:name="_Toc241988215"/>
      <w:bookmarkStart w:id="460" w:name="_Toc241987953"/>
      <w:bookmarkStart w:id="461" w:name="_Toc241988085"/>
      <w:bookmarkStart w:id="462" w:name="_Toc241988216"/>
      <w:bookmarkStart w:id="463" w:name="_Toc241987954"/>
      <w:bookmarkStart w:id="464" w:name="_Toc241988086"/>
      <w:bookmarkStart w:id="465" w:name="_Toc241988217"/>
      <w:bookmarkStart w:id="466" w:name="_Toc241987955"/>
      <w:bookmarkStart w:id="467" w:name="_Toc241988087"/>
      <w:bookmarkStart w:id="468" w:name="_Toc241988218"/>
      <w:bookmarkStart w:id="469" w:name="_Toc241987956"/>
      <w:bookmarkStart w:id="470" w:name="_Toc241988088"/>
      <w:bookmarkStart w:id="471" w:name="_Toc241988219"/>
      <w:bookmarkStart w:id="472" w:name="_Toc241987957"/>
      <w:bookmarkStart w:id="473" w:name="_Toc241988089"/>
      <w:bookmarkStart w:id="474" w:name="_Toc241988220"/>
      <w:bookmarkStart w:id="475" w:name="_Toc241987958"/>
      <w:bookmarkStart w:id="476" w:name="_Toc241988090"/>
      <w:bookmarkStart w:id="477" w:name="_Toc241988221"/>
      <w:bookmarkStart w:id="478" w:name="_Toc241987959"/>
      <w:bookmarkStart w:id="479" w:name="_Toc241988091"/>
      <w:bookmarkStart w:id="480" w:name="_Toc241988222"/>
      <w:bookmarkStart w:id="481" w:name="_Toc241987960"/>
      <w:bookmarkStart w:id="482" w:name="_Toc241988092"/>
      <w:bookmarkStart w:id="483" w:name="_Toc241988223"/>
      <w:bookmarkStart w:id="484" w:name="_Toc241987961"/>
      <w:bookmarkStart w:id="485" w:name="_Toc241988093"/>
      <w:bookmarkStart w:id="486" w:name="_Toc241988224"/>
      <w:bookmarkStart w:id="487" w:name="_Toc241987962"/>
      <w:bookmarkStart w:id="488" w:name="_Toc241988094"/>
      <w:bookmarkStart w:id="489" w:name="_Toc241988225"/>
      <w:bookmarkStart w:id="490" w:name="_Toc241987963"/>
      <w:bookmarkStart w:id="491" w:name="_Toc241988095"/>
      <w:bookmarkStart w:id="492" w:name="_Toc241988226"/>
      <w:bookmarkStart w:id="493" w:name="_Toc241987964"/>
      <w:bookmarkStart w:id="494" w:name="_Toc241988096"/>
      <w:bookmarkStart w:id="495" w:name="_Toc241988227"/>
      <w:bookmarkStart w:id="496" w:name="_Toc241987965"/>
      <w:bookmarkStart w:id="497" w:name="_Toc241988097"/>
      <w:bookmarkStart w:id="498" w:name="_Toc241988228"/>
      <w:bookmarkStart w:id="499" w:name="_Toc241987966"/>
      <w:bookmarkStart w:id="500" w:name="_Toc241988098"/>
      <w:bookmarkStart w:id="501" w:name="_Toc241988229"/>
      <w:bookmarkStart w:id="502" w:name="_Toc241987967"/>
      <w:bookmarkStart w:id="503" w:name="_Toc241988099"/>
      <w:bookmarkStart w:id="504" w:name="_Toc241988230"/>
      <w:bookmarkStart w:id="505" w:name="_Toc241987968"/>
      <w:bookmarkStart w:id="506" w:name="_Toc241988100"/>
      <w:bookmarkStart w:id="507" w:name="_Toc241988231"/>
      <w:bookmarkStart w:id="508" w:name="_Toc241987969"/>
      <w:bookmarkStart w:id="509" w:name="_Toc241988101"/>
      <w:bookmarkStart w:id="510" w:name="_Toc241988232"/>
      <w:bookmarkStart w:id="511" w:name="_Toc241987970"/>
      <w:bookmarkStart w:id="512" w:name="_Toc241988102"/>
      <w:bookmarkStart w:id="513" w:name="_Toc241988233"/>
      <w:bookmarkStart w:id="514" w:name="_Toc241987971"/>
      <w:bookmarkStart w:id="515" w:name="_Toc241988103"/>
      <w:bookmarkStart w:id="516" w:name="_Toc241988234"/>
      <w:bookmarkStart w:id="517" w:name="_Toc241987972"/>
      <w:bookmarkStart w:id="518" w:name="_Toc241988104"/>
      <w:bookmarkStart w:id="519" w:name="_Toc241988235"/>
      <w:bookmarkStart w:id="520" w:name="_Toc241987973"/>
      <w:bookmarkStart w:id="521" w:name="_Toc241988105"/>
      <w:bookmarkStart w:id="522" w:name="_Toc241988236"/>
      <w:bookmarkStart w:id="523" w:name="_Toc241987974"/>
      <w:bookmarkStart w:id="524" w:name="_Toc241988106"/>
      <w:bookmarkStart w:id="525" w:name="_Toc241988237"/>
      <w:bookmarkStart w:id="526" w:name="_Toc241987975"/>
      <w:bookmarkStart w:id="527" w:name="_Toc241988107"/>
      <w:bookmarkStart w:id="528" w:name="_Toc241988238"/>
      <w:bookmarkStart w:id="529" w:name="_Toc241987976"/>
      <w:bookmarkStart w:id="530" w:name="_Toc241988108"/>
      <w:bookmarkStart w:id="531" w:name="_Toc241988239"/>
      <w:bookmarkStart w:id="532" w:name="_Toc241987977"/>
      <w:bookmarkStart w:id="533" w:name="_Toc241988109"/>
      <w:bookmarkStart w:id="534" w:name="_Toc241988240"/>
      <w:bookmarkStart w:id="535" w:name="_Toc241987978"/>
      <w:bookmarkStart w:id="536" w:name="_Toc241988110"/>
      <w:bookmarkStart w:id="537" w:name="_Toc241988241"/>
      <w:bookmarkStart w:id="538" w:name="_Toc241987979"/>
      <w:bookmarkStart w:id="539" w:name="_Toc241988111"/>
      <w:bookmarkStart w:id="540" w:name="_Toc241988242"/>
      <w:bookmarkStart w:id="541" w:name="_Toc241987980"/>
      <w:bookmarkStart w:id="542" w:name="_Toc241988112"/>
      <w:bookmarkStart w:id="543" w:name="_Toc241988243"/>
      <w:bookmarkStart w:id="544" w:name="_Toc241987981"/>
      <w:bookmarkStart w:id="545" w:name="_Toc241988113"/>
      <w:bookmarkStart w:id="546" w:name="_Toc241988244"/>
      <w:bookmarkStart w:id="547" w:name="_Toc241987982"/>
      <w:bookmarkStart w:id="548" w:name="_Toc241988114"/>
      <w:bookmarkStart w:id="549" w:name="_Toc241988245"/>
      <w:bookmarkStart w:id="550" w:name="_Toc241987983"/>
      <w:bookmarkStart w:id="551" w:name="_Toc241988115"/>
      <w:bookmarkStart w:id="552" w:name="_Toc241988246"/>
      <w:bookmarkStart w:id="553" w:name="_Toc241987984"/>
      <w:bookmarkStart w:id="554" w:name="_Toc241988116"/>
      <w:bookmarkStart w:id="555" w:name="_Toc241988247"/>
      <w:bookmarkStart w:id="556" w:name="_Toc241987985"/>
      <w:bookmarkStart w:id="557" w:name="_Toc241988117"/>
      <w:bookmarkStart w:id="558" w:name="_Toc241988248"/>
      <w:bookmarkStart w:id="559" w:name="_Toc241987986"/>
      <w:bookmarkStart w:id="560" w:name="_Toc241988118"/>
      <w:bookmarkStart w:id="561" w:name="_Toc241988249"/>
      <w:bookmarkStart w:id="562" w:name="_Toc241987987"/>
      <w:bookmarkStart w:id="563" w:name="_Toc241988119"/>
      <w:bookmarkStart w:id="564" w:name="_Toc241988250"/>
      <w:bookmarkStart w:id="565" w:name="_Toc241987988"/>
      <w:bookmarkStart w:id="566" w:name="_Toc241988120"/>
      <w:bookmarkStart w:id="567" w:name="_Toc241988251"/>
      <w:bookmarkStart w:id="568" w:name="_Toc241987989"/>
      <w:bookmarkStart w:id="569" w:name="_Toc241988121"/>
      <w:bookmarkStart w:id="570" w:name="_Toc241988252"/>
      <w:bookmarkStart w:id="571" w:name="_Toc241987990"/>
      <w:bookmarkStart w:id="572" w:name="_Toc241988122"/>
      <w:bookmarkStart w:id="573" w:name="_Toc241988253"/>
      <w:bookmarkStart w:id="574" w:name="_Toc241987991"/>
      <w:bookmarkStart w:id="575" w:name="_Toc241988123"/>
      <w:bookmarkStart w:id="576" w:name="_Toc241988254"/>
      <w:bookmarkStart w:id="577" w:name="_Toc241987992"/>
      <w:bookmarkStart w:id="578" w:name="_Toc241988124"/>
      <w:bookmarkStart w:id="579" w:name="_Toc241988255"/>
      <w:bookmarkStart w:id="580" w:name="_Toc241987993"/>
      <w:bookmarkStart w:id="581" w:name="_Toc241988125"/>
      <w:bookmarkStart w:id="582" w:name="_Toc241988256"/>
      <w:bookmarkStart w:id="583" w:name="_Toc241987994"/>
      <w:bookmarkStart w:id="584" w:name="_Toc241988126"/>
      <w:bookmarkStart w:id="585" w:name="_Toc241988257"/>
      <w:bookmarkStart w:id="586" w:name="_Toc241987995"/>
      <w:bookmarkStart w:id="587" w:name="_Toc241988127"/>
      <w:bookmarkStart w:id="588" w:name="_Toc241988258"/>
      <w:bookmarkStart w:id="589" w:name="_Toc241987996"/>
      <w:bookmarkStart w:id="590" w:name="_Toc241988128"/>
      <w:bookmarkStart w:id="591" w:name="_Toc241988259"/>
      <w:bookmarkStart w:id="592" w:name="_Toc241987997"/>
      <w:bookmarkStart w:id="593" w:name="_Toc241988129"/>
      <w:bookmarkStart w:id="594" w:name="_Toc241988260"/>
      <w:bookmarkStart w:id="595" w:name="_Toc241987998"/>
      <w:bookmarkStart w:id="596" w:name="_Toc241988130"/>
      <w:bookmarkStart w:id="597" w:name="_Toc241988261"/>
      <w:bookmarkStart w:id="598" w:name="_Toc241987999"/>
      <w:bookmarkStart w:id="599" w:name="_Toc241988131"/>
      <w:bookmarkStart w:id="600" w:name="_Toc241988262"/>
      <w:bookmarkStart w:id="601" w:name="_Toc241988000"/>
      <w:bookmarkStart w:id="602" w:name="_Toc241988132"/>
      <w:bookmarkStart w:id="603" w:name="_Toc241988263"/>
      <w:bookmarkStart w:id="604" w:name="_Toc241988001"/>
      <w:bookmarkStart w:id="605" w:name="_Toc241988133"/>
      <w:bookmarkStart w:id="606" w:name="_Toc241988264"/>
      <w:bookmarkStart w:id="607" w:name="_Toc241988002"/>
      <w:bookmarkStart w:id="608" w:name="_Toc241988134"/>
      <w:bookmarkStart w:id="609" w:name="_Toc241988265"/>
      <w:bookmarkStart w:id="610" w:name="_Toc241988003"/>
      <w:bookmarkStart w:id="611" w:name="_Toc241988135"/>
      <w:bookmarkStart w:id="612" w:name="_Toc241988266"/>
      <w:bookmarkStart w:id="613" w:name="_Toc241988004"/>
      <w:bookmarkStart w:id="614" w:name="_Toc241988136"/>
      <w:bookmarkStart w:id="615" w:name="_Toc241988267"/>
      <w:bookmarkStart w:id="616" w:name="_Toc241988005"/>
      <w:bookmarkStart w:id="617" w:name="_Toc241988137"/>
      <w:bookmarkStart w:id="618" w:name="_Toc241988268"/>
      <w:bookmarkStart w:id="619" w:name="_Toc241988006"/>
      <w:bookmarkStart w:id="620" w:name="_Toc241988138"/>
      <w:bookmarkStart w:id="621" w:name="_Toc241988269"/>
      <w:bookmarkStart w:id="622" w:name="_Toc241988007"/>
      <w:bookmarkStart w:id="623" w:name="_Toc241988139"/>
      <w:bookmarkStart w:id="624" w:name="_Toc241988270"/>
      <w:bookmarkStart w:id="625" w:name="_Toc241988008"/>
      <w:bookmarkStart w:id="626" w:name="_Toc241988140"/>
      <w:bookmarkStart w:id="627" w:name="_Toc241988271"/>
      <w:bookmarkStart w:id="628" w:name="_Toc241988009"/>
      <w:bookmarkStart w:id="629" w:name="_Toc241988141"/>
      <w:bookmarkStart w:id="630" w:name="_Toc241988272"/>
      <w:bookmarkStart w:id="631" w:name="_Toc241988010"/>
      <w:bookmarkStart w:id="632" w:name="_Toc241988142"/>
      <w:bookmarkStart w:id="633" w:name="_Toc241988273"/>
      <w:bookmarkStart w:id="634" w:name="_Toc241988011"/>
      <w:bookmarkStart w:id="635" w:name="_Toc241988143"/>
      <w:bookmarkStart w:id="636" w:name="_Toc241988274"/>
      <w:bookmarkStart w:id="637" w:name="_Toc241988012"/>
      <w:bookmarkStart w:id="638" w:name="_Toc241988144"/>
      <w:bookmarkStart w:id="639" w:name="_Toc241988275"/>
      <w:bookmarkStart w:id="640" w:name="_Toc241988013"/>
      <w:bookmarkStart w:id="641" w:name="_Toc241988145"/>
      <w:bookmarkStart w:id="642" w:name="_Toc241988276"/>
      <w:bookmarkStart w:id="643" w:name="_Toc241988014"/>
      <w:bookmarkStart w:id="644" w:name="_Toc241988146"/>
      <w:bookmarkStart w:id="645" w:name="_Toc241988277"/>
      <w:bookmarkStart w:id="646" w:name="_Toc241988015"/>
      <w:bookmarkStart w:id="647" w:name="_Toc241988147"/>
      <w:bookmarkStart w:id="648" w:name="_Toc241988278"/>
      <w:bookmarkStart w:id="649" w:name="_Toc241988016"/>
      <w:bookmarkStart w:id="650" w:name="_Toc241988148"/>
      <w:bookmarkStart w:id="651" w:name="_Toc241988279"/>
      <w:bookmarkStart w:id="652" w:name="_Toc241988017"/>
      <w:bookmarkStart w:id="653" w:name="_Toc241988149"/>
      <w:bookmarkStart w:id="654" w:name="_Toc241988280"/>
      <w:bookmarkStart w:id="655" w:name="_Toc241988018"/>
      <w:bookmarkStart w:id="656" w:name="_Toc241988150"/>
      <w:bookmarkStart w:id="657" w:name="_Toc241988281"/>
      <w:bookmarkStart w:id="658" w:name="_Toc241988019"/>
      <w:bookmarkStart w:id="659" w:name="_Toc241988151"/>
      <w:bookmarkStart w:id="660" w:name="_Toc241988282"/>
      <w:bookmarkStart w:id="661" w:name="_Toc241988020"/>
      <w:bookmarkStart w:id="662" w:name="_Toc241988152"/>
      <w:bookmarkStart w:id="663" w:name="_Toc241988283"/>
      <w:bookmarkStart w:id="664" w:name="_Toc241988021"/>
      <w:bookmarkStart w:id="665" w:name="_Toc241988153"/>
      <w:bookmarkStart w:id="666" w:name="_Toc241988284"/>
      <w:bookmarkStart w:id="667" w:name="_Toc241988022"/>
      <w:bookmarkStart w:id="668" w:name="_Toc241988154"/>
      <w:bookmarkStart w:id="669" w:name="_Toc241988285"/>
      <w:bookmarkStart w:id="670" w:name="_Toc241988023"/>
      <w:bookmarkStart w:id="671" w:name="_Toc241988155"/>
      <w:bookmarkStart w:id="672" w:name="_Toc241988286"/>
      <w:bookmarkStart w:id="673" w:name="_Toc241988024"/>
      <w:bookmarkStart w:id="674" w:name="_Toc241988156"/>
      <w:bookmarkStart w:id="675" w:name="_Toc241988287"/>
      <w:bookmarkStart w:id="676" w:name="_Toc241988025"/>
      <w:bookmarkStart w:id="677" w:name="_Toc241988157"/>
      <w:bookmarkStart w:id="678" w:name="_Toc241988288"/>
      <w:bookmarkStart w:id="679" w:name="_Toc241988026"/>
      <w:bookmarkStart w:id="680" w:name="_Toc241988158"/>
      <w:bookmarkStart w:id="681" w:name="_Toc241988289"/>
      <w:bookmarkStart w:id="682" w:name="_Toc241988027"/>
      <w:bookmarkStart w:id="683" w:name="_Toc241988159"/>
      <w:bookmarkStart w:id="684" w:name="_Toc241988290"/>
      <w:bookmarkStart w:id="685" w:name="_Toc241988028"/>
      <w:bookmarkStart w:id="686" w:name="_Toc241988160"/>
      <w:bookmarkStart w:id="687" w:name="_Toc241988291"/>
      <w:bookmarkStart w:id="688" w:name="_Toc241988029"/>
      <w:bookmarkStart w:id="689" w:name="_Toc241988161"/>
      <w:bookmarkStart w:id="690" w:name="_Toc241988292"/>
      <w:bookmarkStart w:id="691" w:name="_Toc241988030"/>
      <w:bookmarkStart w:id="692" w:name="_Toc241988162"/>
      <w:bookmarkStart w:id="693" w:name="_Toc241988293"/>
      <w:bookmarkStart w:id="694" w:name="_Toc241988031"/>
      <w:bookmarkStart w:id="695" w:name="_Toc241988163"/>
      <w:bookmarkStart w:id="696" w:name="_Toc241988294"/>
      <w:bookmarkStart w:id="697" w:name="_Toc241988032"/>
      <w:bookmarkStart w:id="698" w:name="_Toc241988164"/>
      <w:bookmarkStart w:id="699" w:name="_Toc241988295"/>
      <w:bookmarkStart w:id="700" w:name="_Toc241988033"/>
      <w:bookmarkStart w:id="701" w:name="_Toc241988165"/>
      <w:bookmarkStart w:id="702" w:name="_Toc241988296"/>
      <w:bookmarkStart w:id="703" w:name="_Toc241988034"/>
      <w:bookmarkStart w:id="704" w:name="_Toc241988166"/>
      <w:bookmarkStart w:id="705" w:name="_Toc241988297"/>
      <w:bookmarkStart w:id="706" w:name="_Toc241988035"/>
      <w:bookmarkStart w:id="707" w:name="_Toc241988167"/>
      <w:bookmarkStart w:id="708" w:name="_Toc241988298"/>
      <w:bookmarkStart w:id="709" w:name="_Toc241988036"/>
      <w:bookmarkStart w:id="710" w:name="_Toc241988168"/>
      <w:bookmarkStart w:id="711" w:name="_Toc241988299"/>
      <w:bookmarkStart w:id="712" w:name="_Toc241988037"/>
      <w:bookmarkStart w:id="713" w:name="_Toc241988169"/>
      <w:bookmarkStart w:id="714" w:name="_Toc241988300"/>
      <w:bookmarkStart w:id="715" w:name="_Toc241988038"/>
      <w:bookmarkStart w:id="716" w:name="_Toc241988170"/>
      <w:bookmarkStart w:id="717" w:name="_Toc241988301"/>
      <w:bookmarkStart w:id="718" w:name="_Toc241988039"/>
      <w:bookmarkStart w:id="719" w:name="_Toc241988171"/>
      <w:bookmarkStart w:id="720" w:name="_Toc241988302"/>
      <w:bookmarkStart w:id="721" w:name="_Toc241988040"/>
      <w:bookmarkStart w:id="722" w:name="_Toc241988172"/>
      <w:bookmarkStart w:id="723" w:name="_Toc241988303"/>
      <w:bookmarkStart w:id="724" w:name="_Toc241988041"/>
      <w:bookmarkStart w:id="725" w:name="_Toc241988173"/>
      <w:bookmarkStart w:id="726" w:name="_Toc241988304"/>
      <w:bookmarkStart w:id="727" w:name="_Toc241988042"/>
      <w:bookmarkStart w:id="728" w:name="_Toc241988174"/>
      <w:bookmarkStart w:id="729" w:name="_Toc241988305"/>
      <w:bookmarkStart w:id="730" w:name="_Toc241988043"/>
      <w:bookmarkStart w:id="731" w:name="_Toc241988175"/>
      <w:bookmarkStart w:id="732" w:name="_Toc241988306"/>
      <w:bookmarkStart w:id="733" w:name="_Toc241988044"/>
      <w:bookmarkStart w:id="734" w:name="_Toc241988176"/>
      <w:bookmarkStart w:id="735" w:name="_Toc241988307"/>
      <w:bookmarkStart w:id="736" w:name="_Toc241988045"/>
      <w:bookmarkStart w:id="737" w:name="_Toc241988177"/>
      <w:bookmarkStart w:id="738" w:name="_Toc241988308"/>
      <w:bookmarkStart w:id="739" w:name="_Toc241988046"/>
      <w:bookmarkStart w:id="740" w:name="_Toc241988178"/>
      <w:bookmarkStart w:id="741" w:name="_Toc241988309"/>
      <w:bookmarkStart w:id="742" w:name="_Toc241988047"/>
      <w:bookmarkStart w:id="743" w:name="_Toc241988179"/>
      <w:bookmarkStart w:id="744" w:name="_Toc241988310"/>
      <w:bookmarkStart w:id="745" w:name="_Toc241988048"/>
      <w:bookmarkStart w:id="746" w:name="_Toc241988180"/>
      <w:bookmarkStart w:id="747" w:name="_Toc241988311"/>
      <w:bookmarkStart w:id="748" w:name="_Toc241988049"/>
      <w:bookmarkStart w:id="749" w:name="_Toc241988181"/>
      <w:bookmarkStart w:id="750" w:name="_Toc241988312"/>
      <w:bookmarkStart w:id="751" w:name="_Toc241988050"/>
      <w:bookmarkStart w:id="752" w:name="_Toc241988182"/>
      <w:bookmarkStart w:id="753" w:name="_Toc241988313"/>
      <w:bookmarkStart w:id="754" w:name="_Toc241988051"/>
      <w:bookmarkStart w:id="755" w:name="_Toc241988183"/>
      <w:bookmarkStart w:id="756" w:name="_Toc241988314"/>
      <w:bookmarkStart w:id="757" w:name="_Toc241988052"/>
      <w:bookmarkStart w:id="758" w:name="_Toc241988184"/>
      <w:bookmarkStart w:id="759" w:name="_Toc241988315"/>
      <w:bookmarkStart w:id="760" w:name="_Toc241988053"/>
      <w:bookmarkStart w:id="761" w:name="_Toc241988185"/>
      <w:bookmarkStart w:id="762" w:name="_Toc241988316"/>
      <w:bookmarkStart w:id="763" w:name="_Toc241988054"/>
      <w:bookmarkStart w:id="764" w:name="_Toc241988186"/>
      <w:bookmarkStart w:id="765" w:name="_Toc241988317"/>
      <w:bookmarkStart w:id="766" w:name="_Toc241988055"/>
      <w:bookmarkStart w:id="767" w:name="_Toc241988187"/>
      <w:bookmarkStart w:id="768" w:name="_Toc241988318"/>
      <w:bookmarkStart w:id="769" w:name="_Toc241988056"/>
      <w:bookmarkStart w:id="770" w:name="_Toc241988188"/>
      <w:bookmarkStart w:id="771" w:name="_Toc241988319"/>
      <w:bookmarkStart w:id="772" w:name="_Toc241988057"/>
      <w:bookmarkStart w:id="773" w:name="_Toc241988189"/>
      <w:bookmarkStart w:id="774" w:name="_Toc241988320"/>
      <w:bookmarkStart w:id="775" w:name="_Toc241988058"/>
      <w:bookmarkStart w:id="776" w:name="_Toc241988190"/>
      <w:bookmarkStart w:id="777" w:name="_Toc241988321"/>
      <w:bookmarkStart w:id="778" w:name="_Toc241988059"/>
      <w:bookmarkStart w:id="779" w:name="_Toc241988191"/>
      <w:bookmarkStart w:id="780" w:name="_Toc241988322"/>
      <w:bookmarkStart w:id="781" w:name="_Toc39692338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E16455">
        <w:t>Priorita I</w:t>
      </w:r>
      <w:r w:rsidR="003D7415" w:rsidRPr="00E16455">
        <w:t xml:space="preserve"> – Vyvážený energetický mix</w:t>
      </w:r>
      <w:bookmarkEnd w:id="781"/>
    </w:p>
    <w:p w:rsidR="006E3CE4" w:rsidRPr="0092047B" w:rsidRDefault="00817724" w:rsidP="00184DC1">
      <w:pPr>
        <w:spacing w:before="240" w:after="120"/>
        <w:rPr>
          <w:rFonts w:cstheme="minorHAnsi"/>
        </w:rPr>
      </w:pPr>
      <w:r w:rsidRPr="0092047B">
        <w:rPr>
          <w:rFonts w:cstheme="minorHAnsi"/>
        </w:rPr>
        <w:t>Priorita I</w:t>
      </w:r>
      <w:r w:rsidR="00CD78BA" w:rsidRPr="0092047B">
        <w:rPr>
          <w:rFonts w:cstheme="minorHAnsi"/>
        </w:rPr>
        <w:t>:</w:t>
      </w:r>
      <w:r w:rsidR="00CD78BA" w:rsidRPr="0092047B">
        <w:rPr>
          <w:rFonts w:cstheme="minorHAnsi"/>
          <w:u w:val="single"/>
        </w:rPr>
        <w:t xml:space="preserve"> </w:t>
      </w:r>
      <w:r w:rsidR="00032170" w:rsidRPr="0092047B">
        <w:rPr>
          <w:rFonts w:cstheme="minorHAnsi"/>
          <w:b/>
          <w:u w:val="single"/>
        </w:rPr>
        <w:t xml:space="preserve">Vyvážený mix </w:t>
      </w:r>
      <w:r w:rsidR="00E461EF" w:rsidRPr="0092047B">
        <w:rPr>
          <w:rFonts w:cstheme="minorHAnsi"/>
          <w:b/>
          <w:u w:val="single"/>
        </w:rPr>
        <w:t xml:space="preserve">primárních </w:t>
      </w:r>
      <w:r w:rsidR="00E56201" w:rsidRPr="0092047B">
        <w:rPr>
          <w:rFonts w:cstheme="minorHAnsi"/>
          <w:b/>
          <w:u w:val="single"/>
        </w:rPr>
        <w:t xml:space="preserve">energetických </w:t>
      </w:r>
      <w:r w:rsidR="00032170" w:rsidRPr="0092047B">
        <w:rPr>
          <w:rFonts w:cstheme="minorHAnsi"/>
          <w:b/>
          <w:u w:val="single"/>
        </w:rPr>
        <w:t xml:space="preserve">zdrojů </w:t>
      </w:r>
      <w:r w:rsidR="00E461EF" w:rsidRPr="0092047B">
        <w:rPr>
          <w:rFonts w:cstheme="minorHAnsi"/>
          <w:b/>
          <w:u w:val="single"/>
        </w:rPr>
        <w:t xml:space="preserve">i zdrojů výroby elektřiny </w:t>
      </w:r>
      <w:r w:rsidR="00032170" w:rsidRPr="0092047B">
        <w:rPr>
          <w:rFonts w:cstheme="minorHAnsi"/>
          <w:b/>
          <w:u w:val="single"/>
        </w:rPr>
        <w:t>založený na jejich širokém portfoliu, efektivním využití všech dostupných tuzemských energetických zdrojů a udržení přebytkové výkonové bilance ES s dostatkem rezerv.</w:t>
      </w:r>
      <w:r w:rsidR="0023471A" w:rsidRPr="0092047B">
        <w:rPr>
          <w:rFonts w:cstheme="minorHAnsi"/>
          <w:b/>
          <w:u w:val="single"/>
        </w:rPr>
        <w:t xml:space="preserve"> Udržování dostupných strategických rezerv tuzemských forem energie.</w:t>
      </w:r>
    </w:p>
    <w:p w:rsidR="00756024" w:rsidRPr="0092047B" w:rsidRDefault="00756024" w:rsidP="00184DC1">
      <w:pPr>
        <w:pStyle w:val="Zkladntext"/>
        <w:spacing w:before="240" w:after="120"/>
        <w:rPr>
          <w:rFonts w:cstheme="minorHAnsi"/>
          <w:b/>
          <w:bCs/>
        </w:rPr>
      </w:pPr>
      <w:r w:rsidRPr="0092047B">
        <w:rPr>
          <w:rFonts w:cstheme="minorHAnsi"/>
          <w:b/>
          <w:bCs/>
        </w:rPr>
        <w:t>Motiv</w:t>
      </w:r>
    </w:p>
    <w:p w:rsidR="00843C79" w:rsidRPr="0092047B" w:rsidRDefault="006E3CE4" w:rsidP="00184DC1">
      <w:pPr>
        <w:rPr>
          <w:rFonts w:cstheme="minorHAnsi"/>
          <w:bCs/>
          <w:szCs w:val="28"/>
        </w:rPr>
      </w:pPr>
      <w:r w:rsidRPr="0092047B">
        <w:rPr>
          <w:rFonts w:cstheme="minorHAnsi"/>
          <w:bCs/>
          <w:szCs w:val="28"/>
        </w:rPr>
        <w:t>Vyvážený mix zdrojů s</w:t>
      </w:r>
      <w:r w:rsidR="00491BAB" w:rsidRPr="0092047B">
        <w:rPr>
          <w:rFonts w:cstheme="minorHAnsi"/>
          <w:bCs/>
          <w:szCs w:val="28"/>
        </w:rPr>
        <w:t> </w:t>
      </w:r>
      <w:r w:rsidRPr="0092047B">
        <w:rPr>
          <w:rFonts w:cstheme="minorHAnsi"/>
          <w:bCs/>
          <w:szCs w:val="28"/>
        </w:rPr>
        <w:t>efektivním využitím všech dostupných tuzemských energetických zdrojů a</w:t>
      </w:r>
      <w:r w:rsidR="00491BAB" w:rsidRPr="0092047B">
        <w:rPr>
          <w:rFonts w:cstheme="minorHAnsi"/>
          <w:bCs/>
          <w:szCs w:val="28"/>
        </w:rPr>
        <w:t> </w:t>
      </w:r>
      <w:r w:rsidRPr="0092047B">
        <w:rPr>
          <w:rFonts w:cstheme="minorHAnsi"/>
          <w:bCs/>
          <w:szCs w:val="28"/>
        </w:rPr>
        <w:t>přebytkovou výkonovou bilancí v</w:t>
      </w:r>
      <w:r w:rsidR="00491BAB" w:rsidRPr="0092047B">
        <w:rPr>
          <w:rFonts w:cstheme="minorHAnsi"/>
          <w:bCs/>
          <w:szCs w:val="28"/>
        </w:rPr>
        <w:t> </w:t>
      </w:r>
      <w:r w:rsidRPr="0092047B">
        <w:rPr>
          <w:rFonts w:cstheme="minorHAnsi"/>
          <w:bCs/>
          <w:szCs w:val="28"/>
        </w:rPr>
        <w:t xml:space="preserve">elektrizační soustavě. Udržení </w:t>
      </w:r>
      <w:r w:rsidR="00E461EF" w:rsidRPr="0092047B">
        <w:rPr>
          <w:rFonts w:cstheme="minorHAnsi"/>
          <w:bCs/>
          <w:szCs w:val="28"/>
        </w:rPr>
        <w:t>maximálního</w:t>
      </w:r>
      <w:r w:rsidR="004E1065">
        <w:rPr>
          <w:rFonts w:cstheme="minorHAnsi"/>
          <w:bCs/>
          <w:szCs w:val="28"/>
        </w:rPr>
        <w:t>,</w:t>
      </w:r>
      <w:r w:rsidR="00E461EF" w:rsidRPr="0092047B">
        <w:rPr>
          <w:rFonts w:cstheme="minorHAnsi"/>
          <w:bCs/>
          <w:szCs w:val="28"/>
        </w:rPr>
        <w:t xml:space="preserve"> ekonomicky smysluplného </w:t>
      </w:r>
      <w:r w:rsidRPr="0092047B">
        <w:rPr>
          <w:rFonts w:cstheme="minorHAnsi"/>
          <w:bCs/>
          <w:szCs w:val="28"/>
        </w:rPr>
        <w:t xml:space="preserve">rozsahu </w:t>
      </w:r>
      <w:r w:rsidR="005A6003" w:rsidRPr="0092047B">
        <w:rPr>
          <w:rFonts w:cstheme="minorHAnsi"/>
          <w:bCs/>
          <w:szCs w:val="28"/>
        </w:rPr>
        <w:t xml:space="preserve">soustav </w:t>
      </w:r>
      <w:r w:rsidRPr="0092047B">
        <w:rPr>
          <w:rFonts w:cstheme="minorHAnsi"/>
          <w:bCs/>
          <w:szCs w:val="28"/>
        </w:rPr>
        <w:t>zásobování teplem s</w:t>
      </w:r>
      <w:r w:rsidR="00491BAB" w:rsidRPr="0092047B">
        <w:rPr>
          <w:rFonts w:cstheme="minorHAnsi"/>
          <w:bCs/>
          <w:szCs w:val="28"/>
        </w:rPr>
        <w:t> </w:t>
      </w:r>
      <w:r w:rsidRPr="0092047B">
        <w:rPr>
          <w:rFonts w:cstheme="minorHAnsi"/>
          <w:bCs/>
          <w:szCs w:val="28"/>
        </w:rPr>
        <w:t>významným podílem domácího uhlí</w:t>
      </w:r>
      <w:r w:rsidR="00C916C7" w:rsidRPr="0092047B">
        <w:rPr>
          <w:rFonts w:cstheme="minorHAnsi"/>
          <w:bCs/>
          <w:szCs w:val="28"/>
        </w:rPr>
        <w:t xml:space="preserve"> spalovaného s vysokou účinností</w:t>
      </w:r>
      <w:r w:rsidR="0053384C" w:rsidRPr="0092047B">
        <w:rPr>
          <w:rFonts w:cstheme="minorHAnsi"/>
          <w:bCs/>
          <w:szCs w:val="28"/>
        </w:rPr>
        <w:t xml:space="preserve"> a </w:t>
      </w:r>
      <w:r w:rsidR="00156688" w:rsidRPr="0092047B">
        <w:rPr>
          <w:rFonts w:cstheme="minorHAnsi"/>
          <w:bCs/>
          <w:szCs w:val="28"/>
        </w:rPr>
        <w:t>postupný přechod od spalování hnědého uhlí k jiným palivům v případě nízko</w:t>
      </w:r>
      <w:r w:rsidR="004D04A7">
        <w:rPr>
          <w:rFonts w:cstheme="minorHAnsi"/>
          <w:bCs/>
          <w:szCs w:val="28"/>
        </w:rPr>
        <w:t>-</w:t>
      </w:r>
      <w:r w:rsidR="00156688" w:rsidRPr="0092047B">
        <w:rPr>
          <w:rFonts w:cstheme="minorHAnsi"/>
          <w:bCs/>
          <w:szCs w:val="28"/>
        </w:rPr>
        <w:t xml:space="preserve">účinných, zastaralých </w:t>
      </w:r>
      <w:r w:rsidR="000525A3" w:rsidRPr="0092047B">
        <w:rPr>
          <w:rFonts w:cstheme="minorHAnsi"/>
          <w:bCs/>
          <w:szCs w:val="28"/>
        </w:rPr>
        <w:t>zdrojů.</w:t>
      </w:r>
      <w:r w:rsidR="000525A3" w:rsidRPr="0092047B">
        <w:t xml:space="preserve"> Výroba</w:t>
      </w:r>
      <w:r w:rsidR="00843C79" w:rsidRPr="0092047B">
        <w:t xml:space="preserve"> a vývoz elektřiny byly dlouhodobě čistě tržní příležitostí bez ingerencí státu. Současná situace tržních distorzí a vynucených státních zásahů pro zajištění výrobní i systémové přiměřenosti ale zpochybňuje tržní výhody exportů a tím i bezpodmínečný důraz na přebytkovou výrobní bilanci. Z pohledu státu je základním paradigmatem zajištění přiměřenosti</w:t>
      </w:r>
      <w:r w:rsidR="002C1D30">
        <w:t xml:space="preserve"> výrobních kapacit</w:t>
      </w:r>
      <w:r w:rsidR="002D6612">
        <w:t xml:space="preserve"> (Generation A</w:t>
      </w:r>
      <w:r w:rsidR="00843C79" w:rsidRPr="0092047B">
        <w:t>dequacy</w:t>
      </w:r>
      <w:r w:rsidR="001A4092" w:rsidRPr="0092047B">
        <w:t>) z pohledu složení a dostatečné robustnosti instalovaného výkonu a jeho vhodné struktury z hlediska provozování (</w:t>
      </w:r>
      <w:r w:rsidR="005729EF">
        <w:t>S</w:t>
      </w:r>
      <w:r w:rsidR="001A4092" w:rsidRPr="0092047B">
        <w:t>y</w:t>
      </w:r>
      <w:r w:rsidR="000525A3">
        <w:t>s</w:t>
      </w:r>
      <w:r w:rsidR="001A4092" w:rsidRPr="0092047B">
        <w:t xml:space="preserve">tem </w:t>
      </w:r>
      <w:r w:rsidR="005729EF">
        <w:t>A</w:t>
      </w:r>
      <w:r w:rsidR="001A4092" w:rsidRPr="0092047B">
        <w:t>dequacy)</w:t>
      </w:r>
      <w:r w:rsidR="00885BBC" w:rsidRPr="0092047B">
        <w:t xml:space="preserve"> a to zvláště s ohledem na narůstající volatilitu a krátkodobé deficity výkonu v sousedních zemích a </w:t>
      </w:r>
      <w:r w:rsidR="00D81B10">
        <w:t xml:space="preserve">z toho vyplývající </w:t>
      </w:r>
      <w:r w:rsidR="00885BBC" w:rsidRPr="0092047B">
        <w:t>zhoršování parametrů stability provozu elektrických sítí</w:t>
      </w:r>
      <w:r w:rsidR="001A4092" w:rsidRPr="0092047B">
        <w:t xml:space="preserve">. V případě, že </w:t>
      </w:r>
      <w:r w:rsidR="000525A3">
        <w:t>by některé z těchto dvou parame</w:t>
      </w:r>
      <w:r w:rsidR="001A4092" w:rsidRPr="0092047B">
        <w:t>t</w:t>
      </w:r>
      <w:r w:rsidR="000525A3">
        <w:t>r</w:t>
      </w:r>
      <w:r w:rsidR="001A4092" w:rsidRPr="0092047B">
        <w:t>ů nebyly na základě rozhodnutí kome</w:t>
      </w:r>
      <w:r w:rsidR="000525A3">
        <w:t>r</w:t>
      </w:r>
      <w:r w:rsidR="001A4092" w:rsidRPr="0092047B">
        <w:t>čních su</w:t>
      </w:r>
      <w:r w:rsidR="000525A3">
        <w:t>b</w:t>
      </w:r>
      <w:r w:rsidR="001A4092" w:rsidRPr="0092047B">
        <w:t>jektů</w:t>
      </w:r>
      <w:r w:rsidR="004E1065">
        <w:t>,</w:t>
      </w:r>
      <w:r w:rsidR="001A4092" w:rsidRPr="0092047B">
        <w:t xml:space="preserve"> rozhodujících se podle tržních signálů</w:t>
      </w:r>
      <w:r w:rsidR="004E1065">
        <w:t>,</w:t>
      </w:r>
      <w:r w:rsidR="001A4092" w:rsidRPr="0092047B">
        <w:t xml:space="preserve"> naplněny, lze to vnímat jako podnět pro možnou</w:t>
      </w:r>
      <w:r w:rsidR="00843C79" w:rsidRPr="0092047B">
        <w:t xml:space="preserve"> státní intervenci</w:t>
      </w:r>
      <w:r w:rsidR="00D56D24" w:rsidRPr="0092047B">
        <w:t xml:space="preserve">. </w:t>
      </w:r>
      <w:r w:rsidR="001A4092" w:rsidRPr="0092047B">
        <w:t>Z tohoto pohledu lze tudíž přip</w:t>
      </w:r>
      <w:r w:rsidR="00843C79" w:rsidRPr="0092047B">
        <w:t xml:space="preserve">ustit krátkodobě deficitní </w:t>
      </w:r>
      <w:r w:rsidR="001A4092" w:rsidRPr="0092047B">
        <w:t>období z pohledu výroby elektrické energie, nicméně ukazatel vý</w:t>
      </w:r>
      <w:r w:rsidR="0071542A" w:rsidRPr="0092047B">
        <w:t>konové</w:t>
      </w:r>
      <w:r w:rsidR="001A4092" w:rsidRPr="0092047B">
        <w:t xml:space="preserve"> přiměřenosti s ohledem na zajištění energetické bezpečnosti země se může pohybovat maximálně v koridoru </w:t>
      </w:r>
      <w:r w:rsidR="0071542A" w:rsidRPr="0092047B">
        <w:t>-5</w:t>
      </w:r>
      <w:r w:rsidR="00301CC6" w:rsidRPr="0092047B">
        <w:t> </w:t>
      </w:r>
      <w:r w:rsidR="0071542A" w:rsidRPr="0092047B">
        <w:t>% až +15</w:t>
      </w:r>
      <w:r w:rsidR="00301CC6" w:rsidRPr="0092047B">
        <w:t> </w:t>
      </w:r>
      <w:r w:rsidR="00843C79" w:rsidRPr="0092047B">
        <w:t>%</w:t>
      </w:r>
      <w:r w:rsidR="0071542A" w:rsidRPr="0092047B">
        <w:t xml:space="preserve"> </w:t>
      </w:r>
      <w:r w:rsidR="0071542A" w:rsidRPr="0092047B">
        <w:rPr>
          <w:rFonts w:eastAsiaTheme="minorEastAsia" w:cstheme="minorHAnsi"/>
          <w:iCs/>
          <w:szCs w:val="22"/>
        </w:rPr>
        <w:t>volného výkonu dle metodiky ENTSO-E</w:t>
      </w:r>
      <w:r w:rsidR="001A4092" w:rsidRPr="0092047B">
        <w:t>,</w:t>
      </w:r>
      <w:r w:rsidR="00843C79" w:rsidRPr="0092047B">
        <w:t xml:space="preserve"> jinak </w:t>
      </w:r>
      <w:r w:rsidR="001A4092" w:rsidRPr="0092047B">
        <w:t>je potřeba</w:t>
      </w:r>
      <w:r w:rsidR="00843C79" w:rsidRPr="0092047B">
        <w:t xml:space="preserve"> stát</w:t>
      </w:r>
      <w:r w:rsidR="001A4092" w:rsidRPr="0092047B">
        <w:t xml:space="preserve">ní intervence tak, aby byla </w:t>
      </w:r>
      <w:r w:rsidR="00E461EF" w:rsidRPr="0092047B">
        <w:t xml:space="preserve">bezpečně </w:t>
      </w:r>
      <w:r w:rsidR="001A4092" w:rsidRPr="0092047B">
        <w:t>pokryta domácí poptávka po elektřině. V kontextu zajištění přiměřenosti</w:t>
      </w:r>
      <w:r w:rsidR="002C1D30">
        <w:t xml:space="preserve"> výrobních kapacit</w:t>
      </w:r>
      <w:r w:rsidR="001A4092" w:rsidRPr="0092047B">
        <w:t xml:space="preserve"> a diskusí nad energetickou bezpečností</w:t>
      </w:r>
      <w:r w:rsidR="001A2909">
        <w:t xml:space="preserve"> z</w:t>
      </w:r>
      <w:r w:rsidR="001A4092" w:rsidRPr="0092047B">
        <w:t xml:space="preserve"> pohledu Státní energetické koncepce je potřeba jasně o</w:t>
      </w:r>
      <w:r w:rsidR="00843C79" w:rsidRPr="0092047B">
        <w:t>ddělit</w:t>
      </w:r>
      <w:r w:rsidR="001A4092" w:rsidRPr="0092047B">
        <w:t xml:space="preserve"> fyzickou </w:t>
      </w:r>
      <w:r w:rsidR="00843C79" w:rsidRPr="0092047B">
        <w:t>kapacitu</w:t>
      </w:r>
      <w:r w:rsidR="001A4092" w:rsidRPr="0092047B">
        <w:t xml:space="preserve"> instalovaného výkonu (MW)</w:t>
      </w:r>
      <w:r w:rsidR="00843C79" w:rsidRPr="0092047B">
        <w:t xml:space="preserve"> a její </w:t>
      </w:r>
      <w:r w:rsidR="001A4092" w:rsidRPr="0092047B">
        <w:t xml:space="preserve">faktické využití dle </w:t>
      </w:r>
      <w:r w:rsidR="00D81B10">
        <w:t xml:space="preserve">okamžité </w:t>
      </w:r>
      <w:r w:rsidR="001A4092" w:rsidRPr="0092047B">
        <w:t xml:space="preserve">ekonomické výhodnosti (MWh). </w:t>
      </w:r>
      <w:r w:rsidR="00E461EF" w:rsidRPr="0092047B">
        <w:t xml:space="preserve"> Export elektřiny tedy oproti dosavadnímu přístupu není cílem, cílem je pokrytí domácí spotřeby s </w:t>
      </w:r>
      <w:r w:rsidR="001A2909" w:rsidRPr="0092047B">
        <w:t>přiměřenou</w:t>
      </w:r>
      <w:r w:rsidR="00E461EF" w:rsidRPr="0092047B">
        <w:t xml:space="preserve"> bezpečností. Export elektřiny v rozsahu krátkodobě volných kapacit je pouze komerční příležitostí za předpokladu</w:t>
      </w:r>
      <w:r w:rsidR="00E56201" w:rsidRPr="0092047B">
        <w:t>,</w:t>
      </w:r>
      <w:r w:rsidR="00E461EF" w:rsidRPr="0092047B">
        <w:t xml:space="preserve"> že jsou v dostatečné míře reflektovány externality.</w:t>
      </w:r>
    </w:p>
    <w:p w:rsidR="006E3CE4" w:rsidRPr="0092047B" w:rsidRDefault="006E3CE4" w:rsidP="00184DC1">
      <w:pPr>
        <w:pStyle w:val="Zkladntext"/>
        <w:spacing w:before="240" w:after="120"/>
        <w:rPr>
          <w:rFonts w:cstheme="minorHAnsi"/>
          <w:b/>
          <w:bCs/>
        </w:rPr>
      </w:pPr>
      <w:r w:rsidRPr="0092047B">
        <w:rPr>
          <w:rFonts w:cstheme="minorHAnsi"/>
          <w:b/>
          <w:bCs/>
        </w:rPr>
        <w:t>Cílový stav</w:t>
      </w:r>
    </w:p>
    <w:p w:rsidR="006E3CE4" w:rsidRPr="0092047B" w:rsidRDefault="006E3CE4" w:rsidP="00184DC1">
      <w:pPr>
        <w:pStyle w:val="BodyText21"/>
        <w:rPr>
          <w:rFonts w:asciiTheme="minorHAnsi" w:hAnsiTheme="minorHAnsi" w:cstheme="minorHAnsi"/>
          <w:szCs w:val="28"/>
        </w:rPr>
      </w:pPr>
      <w:r w:rsidRPr="0092047B">
        <w:rPr>
          <w:rFonts w:asciiTheme="minorHAnsi" w:hAnsiTheme="minorHAnsi" w:cstheme="minorHAnsi"/>
          <w:szCs w:val="28"/>
        </w:rPr>
        <w:t xml:space="preserve">Tohoto stavu bude </w:t>
      </w:r>
      <w:r w:rsidR="00FC0B72" w:rsidRPr="0092047B">
        <w:rPr>
          <w:rFonts w:asciiTheme="minorHAnsi" w:hAnsiTheme="minorHAnsi" w:cstheme="minorHAnsi"/>
          <w:szCs w:val="28"/>
        </w:rPr>
        <w:t>dosaženo</w:t>
      </w:r>
      <w:r w:rsidRPr="0092047B">
        <w:rPr>
          <w:rFonts w:asciiTheme="minorHAnsi" w:hAnsiTheme="minorHAnsi" w:cstheme="minorHAnsi"/>
          <w:b/>
          <w:szCs w:val="28"/>
        </w:rPr>
        <w:t xml:space="preserve"> </w:t>
      </w:r>
      <w:r w:rsidRPr="0092047B">
        <w:rPr>
          <w:rFonts w:asciiTheme="minorHAnsi" w:hAnsiTheme="minorHAnsi" w:cstheme="minorHAnsi"/>
          <w:szCs w:val="28"/>
        </w:rPr>
        <w:t>obnovou dožitých výrobních zdrojů elektřiny</w:t>
      </w:r>
      <w:r w:rsidR="00F738FA" w:rsidRPr="0092047B">
        <w:rPr>
          <w:rFonts w:asciiTheme="minorHAnsi" w:hAnsiTheme="minorHAnsi" w:cstheme="minorHAnsi"/>
          <w:szCs w:val="28"/>
        </w:rPr>
        <w:t>,</w:t>
      </w:r>
      <w:r w:rsidRPr="0092047B">
        <w:rPr>
          <w:rFonts w:asciiTheme="minorHAnsi" w:hAnsiTheme="minorHAnsi" w:cstheme="minorHAnsi"/>
          <w:szCs w:val="28"/>
        </w:rPr>
        <w:t xml:space="preserve"> s</w:t>
      </w:r>
      <w:r w:rsidR="00491BAB" w:rsidRPr="0092047B">
        <w:rPr>
          <w:rFonts w:asciiTheme="minorHAnsi" w:hAnsiTheme="minorHAnsi" w:cstheme="minorHAnsi"/>
          <w:szCs w:val="28"/>
        </w:rPr>
        <w:t> </w:t>
      </w:r>
      <w:r w:rsidRPr="0092047B">
        <w:rPr>
          <w:rFonts w:asciiTheme="minorHAnsi" w:hAnsiTheme="minorHAnsi" w:cstheme="minorHAnsi"/>
          <w:szCs w:val="28"/>
        </w:rPr>
        <w:t>respektováním požadavků na účinnost a</w:t>
      </w:r>
      <w:r w:rsidR="00491BAB" w:rsidRPr="0092047B">
        <w:rPr>
          <w:rFonts w:asciiTheme="minorHAnsi" w:hAnsiTheme="minorHAnsi" w:cstheme="minorHAnsi"/>
          <w:szCs w:val="28"/>
        </w:rPr>
        <w:t> </w:t>
      </w:r>
      <w:r w:rsidRPr="0092047B">
        <w:rPr>
          <w:rFonts w:asciiTheme="minorHAnsi" w:hAnsiTheme="minorHAnsi" w:cstheme="minorHAnsi"/>
          <w:szCs w:val="28"/>
        </w:rPr>
        <w:t xml:space="preserve">ochranu životního prostředí. </w:t>
      </w:r>
      <w:r w:rsidR="00F738FA" w:rsidRPr="0092047B">
        <w:rPr>
          <w:rFonts w:asciiTheme="minorHAnsi" w:hAnsiTheme="minorHAnsi" w:cstheme="minorHAnsi"/>
          <w:szCs w:val="28"/>
        </w:rPr>
        <w:t>Dále</w:t>
      </w:r>
      <w:r w:rsidRPr="0092047B">
        <w:rPr>
          <w:rFonts w:asciiTheme="minorHAnsi" w:hAnsiTheme="minorHAnsi" w:cstheme="minorHAnsi"/>
          <w:szCs w:val="28"/>
        </w:rPr>
        <w:t xml:space="preserve"> </w:t>
      </w:r>
      <w:r w:rsidR="00F738FA" w:rsidRPr="0092047B">
        <w:rPr>
          <w:rFonts w:asciiTheme="minorHAnsi" w:hAnsiTheme="minorHAnsi" w:cstheme="minorHAnsi"/>
          <w:szCs w:val="28"/>
        </w:rPr>
        <w:t>p</w:t>
      </w:r>
      <w:r w:rsidR="0042621E" w:rsidRPr="0092047B">
        <w:rPr>
          <w:rFonts w:asciiTheme="minorHAnsi" w:hAnsiTheme="minorHAnsi" w:cstheme="minorHAnsi"/>
          <w:szCs w:val="28"/>
        </w:rPr>
        <w:t>ostupným p</w:t>
      </w:r>
      <w:r w:rsidRPr="0092047B">
        <w:rPr>
          <w:rFonts w:asciiTheme="minorHAnsi" w:hAnsiTheme="minorHAnsi" w:cstheme="minorHAnsi"/>
          <w:szCs w:val="28"/>
        </w:rPr>
        <w:t>řechodem ze zdrojového mixu</w:t>
      </w:r>
      <w:r w:rsidR="00E461EF" w:rsidRPr="0092047B">
        <w:rPr>
          <w:rFonts w:asciiTheme="minorHAnsi" w:hAnsiTheme="minorHAnsi" w:cstheme="minorHAnsi"/>
          <w:szCs w:val="28"/>
        </w:rPr>
        <w:t xml:space="preserve"> </w:t>
      </w:r>
      <w:r w:rsidRPr="0092047B">
        <w:rPr>
          <w:rFonts w:asciiTheme="minorHAnsi" w:hAnsiTheme="minorHAnsi" w:cstheme="minorHAnsi"/>
          <w:szCs w:val="28"/>
        </w:rPr>
        <w:t xml:space="preserve">orientovaného zejména na uhlí na diverzifikované portfolio zdrojů </w:t>
      </w:r>
      <w:r w:rsidR="00DC578E" w:rsidRPr="0092047B">
        <w:rPr>
          <w:rFonts w:asciiTheme="minorHAnsi" w:hAnsiTheme="minorHAnsi" w:cstheme="minorHAnsi"/>
          <w:szCs w:val="28"/>
        </w:rPr>
        <w:t>s vyšším podílem jaderné energetiky</w:t>
      </w:r>
      <w:r w:rsidR="00E461EF" w:rsidRPr="0092047B">
        <w:rPr>
          <w:rFonts w:asciiTheme="minorHAnsi" w:hAnsiTheme="minorHAnsi" w:cstheme="minorHAnsi"/>
          <w:szCs w:val="28"/>
        </w:rPr>
        <w:t xml:space="preserve"> ve výrobě elektřiny</w:t>
      </w:r>
      <w:r w:rsidR="00F738FA" w:rsidRPr="0092047B">
        <w:rPr>
          <w:rFonts w:asciiTheme="minorHAnsi" w:hAnsiTheme="minorHAnsi" w:cstheme="minorHAnsi"/>
          <w:szCs w:val="28"/>
        </w:rPr>
        <w:t>. Takto nastavený mix primárních zdrojů energie</w:t>
      </w:r>
      <w:r w:rsidR="00DC578E" w:rsidRPr="0092047B">
        <w:rPr>
          <w:rFonts w:asciiTheme="minorHAnsi" w:hAnsiTheme="minorHAnsi" w:cstheme="minorHAnsi"/>
          <w:szCs w:val="28"/>
        </w:rPr>
        <w:t xml:space="preserve"> </w:t>
      </w:r>
      <w:r w:rsidR="00F738FA" w:rsidRPr="0092047B">
        <w:rPr>
          <w:rFonts w:asciiTheme="minorHAnsi" w:hAnsiTheme="minorHAnsi" w:cstheme="minorHAnsi"/>
          <w:szCs w:val="28"/>
        </w:rPr>
        <w:t>zajistí</w:t>
      </w:r>
      <w:r w:rsidRPr="0092047B">
        <w:rPr>
          <w:rFonts w:asciiTheme="minorHAnsi" w:hAnsiTheme="minorHAnsi" w:cstheme="minorHAnsi"/>
          <w:szCs w:val="28"/>
        </w:rPr>
        <w:t xml:space="preserve"> </w:t>
      </w:r>
      <w:r w:rsidR="00DC578E" w:rsidRPr="0092047B">
        <w:rPr>
          <w:rFonts w:asciiTheme="minorHAnsi" w:hAnsiTheme="minorHAnsi" w:cstheme="minorHAnsi"/>
          <w:szCs w:val="28"/>
        </w:rPr>
        <w:t>ener</w:t>
      </w:r>
      <w:r w:rsidR="0053384C" w:rsidRPr="0092047B">
        <w:rPr>
          <w:rFonts w:asciiTheme="minorHAnsi" w:hAnsiTheme="minorHAnsi" w:cstheme="minorHAnsi"/>
          <w:szCs w:val="28"/>
        </w:rPr>
        <w:t>getickou bezpečnost i </w:t>
      </w:r>
      <w:r w:rsidRPr="0092047B">
        <w:rPr>
          <w:rFonts w:asciiTheme="minorHAnsi" w:hAnsiTheme="minorHAnsi" w:cstheme="minorHAnsi"/>
          <w:szCs w:val="28"/>
        </w:rPr>
        <w:t xml:space="preserve">strategickou flexibilitu </w:t>
      </w:r>
      <w:r w:rsidR="0005399B" w:rsidRPr="0092047B">
        <w:rPr>
          <w:rFonts w:asciiTheme="minorHAnsi" w:hAnsiTheme="minorHAnsi" w:cstheme="minorHAnsi"/>
          <w:szCs w:val="28"/>
        </w:rPr>
        <w:t>ČR</w:t>
      </w:r>
      <w:r w:rsidR="004E1065">
        <w:rPr>
          <w:rFonts w:asciiTheme="minorHAnsi" w:hAnsiTheme="minorHAnsi" w:cstheme="minorHAnsi"/>
          <w:szCs w:val="28"/>
        </w:rPr>
        <w:t>,</w:t>
      </w:r>
      <w:r w:rsidR="00491BAB" w:rsidRPr="0092047B">
        <w:rPr>
          <w:rFonts w:asciiTheme="minorHAnsi" w:hAnsiTheme="minorHAnsi" w:cstheme="minorHAnsi"/>
          <w:szCs w:val="28"/>
        </w:rPr>
        <w:t> </w:t>
      </w:r>
      <w:r w:rsidR="00D84042" w:rsidRPr="0092047B">
        <w:rPr>
          <w:rFonts w:asciiTheme="minorHAnsi" w:hAnsiTheme="minorHAnsi" w:cstheme="minorHAnsi"/>
          <w:szCs w:val="28"/>
        </w:rPr>
        <w:t xml:space="preserve">založenou </w:t>
      </w:r>
      <w:r w:rsidRPr="0092047B">
        <w:rPr>
          <w:rFonts w:asciiTheme="minorHAnsi" w:hAnsiTheme="minorHAnsi" w:cstheme="minorHAnsi"/>
          <w:szCs w:val="28"/>
        </w:rPr>
        <w:t>zejména na vyspělých technologiích umožňujících překlenutí přechodného období do plné konkurenceschopnosti obnovitelných zdrojů a</w:t>
      </w:r>
      <w:r w:rsidR="00491BAB" w:rsidRPr="0092047B">
        <w:rPr>
          <w:rFonts w:asciiTheme="minorHAnsi" w:hAnsiTheme="minorHAnsi" w:cstheme="minorHAnsi"/>
          <w:szCs w:val="28"/>
        </w:rPr>
        <w:t> </w:t>
      </w:r>
      <w:r w:rsidRPr="0092047B">
        <w:rPr>
          <w:rFonts w:asciiTheme="minorHAnsi" w:hAnsiTheme="minorHAnsi" w:cstheme="minorHAnsi"/>
          <w:szCs w:val="28"/>
        </w:rPr>
        <w:t>případné dostupnosti reaktorů IV generace a</w:t>
      </w:r>
      <w:r w:rsidR="00491BAB" w:rsidRPr="0092047B">
        <w:rPr>
          <w:rFonts w:asciiTheme="minorHAnsi" w:hAnsiTheme="minorHAnsi" w:cstheme="minorHAnsi"/>
          <w:szCs w:val="28"/>
        </w:rPr>
        <w:t> </w:t>
      </w:r>
      <w:r w:rsidRPr="0092047B">
        <w:rPr>
          <w:rFonts w:asciiTheme="minorHAnsi" w:hAnsiTheme="minorHAnsi" w:cstheme="minorHAnsi"/>
          <w:szCs w:val="28"/>
        </w:rPr>
        <w:t>jaderné fúze.</w:t>
      </w:r>
      <w:r w:rsidR="00E461EF" w:rsidRPr="0092047B">
        <w:rPr>
          <w:rFonts w:asciiTheme="minorHAnsi" w:hAnsiTheme="minorHAnsi" w:cstheme="minorHAnsi"/>
          <w:szCs w:val="28"/>
        </w:rPr>
        <w:t xml:space="preserve"> Dodávka tepla musí být </w:t>
      </w:r>
      <w:r w:rsidR="001A2909" w:rsidRPr="0092047B">
        <w:rPr>
          <w:rFonts w:asciiTheme="minorHAnsi" w:hAnsiTheme="minorHAnsi" w:cstheme="minorHAnsi"/>
          <w:szCs w:val="28"/>
        </w:rPr>
        <w:t>zajištěna</w:t>
      </w:r>
      <w:r w:rsidR="00E461EF" w:rsidRPr="0092047B">
        <w:rPr>
          <w:rFonts w:asciiTheme="minorHAnsi" w:hAnsiTheme="minorHAnsi" w:cstheme="minorHAnsi"/>
          <w:szCs w:val="28"/>
        </w:rPr>
        <w:t xml:space="preserve"> prostřednictvím současných</w:t>
      </w:r>
      <w:r w:rsidR="00B54F01">
        <w:rPr>
          <w:rFonts w:asciiTheme="minorHAnsi" w:hAnsiTheme="minorHAnsi" w:cstheme="minorHAnsi"/>
          <w:szCs w:val="28"/>
        </w:rPr>
        <w:t xml:space="preserve"> </w:t>
      </w:r>
      <w:r w:rsidR="003C2805">
        <w:rPr>
          <w:rFonts w:asciiTheme="minorHAnsi" w:hAnsiTheme="minorHAnsi" w:cstheme="minorHAnsi"/>
          <w:szCs w:val="28"/>
        </w:rPr>
        <w:t xml:space="preserve">soustav </w:t>
      </w:r>
      <w:r w:rsidR="005729EF">
        <w:rPr>
          <w:rFonts w:asciiTheme="minorHAnsi" w:hAnsiTheme="minorHAnsi" w:cstheme="minorHAnsi"/>
          <w:szCs w:val="28"/>
        </w:rPr>
        <w:t>zásobování</w:t>
      </w:r>
      <w:r w:rsidR="003C2805">
        <w:rPr>
          <w:rFonts w:asciiTheme="minorHAnsi" w:hAnsiTheme="minorHAnsi" w:cstheme="minorHAnsi"/>
          <w:szCs w:val="28"/>
        </w:rPr>
        <w:t xml:space="preserve"> tepelnou energií</w:t>
      </w:r>
      <w:r w:rsidR="004D04A7">
        <w:rPr>
          <w:rFonts w:asciiTheme="minorHAnsi" w:hAnsiTheme="minorHAnsi" w:cstheme="minorHAnsi"/>
          <w:szCs w:val="28"/>
        </w:rPr>
        <w:t xml:space="preserve"> </w:t>
      </w:r>
      <w:r w:rsidR="00E461EF" w:rsidRPr="005729EF">
        <w:rPr>
          <w:rFonts w:asciiTheme="minorHAnsi" w:hAnsiTheme="minorHAnsi" w:cstheme="minorHAnsi"/>
          <w:szCs w:val="28"/>
        </w:rPr>
        <w:t xml:space="preserve">všude tam, kde je to ekonomicky výhodné za předpokladu, že </w:t>
      </w:r>
      <w:r w:rsidR="00885BBC" w:rsidRPr="005729EF">
        <w:rPr>
          <w:rFonts w:asciiTheme="minorHAnsi" w:hAnsiTheme="minorHAnsi" w:cstheme="minorHAnsi"/>
          <w:szCs w:val="28"/>
        </w:rPr>
        <w:t xml:space="preserve">environmentální dopady </w:t>
      </w:r>
      <w:r w:rsidR="00E461EF" w:rsidRPr="005729EF">
        <w:rPr>
          <w:rFonts w:asciiTheme="minorHAnsi" w:hAnsiTheme="minorHAnsi" w:cstheme="minorHAnsi"/>
          <w:szCs w:val="28"/>
        </w:rPr>
        <w:t>a další externality jsou přiměřeně respektovány v cenách vstu</w:t>
      </w:r>
      <w:r w:rsidR="00E461EF" w:rsidRPr="0092047B">
        <w:rPr>
          <w:rFonts w:asciiTheme="minorHAnsi" w:hAnsiTheme="minorHAnsi" w:cstheme="minorHAnsi"/>
          <w:szCs w:val="28"/>
        </w:rPr>
        <w:t xml:space="preserve">pů pro centrální i decentrální zdroje. </w:t>
      </w:r>
      <w:r w:rsidR="00885BBC" w:rsidRPr="0092047B">
        <w:rPr>
          <w:rFonts w:asciiTheme="minorHAnsi" w:hAnsiTheme="minorHAnsi" w:cstheme="minorHAnsi"/>
          <w:szCs w:val="28"/>
        </w:rPr>
        <w:t xml:space="preserve"> Priorita ve využití domácích zdrojů (OZE, uhlí) musí být dána na výrobu tepla či kombinovanou výrobu elektřiny a tepla před čistě kondenzační výrobou</w:t>
      </w:r>
      <w:r w:rsidR="004E1065">
        <w:rPr>
          <w:rFonts w:asciiTheme="minorHAnsi" w:hAnsiTheme="minorHAnsi" w:cstheme="minorHAnsi"/>
          <w:szCs w:val="28"/>
        </w:rPr>
        <w:t>,</w:t>
      </w:r>
      <w:r w:rsidR="00885BBC" w:rsidRPr="0092047B">
        <w:rPr>
          <w:rFonts w:asciiTheme="minorHAnsi" w:hAnsiTheme="minorHAnsi" w:cstheme="minorHAnsi"/>
          <w:szCs w:val="28"/>
        </w:rPr>
        <w:t xml:space="preserve"> a to zejména v zajištění dostupnosti uhlí pro centrální zdroje tepla. </w:t>
      </w:r>
    </w:p>
    <w:p w:rsidR="006E3CE4" w:rsidRPr="0092047B" w:rsidRDefault="006E3CE4" w:rsidP="00184DC1">
      <w:pPr>
        <w:pStyle w:val="Zkladntext"/>
        <w:spacing w:before="240" w:after="120"/>
        <w:rPr>
          <w:rFonts w:cstheme="minorHAnsi"/>
          <w:b/>
          <w:bCs/>
        </w:rPr>
      </w:pPr>
      <w:r w:rsidRPr="0092047B">
        <w:rPr>
          <w:rFonts w:cstheme="minorHAnsi"/>
          <w:b/>
          <w:bCs/>
        </w:rPr>
        <w:t>Strategie do roku 2040</w:t>
      </w:r>
    </w:p>
    <w:p w:rsidR="004E1065" w:rsidRDefault="00756EAC" w:rsidP="00184DC1">
      <w:pPr>
        <w:numPr>
          <w:ilvl w:val="2"/>
          <w:numId w:val="34"/>
        </w:numPr>
        <w:tabs>
          <w:tab w:val="clear" w:pos="340"/>
          <w:tab w:val="num" w:pos="426"/>
          <w:tab w:val="left" w:pos="1276"/>
          <w:tab w:val="left" w:pos="1418"/>
        </w:tabs>
        <w:spacing w:before="120" w:after="120"/>
        <w:ind w:left="1134" w:hanging="283"/>
        <w:contextualSpacing/>
        <w:rPr>
          <w:rFonts w:cstheme="minorHAnsi"/>
        </w:rPr>
      </w:pPr>
      <w:r w:rsidRPr="0092047B">
        <w:rPr>
          <w:rFonts w:cstheme="minorHAnsi"/>
        </w:rPr>
        <w:t>Zajištění soběstačnosti ve výrobě elektřiny</w:t>
      </w:r>
      <w:r w:rsidR="00AA4ABC" w:rsidRPr="0092047B">
        <w:rPr>
          <w:rFonts w:cstheme="minorHAnsi"/>
        </w:rPr>
        <w:t>,</w:t>
      </w:r>
      <w:r w:rsidRPr="0092047B">
        <w:rPr>
          <w:rFonts w:cstheme="minorHAnsi"/>
        </w:rPr>
        <w:t xml:space="preserve"> založené zejména na vyspělých konvenčních technologiích s vysokou účinností přeměny a s narůstajícím podílem obnovitelných</w:t>
      </w:r>
      <w:r w:rsidR="006822E3" w:rsidRPr="0092047B">
        <w:rPr>
          <w:rFonts w:cstheme="minorHAnsi"/>
        </w:rPr>
        <w:t xml:space="preserve"> a</w:t>
      </w:r>
      <w:r w:rsidRPr="0092047B">
        <w:rPr>
          <w:rFonts w:cstheme="minorHAnsi"/>
        </w:rPr>
        <w:t xml:space="preserve"> druhotných zdrojů. Výroba z jádra postupně nahradí uhelnou energetiku v roli pilíře výroby elektřiny. </w:t>
      </w:r>
      <w:r w:rsidR="00AA4ABC" w:rsidRPr="0092047B">
        <w:rPr>
          <w:rFonts w:cstheme="minorHAnsi"/>
        </w:rPr>
        <w:t>Transformace infrastruktury s</w:t>
      </w:r>
      <w:r w:rsidRPr="0092047B">
        <w:rPr>
          <w:rFonts w:cstheme="minorHAnsi"/>
        </w:rPr>
        <w:t>oučasně umožní rozsáhlou integraci nových te</w:t>
      </w:r>
      <w:r w:rsidR="0053384C" w:rsidRPr="0092047B">
        <w:rPr>
          <w:rFonts w:cstheme="minorHAnsi"/>
        </w:rPr>
        <w:t>chnologií ve výrobě, přepravě i </w:t>
      </w:r>
      <w:r w:rsidRPr="0092047B">
        <w:rPr>
          <w:rFonts w:cstheme="minorHAnsi"/>
        </w:rPr>
        <w:t xml:space="preserve">spotřebě a obnovu stávající zdrojové základny. Přesun od převažující orientace na uhlí k diverzifikovanější struktuře primárních zdrojů, </w:t>
      </w:r>
      <w:r w:rsidR="0053384C" w:rsidRPr="0092047B">
        <w:rPr>
          <w:rFonts w:cstheme="minorHAnsi"/>
        </w:rPr>
        <w:t>oslabení váhy kapalných paliv a </w:t>
      </w:r>
      <w:r w:rsidRPr="0092047B">
        <w:rPr>
          <w:rFonts w:cstheme="minorHAnsi"/>
        </w:rPr>
        <w:t xml:space="preserve">uhlí. </w:t>
      </w:r>
    </w:p>
    <w:p w:rsidR="00100C3E" w:rsidRPr="0092047B" w:rsidRDefault="00FC1B82" w:rsidP="00184DC1">
      <w:pPr>
        <w:numPr>
          <w:ilvl w:val="2"/>
          <w:numId w:val="34"/>
        </w:numPr>
        <w:tabs>
          <w:tab w:val="clear" w:pos="340"/>
          <w:tab w:val="num" w:pos="426"/>
          <w:tab w:val="left" w:pos="1276"/>
          <w:tab w:val="left" w:pos="1418"/>
        </w:tabs>
        <w:spacing w:before="120" w:after="120"/>
        <w:ind w:left="1134" w:hanging="283"/>
        <w:contextualSpacing/>
        <w:rPr>
          <w:rFonts w:cstheme="minorHAnsi"/>
        </w:rPr>
      </w:pPr>
      <w:r>
        <w:rPr>
          <w:rFonts w:cstheme="minorHAnsi"/>
        </w:rPr>
        <w:t>Udržení co nejvě</w:t>
      </w:r>
      <w:r w:rsidR="00C57D63">
        <w:rPr>
          <w:rFonts w:cstheme="minorHAnsi"/>
        </w:rPr>
        <w:t>t</w:t>
      </w:r>
      <w:r>
        <w:rPr>
          <w:rFonts w:cstheme="minorHAnsi"/>
        </w:rPr>
        <w:t>ší</w:t>
      </w:r>
      <w:r w:rsidR="004E1065">
        <w:rPr>
          <w:rFonts w:cstheme="minorHAnsi"/>
        </w:rPr>
        <w:t>ho</w:t>
      </w:r>
      <w:r w:rsidR="00C57D63">
        <w:rPr>
          <w:rFonts w:cstheme="minorHAnsi"/>
        </w:rPr>
        <w:t xml:space="preserve"> rozsah</w:t>
      </w:r>
      <w:r w:rsidR="004E1065">
        <w:rPr>
          <w:rFonts w:cstheme="minorHAnsi"/>
        </w:rPr>
        <w:t>u</w:t>
      </w:r>
      <w:r>
        <w:rPr>
          <w:rFonts w:cstheme="minorHAnsi"/>
        </w:rPr>
        <w:t xml:space="preserve"> soustav zásobování teplem</w:t>
      </w:r>
      <w:r w:rsidR="00C57D63">
        <w:rPr>
          <w:rFonts w:cstheme="minorHAnsi"/>
        </w:rPr>
        <w:t xml:space="preserve"> s významným podílem domácího spalovaného uhlí s vysokou účinností a v případě nízko</w:t>
      </w:r>
      <w:r w:rsidR="00FF7CAC">
        <w:rPr>
          <w:rFonts w:cstheme="minorHAnsi"/>
        </w:rPr>
        <w:t>-</w:t>
      </w:r>
      <w:r w:rsidR="00C57D63">
        <w:rPr>
          <w:rFonts w:cstheme="minorHAnsi"/>
        </w:rPr>
        <w:t>účinných, zastaralých zdrojů postupný přechod od spalování hnědého uhlí k jiným palivům</w:t>
      </w:r>
      <w:r w:rsidR="00756EAC" w:rsidRPr="0092047B">
        <w:rPr>
          <w:rFonts w:cstheme="minorHAnsi"/>
        </w:rPr>
        <w:t>.</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 xml:space="preserve">Posílení role jádra při výrobě elektřiny a maximální využití odpadního tepla z JE (výstavba </w:t>
      </w:r>
      <w:r w:rsidR="007A65FF" w:rsidRPr="0092047B">
        <w:rPr>
          <w:rFonts w:cstheme="minorHAnsi"/>
        </w:rPr>
        <w:t>1-</w:t>
      </w:r>
      <w:r w:rsidRPr="0092047B">
        <w:rPr>
          <w:rFonts w:cstheme="minorHAnsi"/>
        </w:rPr>
        <w:t>2 nových bloků JE</w:t>
      </w:r>
      <w:r w:rsidR="007A65FF" w:rsidRPr="0092047B">
        <w:rPr>
          <w:rFonts w:cstheme="minorHAnsi"/>
        </w:rPr>
        <w:t xml:space="preserve"> v závislosti na predikci bilance výroby a spotřeby</w:t>
      </w:r>
      <w:r w:rsidRPr="0092047B">
        <w:rPr>
          <w:rFonts w:cstheme="minorHAnsi"/>
        </w:rPr>
        <w:t xml:space="preserve">, </w:t>
      </w:r>
      <w:r w:rsidR="00885BBC" w:rsidRPr="0092047B">
        <w:rPr>
          <w:rFonts w:cstheme="minorHAnsi"/>
        </w:rPr>
        <w:t xml:space="preserve">dlouhodobé </w:t>
      </w:r>
      <w:r w:rsidRPr="0092047B">
        <w:rPr>
          <w:rFonts w:cstheme="minorHAnsi"/>
        </w:rPr>
        <w:t>prodloužení provozu současných čtyř bloků v JE Dukovany</w:t>
      </w:r>
      <w:r w:rsidR="007A65FF" w:rsidRPr="0092047B">
        <w:rPr>
          <w:rFonts w:cstheme="minorHAnsi"/>
        </w:rPr>
        <w:t xml:space="preserve"> a případná výstavba dalšího bloku v horizontu odstavování JE Dukovany</w:t>
      </w:r>
      <w:r w:rsidRPr="0092047B">
        <w:rPr>
          <w:rFonts w:cstheme="minorHAnsi"/>
        </w:rPr>
        <w:t>, územní vymezení lokalit pro možný další rozvoj JE po roce 2040).</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 xml:space="preserve">Rozvoj </w:t>
      </w:r>
      <w:r w:rsidR="00885BBC" w:rsidRPr="0092047B">
        <w:rPr>
          <w:rFonts w:cstheme="minorHAnsi"/>
        </w:rPr>
        <w:t>konkurenceschopných</w:t>
      </w:r>
      <w:r w:rsidRPr="0092047B">
        <w:rPr>
          <w:rFonts w:cstheme="minorHAnsi"/>
        </w:rPr>
        <w:t xml:space="preserve"> OZE s účinnou podporou státu v oblasti přístupu k síti, povolovacích procesů, podpory technologického vývoje a pilotních projektů a současně veřejné přijatelnosti rozvoje OZE s cílem dosažení </w:t>
      </w:r>
      <w:r w:rsidR="004E1065">
        <w:rPr>
          <w:rFonts w:cstheme="minorHAnsi"/>
        </w:rPr>
        <w:t xml:space="preserve">jejich </w:t>
      </w:r>
      <w:r w:rsidRPr="0092047B">
        <w:rPr>
          <w:rFonts w:cstheme="minorHAnsi"/>
        </w:rPr>
        <w:t>podíl</w:t>
      </w:r>
      <w:r w:rsidR="004E1065">
        <w:rPr>
          <w:rFonts w:cstheme="minorHAnsi"/>
        </w:rPr>
        <w:t xml:space="preserve">u </w:t>
      </w:r>
      <w:r w:rsidRPr="0092047B">
        <w:rPr>
          <w:rFonts w:cstheme="minorHAnsi"/>
        </w:rPr>
        <w:t xml:space="preserve">na výrobě elektřiny </w:t>
      </w:r>
      <w:r w:rsidR="00885BBC" w:rsidRPr="0092047B">
        <w:rPr>
          <w:rFonts w:cstheme="minorHAnsi"/>
        </w:rPr>
        <w:t xml:space="preserve">nejméně </w:t>
      </w:r>
      <w:r w:rsidR="00D81B10" w:rsidRPr="0092047B">
        <w:rPr>
          <w:rFonts w:cstheme="minorHAnsi"/>
        </w:rPr>
        <w:t>1</w:t>
      </w:r>
      <w:r w:rsidR="00D81B10">
        <w:rPr>
          <w:rFonts w:cstheme="minorHAnsi"/>
        </w:rPr>
        <w:t>8</w:t>
      </w:r>
      <w:r w:rsidR="00D81B10" w:rsidRPr="0092047B">
        <w:rPr>
          <w:rFonts w:cstheme="minorHAnsi"/>
        </w:rPr>
        <w:t> </w:t>
      </w:r>
      <w:r w:rsidRPr="0092047B">
        <w:rPr>
          <w:rFonts w:cstheme="minorHAnsi"/>
        </w:rPr>
        <w:t>%, zapojení OZE do řízení bilanční rovnováhy.</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Významné zvýšení využití odpadů v zařízení</w:t>
      </w:r>
      <w:r w:rsidR="00CD4481" w:rsidRPr="0092047B">
        <w:rPr>
          <w:rFonts w:cstheme="minorHAnsi"/>
        </w:rPr>
        <w:t>ch</w:t>
      </w:r>
      <w:r w:rsidRPr="0092047B">
        <w:rPr>
          <w:rFonts w:cstheme="minorHAnsi"/>
        </w:rPr>
        <w:t xml:space="preserve"> na energetické vyu</w:t>
      </w:r>
      <w:r w:rsidR="0053384C" w:rsidRPr="0092047B">
        <w:rPr>
          <w:rFonts w:cstheme="minorHAnsi"/>
        </w:rPr>
        <w:t>žívání odpadů s </w:t>
      </w:r>
      <w:r w:rsidRPr="0092047B">
        <w:rPr>
          <w:rFonts w:cstheme="minorHAnsi"/>
        </w:rPr>
        <w:t xml:space="preserve">cílem dosáhnout až </w:t>
      </w:r>
      <w:r w:rsidR="001E1368">
        <w:rPr>
          <w:rFonts w:cstheme="minorHAnsi"/>
        </w:rPr>
        <w:t>10</w:t>
      </w:r>
      <w:r w:rsidR="001E1368" w:rsidRPr="0092047B">
        <w:rPr>
          <w:rFonts w:cstheme="minorHAnsi"/>
        </w:rPr>
        <w:t>0 </w:t>
      </w:r>
      <w:r w:rsidRPr="0092047B">
        <w:rPr>
          <w:rFonts w:cstheme="minorHAnsi"/>
        </w:rPr>
        <w:t xml:space="preserve">% využití spalitelné složky odpadů po jejich vytřídění do roku </w:t>
      </w:r>
      <w:r w:rsidR="008B0F22">
        <w:rPr>
          <w:rFonts w:cstheme="minorHAnsi"/>
        </w:rPr>
        <w:t>202</w:t>
      </w:r>
      <w:r w:rsidR="003C2805">
        <w:rPr>
          <w:rFonts w:cstheme="minorHAnsi"/>
        </w:rPr>
        <w:t>4</w:t>
      </w:r>
      <w:r w:rsidRPr="0092047B">
        <w:rPr>
          <w:rFonts w:cstheme="minorHAnsi"/>
        </w:rPr>
        <w:t>.</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Udržení výroby elektřiny z uhlí ve snižujícím se rozsahu (s cílovou hodnotou v</w:t>
      </w:r>
      <w:r w:rsidR="00583ADD" w:rsidRPr="0092047B">
        <w:rPr>
          <w:rFonts w:cstheme="minorHAnsi"/>
        </w:rPr>
        <w:t> </w:t>
      </w:r>
      <w:r w:rsidRPr="0092047B">
        <w:rPr>
          <w:rFonts w:cstheme="minorHAnsi"/>
        </w:rPr>
        <w:t xml:space="preserve">rozmezí </w:t>
      </w:r>
      <w:r w:rsidR="002C2F31" w:rsidRPr="0092047B">
        <w:rPr>
          <w:rFonts w:cstheme="minorHAnsi"/>
        </w:rPr>
        <w:t>9</w:t>
      </w:r>
      <w:r w:rsidRPr="0092047B">
        <w:rPr>
          <w:rFonts w:cstheme="minorHAnsi"/>
        </w:rPr>
        <w:t xml:space="preserve"> - </w:t>
      </w:r>
      <w:r w:rsidR="002C2F31" w:rsidRPr="0092047B">
        <w:rPr>
          <w:rFonts w:cstheme="minorHAnsi"/>
        </w:rPr>
        <w:t>14</w:t>
      </w:r>
      <w:r w:rsidRPr="0092047B">
        <w:rPr>
          <w:rFonts w:cstheme="minorHAnsi"/>
        </w:rPr>
        <w:t xml:space="preserve"> TWh/rok), částečná obnova uhelných zdrojů se zajištěnou dodávkou uhlí; nové a obnovované zdroje nadále již výhradně vysokoúčinné s využitím minimálně 60</w:t>
      </w:r>
      <w:r w:rsidR="00CB7F93" w:rsidRPr="0092047B">
        <w:rPr>
          <w:rFonts w:cstheme="minorHAnsi"/>
        </w:rPr>
        <w:t> </w:t>
      </w:r>
      <w:r w:rsidRPr="0092047B">
        <w:rPr>
          <w:rFonts w:cstheme="minorHAnsi"/>
        </w:rPr>
        <w:t>% tepla nespotřebovaného k výrobě elektřiny.</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 xml:space="preserve">Rozvoj zdrojů na zemní plyn ve </w:t>
      </w:r>
      <w:r w:rsidR="0053384C" w:rsidRPr="0092047B">
        <w:rPr>
          <w:rFonts w:cstheme="minorHAnsi"/>
        </w:rPr>
        <w:t>zdrojích o menších výkonech a v </w:t>
      </w:r>
      <w:r w:rsidRPr="0092047B">
        <w:rPr>
          <w:rFonts w:cstheme="minorHAnsi"/>
        </w:rPr>
        <w:t>mikrokogeneraci, ve špičkových či záložních zdrojích a omezeně i paroplynov</w:t>
      </w:r>
      <w:r w:rsidR="004E1065">
        <w:rPr>
          <w:rFonts w:cstheme="minorHAnsi"/>
        </w:rPr>
        <w:t>ých elektráren</w:t>
      </w:r>
      <w:r w:rsidRPr="0092047B">
        <w:rPr>
          <w:rFonts w:cstheme="minorHAnsi"/>
        </w:rPr>
        <w:t xml:space="preserve"> s vysokou účinností a s podí</w:t>
      </w:r>
      <w:r w:rsidR="00583ADD" w:rsidRPr="0092047B">
        <w:rPr>
          <w:rFonts w:cstheme="minorHAnsi"/>
        </w:rPr>
        <w:t>lem výkonu v zemním plynu do 15 </w:t>
      </w:r>
      <w:r w:rsidRPr="0092047B">
        <w:rPr>
          <w:rFonts w:cstheme="minorHAnsi"/>
        </w:rPr>
        <w:t>% celkového instalovaného výkonu.</w:t>
      </w:r>
    </w:p>
    <w:p w:rsidR="00100C3E" w:rsidRPr="0092047B" w:rsidRDefault="0009735E"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U</w:t>
      </w:r>
      <w:r w:rsidR="00756EAC" w:rsidRPr="0092047B">
        <w:rPr>
          <w:rFonts w:cstheme="minorHAnsi"/>
        </w:rPr>
        <w:t>drže</w:t>
      </w:r>
      <w:r w:rsidR="003836CA">
        <w:rPr>
          <w:rFonts w:cstheme="minorHAnsi"/>
        </w:rPr>
        <w:t>ní</w:t>
      </w:r>
      <w:r w:rsidR="00756EAC" w:rsidRPr="0092047B">
        <w:rPr>
          <w:rFonts w:cstheme="minorHAnsi"/>
        </w:rPr>
        <w:t xml:space="preserve"> </w:t>
      </w:r>
      <w:r w:rsidR="00E63F7E" w:rsidRPr="0092047B">
        <w:rPr>
          <w:rFonts w:cstheme="minorHAnsi"/>
        </w:rPr>
        <w:t>přebytkov</w:t>
      </w:r>
      <w:r w:rsidR="003836CA">
        <w:rPr>
          <w:rFonts w:cstheme="minorHAnsi"/>
        </w:rPr>
        <w:t>é</w:t>
      </w:r>
      <w:r w:rsidR="00E63F7E" w:rsidRPr="0092047B">
        <w:rPr>
          <w:rFonts w:cstheme="minorHAnsi"/>
        </w:rPr>
        <w:t xml:space="preserve"> výkonov</w:t>
      </w:r>
      <w:r w:rsidR="003836CA">
        <w:rPr>
          <w:rFonts w:cstheme="minorHAnsi"/>
        </w:rPr>
        <w:t>é</w:t>
      </w:r>
      <w:r w:rsidR="00E63F7E" w:rsidRPr="0092047B">
        <w:rPr>
          <w:rFonts w:cstheme="minorHAnsi"/>
        </w:rPr>
        <w:t xml:space="preserve"> </w:t>
      </w:r>
      <w:r w:rsidRPr="0092047B">
        <w:rPr>
          <w:rFonts w:cstheme="minorHAnsi"/>
        </w:rPr>
        <w:t>bilanc</w:t>
      </w:r>
      <w:r w:rsidR="003836CA">
        <w:rPr>
          <w:rFonts w:cstheme="minorHAnsi"/>
        </w:rPr>
        <w:t>e</w:t>
      </w:r>
      <w:r w:rsidRPr="0092047B">
        <w:rPr>
          <w:rFonts w:cstheme="minorHAnsi"/>
        </w:rPr>
        <w:t xml:space="preserve"> </w:t>
      </w:r>
      <w:r w:rsidR="00756EAC" w:rsidRPr="0092047B">
        <w:rPr>
          <w:rFonts w:cstheme="minorHAnsi"/>
        </w:rPr>
        <w:t>ES ČR na úrovni</w:t>
      </w:r>
      <w:r w:rsidR="003836CA">
        <w:rPr>
          <w:rFonts w:cstheme="minorHAnsi"/>
        </w:rPr>
        <w:t xml:space="preserve"> </w:t>
      </w:r>
      <w:r w:rsidR="00BE44C4" w:rsidRPr="0092047B">
        <w:rPr>
          <w:rFonts w:cstheme="minorHAnsi"/>
        </w:rPr>
        <w:t>-5</w:t>
      </w:r>
      <w:r w:rsidR="00316715" w:rsidRPr="0092047B">
        <w:rPr>
          <w:rFonts w:cstheme="minorHAnsi"/>
        </w:rPr>
        <w:t xml:space="preserve"> </w:t>
      </w:r>
      <w:r w:rsidR="00BE44C4" w:rsidRPr="0092047B">
        <w:rPr>
          <w:rFonts w:cstheme="minorHAnsi"/>
        </w:rPr>
        <w:t>až +</w:t>
      </w:r>
      <w:r w:rsidR="00583ADD" w:rsidRPr="0092047B">
        <w:rPr>
          <w:rFonts w:cstheme="minorHAnsi"/>
        </w:rPr>
        <w:t>15 </w:t>
      </w:r>
      <w:r w:rsidR="00756EAC" w:rsidRPr="0092047B">
        <w:rPr>
          <w:rFonts w:cstheme="minorHAnsi"/>
        </w:rPr>
        <w:t>% pohotového výkonu (po odečtení podpůrných služeb a dalších rezerv)</w:t>
      </w:r>
      <w:r w:rsidR="00316715" w:rsidRPr="0092047B">
        <w:rPr>
          <w:rFonts w:cstheme="minorHAnsi"/>
        </w:rPr>
        <w:t>, s možností kolísání v závislosti na rozvoji zdrojů</w:t>
      </w:r>
      <w:r w:rsidR="00E63F7E" w:rsidRPr="0092047B">
        <w:rPr>
          <w:rFonts w:cstheme="minorHAnsi"/>
        </w:rPr>
        <w:t>, s cílem zajištění</w:t>
      </w:r>
      <w:r w:rsidR="0053384C" w:rsidRPr="0092047B">
        <w:rPr>
          <w:rFonts w:cstheme="minorHAnsi"/>
        </w:rPr>
        <w:t xml:space="preserve"> stabilních dodávek elektřiny i </w:t>
      </w:r>
      <w:r w:rsidR="00E63F7E" w:rsidRPr="0092047B">
        <w:rPr>
          <w:rFonts w:cstheme="minorHAnsi"/>
        </w:rPr>
        <w:t>v krizových situacích</w:t>
      </w:r>
      <w:r w:rsidRPr="0092047B">
        <w:rPr>
          <w:rFonts w:cstheme="minorHAnsi"/>
        </w:rPr>
        <w:t>.</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Obnova, transformace a stabilizace soust</w:t>
      </w:r>
      <w:r w:rsidR="0053384C" w:rsidRPr="0092047B">
        <w:rPr>
          <w:rFonts w:cstheme="minorHAnsi"/>
        </w:rPr>
        <w:t>av zásobování teplem založená v </w:t>
      </w:r>
      <w:r w:rsidRPr="0092047B">
        <w:rPr>
          <w:rFonts w:cstheme="minorHAnsi"/>
        </w:rPr>
        <w:t>rozhodující míře na domácích zdrojích (jádro, uhlí, OZE, druhotné zdroje) doplněná zemním plynem. Využití akumulačních schopností teplárenských soustav případně v kombinaci s tepelnými čerpadly. Postupný přechod výtopen na kogenerační výrobu.</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Významná role zemního plynu v lokální spotřebě a nárůst užití zemního plynu pro KVET a částečně pro účinnou kondenzační výrobu v</w:t>
      </w:r>
      <w:r w:rsidR="00FF7CAC">
        <w:rPr>
          <w:rFonts w:cstheme="minorHAnsi"/>
        </w:rPr>
        <w:t> </w:t>
      </w:r>
      <w:r w:rsidRPr="0092047B">
        <w:rPr>
          <w:rFonts w:cstheme="minorHAnsi"/>
        </w:rPr>
        <w:t>polo</w:t>
      </w:r>
      <w:r w:rsidR="00FF7CAC">
        <w:rPr>
          <w:rFonts w:cstheme="minorHAnsi"/>
        </w:rPr>
        <w:t>-</w:t>
      </w:r>
      <w:r w:rsidRPr="0092047B">
        <w:rPr>
          <w:rFonts w:cstheme="minorHAnsi"/>
        </w:rPr>
        <w:t>špičkovém provozu. Celkový nárůst podílu zemního plynu na výrobě elektřiny.</w:t>
      </w:r>
    </w:p>
    <w:p w:rsidR="00100C3E" w:rsidRPr="0092047B" w:rsidRDefault="00756EAC" w:rsidP="00184DC1">
      <w:pPr>
        <w:numPr>
          <w:ilvl w:val="2"/>
          <w:numId w:val="34"/>
        </w:numPr>
        <w:tabs>
          <w:tab w:val="left" w:pos="1276"/>
          <w:tab w:val="left" w:pos="1418"/>
        </w:tabs>
        <w:spacing w:before="120" w:after="120"/>
        <w:ind w:left="1134" w:hanging="283"/>
        <w:contextualSpacing/>
        <w:rPr>
          <w:rFonts w:cstheme="minorHAnsi"/>
        </w:rPr>
      </w:pPr>
      <w:r w:rsidRPr="0092047B">
        <w:rPr>
          <w:rFonts w:cstheme="minorHAnsi"/>
        </w:rPr>
        <w:t xml:space="preserve">Postupný </w:t>
      </w:r>
      <w:r w:rsidR="00CD4481" w:rsidRPr="0092047B">
        <w:rPr>
          <w:rFonts w:cstheme="minorHAnsi"/>
        </w:rPr>
        <w:t xml:space="preserve">pokles </w:t>
      </w:r>
      <w:r w:rsidRPr="0092047B">
        <w:rPr>
          <w:rFonts w:cstheme="minorHAnsi"/>
        </w:rPr>
        <w:t>spotřeby kapalných paliv</w:t>
      </w:r>
      <w:r w:rsidR="00A36691" w:rsidRPr="0092047B">
        <w:rPr>
          <w:rFonts w:cstheme="minorHAnsi"/>
        </w:rPr>
        <w:t>,</w:t>
      </w:r>
      <w:r w:rsidRPr="0092047B">
        <w:rPr>
          <w:rFonts w:cstheme="minorHAnsi"/>
        </w:rPr>
        <w:t xml:space="preserve"> daný zejména zvyšující se účinností, zvýšením podílu elektrizovaných systémů veřejné hromadné dopravy (kolejová doprava, příp. trolejbusy) a dále pak zvýš</w:t>
      </w:r>
      <w:r w:rsidR="0053384C" w:rsidRPr="0092047B">
        <w:rPr>
          <w:rFonts w:cstheme="minorHAnsi"/>
        </w:rPr>
        <w:t>ením podílu LNG a CNG v </w:t>
      </w:r>
      <w:r w:rsidRPr="0092047B">
        <w:rPr>
          <w:rFonts w:cstheme="minorHAnsi"/>
        </w:rPr>
        <w:t>dopravě a později i postupný nárůst elektromobility.</w:t>
      </w:r>
    </w:p>
    <w:p w:rsidR="008F1AF2" w:rsidRPr="0092047B" w:rsidRDefault="008F1AF2" w:rsidP="00184DC1">
      <w:pPr>
        <w:numPr>
          <w:ilvl w:val="2"/>
          <w:numId w:val="34"/>
        </w:numPr>
        <w:tabs>
          <w:tab w:val="left" w:pos="1276"/>
          <w:tab w:val="left" w:pos="1418"/>
        </w:tabs>
        <w:ind w:left="1135" w:hanging="284"/>
        <w:rPr>
          <w:rFonts w:cstheme="minorHAnsi"/>
        </w:rPr>
      </w:pPr>
      <w:r w:rsidRPr="0092047B">
        <w:rPr>
          <w:rFonts w:cstheme="minorHAnsi"/>
        </w:rPr>
        <w:t>Postupný pokles vývozu elektřiny a udržení salda v rozmezí +/- 10</w:t>
      </w:r>
      <w:r w:rsidR="004E1065">
        <w:rPr>
          <w:rFonts w:cstheme="minorHAnsi"/>
        </w:rPr>
        <w:t xml:space="preserve"> </w:t>
      </w:r>
      <w:r w:rsidRPr="0092047B">
        <w:rPr>
          <w:rFonts w:cstheme="minorHAnsi"/>
        </w:rPr>
        <w:t xml:space="preserve">% </w:t>
      </w:r>
      <w:r w:rsidR="001A2909" w:rsidRPr="0092047B">
        <w:rPr>
          <w:rFonts w:cstheme="minorHAnsi"/>
        </w:rPr>
        <w:t>tuzemské</w:t>
      </w:r>
      <w:r w:rsidRPr="0092047B">
        <w:rPr>
          <w:rFonts w:cstheme="minorHAnsi"/>
        </w:rPr>
        <w:t xml:space="preserve"> spotřeby v souladu s podmínkami vnitřního trhu.</w:t>
      </w:r>
    </w:p>
    <w:p w:rsidR="00100C3E" w:rsidRPr="0092047B" w:rsidRDefault="00386D0C" w:rsidP="00184DC1">
      <w:pPr>
        <w:rPr>
          <w:rFonts w:cstheme="minorHAnsi"/>
        </w:rPr>
      </w:pPr>
      <w:r w:rsidRPr="0092047B">
        <w:rPr>
          <w:rFonts w:cstheme="minorHAnsi"/>
        </w:rPr>
        <w:t>Je nutností umožnit, příp. stimulovat</w:t>
      </w:r>
      <w:r w:rsidR="00A36691" w:rsidRPr="0092047B">
        <w:rPr>
          <w:rFonts w:cstheme="minorHAnsi"/>
        </w:rPr>
        <w:t>,</w:t>
      </w:r>
      <w:r w:rsidRPr="0092047B">
        <w:rPr>
          <w:rFonts w:cstheme="minorHAnsi"/>
        </w:rPr>
        <w:t xml:space="preserve"> co nejširší mix různých druhů energie, které mezi sebou soutěží. Jako nástroje lze využít mix administrativních, daňov</w:t>
      </w:r>
      <w:r w:rsidR="00583ADD" w:rsidRPr="0092047B">
        <w:rPr>
          <w:rFonts w:cstheme="minorHAnsi"/>
        </w:rPr>
        <w:t>ých, tarifních, komunikačních i </w:t>
      </w:r>
      <w:r w:rsidRPr="0092047B">
        <w:rPr>
          <w:rFonts w:cstheme="minorHAnsi"/>
        </w:rPr>
        <w:t xml:space="preserve">finančních opatření s celkově neutrálním </w:t>
      </w:r>
      <w:r w:rsidR="00A36691" w:rsidRPr="0092047B">
        <w:rPr>
          <w:rFonts w:cstheme="minorHAnsi"/>
        </w:rPr>
        <w:t>dopadem</w:t>
      </w:r>
      <w:r w:rsidRPr="0092047B">
        <w:rPr>
          <w:rFonts w:cstheme="minorHAnsi"/>
        </w:rPr>
        <w:t xml:space="preserve"> na</w:t>
      </w:r>
      <w:r w:rsidR="00A36691" w:rsidRPr="0092047B">
        <w:rPr>
          <w:rFonts w:cstheme="minorHAnsi"/>
        </w:rPr>
        <w:t xml:space="preserve"> státní</w:t>
      </w:r>
      <w:r w:rsidRPr="0092047B">
        <w:rPr>
          <w:rFonts w:cstheme="minorHAnsi"/>
        </w:rPr>
        <w:t xml:space="preserve"> rozpoč</w:t>
      </w:r>
      <w:r w:rsidR="00A36691" w:rsidRPr="0092047B">
        <w:rPr>
          <w:rFonts w:cstheme="minorHAnsi"/>
        </w:rPr>
        <w:t>e</w:t>
      </w:r>
      <w:r w:rsidRPr="0092047B">
        <w:rPr>
          <w:rFonts w:cstheme="minorHAnsi"/>
        </w:rPr>
        <w:t>t. Tím zároveň dojde i ke zvýšení bezpečnosti dodávek energie. Dále je důležité podporovat výstavbu nových zdrojů energie</w:t>
      </w:r>
      <w:r w:rsidR="00A36691" w:rsidRPr="0092047B">
        <w:rPr>
          <w:rFonts w:cstheme="minorHAnsi"/>
        </w:rPr>
        <w:t>,</w:t>
      </w:r>
      <w:r w:rsidRPr="0092047B">
        <w:rPr>
          <w:rFonts w:cstheme="minorHAnsi"/>
        </w:rPr>
        <w:t xml:space="preserve"> </w:t>
      </w:r>
      <w:r w:rsidR="00D81B10">
        <w:rPr>
          <w:rFonts w:cstheme="minorHAnsi"/>
        </w:rPr>
        <w:t xml:space="preserve">primárně </w:t>
      </w:r>
      <w:r w:rsidR="00A36691" w:rsidRPr="0092047B">
        <w:rPr>
          <w:rFonts w:cstheme="minorHAnsi"/>
        </w:rPr>
        <w:t>vysoce účinných a</w:t>
      </w:r>
      <w:r w:rsidRPr="0092047B">
        <w:rPr>
          <w:rFonts w:cstheme="minorHAnsi"/>
        </w:rPr>
        <w:t xml:space="preserve"> decentralizovaných, a sledovat podíl jednotlivých zdrojů energie na trhu, aby korespondoval s navrženými korid</w:t>
      </w:r>
      <w:r w:rsidR="00583ADD" w:rsidRPr="0092047B">
        <w:rPr>
          <w:rFonts w:cstheme="minorHAnsi"/>
        </w:rPr>
        <w:t>ory, tj. aby se pohyboval v </w:t>
      </w:r>
      <w:r w:rsidRPr="0092047B">
        <w:rPr>
          <w:rFonts w:cstheme="minorHAnsi"/>
        </w:rPr>
        <w:t>mezích, indikativních parametrech a cílo</w:t>
      </w:r>
      <w:r w:rsidR="00FF175A">
        <w:rPr>
          <w:rFonts w:cstheme="minorHAnsi"/>
        </w:rPr>
        <w:t>vých hodnotách stanovených v SEK</w:t>
      </w:r>
      <w:r w:rsidRPr="0092047B">
        <w:rPr>
          <w:rFonts w:cstheme="minorHAnsi"/>
        </w:rPr>
        <w:t>.</w:t>
      </w:r>
    </w:p>
    <w:p w:rsidR="00F07E20" w:rsidRPr="0092047B" w:rsidRDefault="00F07E20" w:rsidP="00184DC1">
      <w:pPr>
        <w:pStyle w:val="Nadpis3"/>
      </w:pPr>
      <w:bookmarkStart w:id="782" w:name="_Toc396923389"/>
      <w:r w:rsidRPr="0092047B">
        <w:t>Priorita II</w:t>
      </w:r>
      <w:r w:rsidR="003D7415" w:rsidRPr="0092047B">
        <w:t xml:space="preserve"> – Úspory a </w:t>
      </w:r>
      <w:r w:rsidR="001A148B">
        <w:t>e</w:t>
      </w:r>
      <w:r w:rsidR="00B55B81">
        <w:t xml:space="preserve">nergetická </w:t>
      </w:r>
      <w:r w:rsidR="003D7415" w:rsidRPr="0092047B">
        <w:t>účinnost</w:t>
      </w:r>
      <w:bookmarkEnd w:id="782"/>
    </w:p>
    <w:p w:rsidR="00F8037F" w:rsidRPr="0092047B" w:rsidRDefault="00F8037F" w:rsidP="00184DC1">
      <w:pPr>
        <w:spacing w:before="240" w:after="120"/>
        <w:rPr>
          <w:rFonts w:cstheme="minorHAnsi"/>
        </w:rPr>
      </w:pPr>
      <w:r w:rsidRPr="0092047B">
        <w:rPr>
          <w:rFonts w:cstheme="minorHAnsi"/>
        </w:rPr>
        <w:t>Priorita II</w:t>
      </w:r>
      <w:r w:rsidR="00F07E20" w:rsidRPr="0092047B">
        <w:rPr>
          <w:rFonts w:cstheme="minorHAnsi"/>
        </w:rPr>
        <w:t>:</w:t>
      </w:r>
      <w:r w:rsidRPr="0092047B">
        <w:rPr>
          <w:rFonts w:cstheme="minorHAnsi"/>
        </w:rPr>
        <w:t xml:space="preserve"> </w:t>
      </w:r>
      <w:r w:rsidR="00032170" w:rsidRPr="0092047B">
        <w:rPr>
          <w:rFonts w:cstheme="minorHAnsi"/>
          <w:b/>
          <w:u w:val="single"/>
        </w:rPr>
        <w:t xml:space="preserve">Zvyšování energetické účinnosti </w:t>
      </w:r>
      <w:r w:rsidR="00B55B81">
        <w:rPr>
          <w:rFonts w:cstheme="minorHAnsi"/>
          <w:b/>
          <w:u w:val="single"/>
        </w:rPr>
        <w:t> národního hospodářství</w:t>
      </w:r>
      <w:r w:rsidR="00032170" w:rsidRPr="0092047B">
        <w:rPr>
          <w:rFonts w:cstheme="minorHAnsi"/>
          <w:b/>
          <w:u w:val="single"/>
        </w:rPr>
        <w:t>.</w:t>
      </w:r>
    </w:p>
    <w:p w:rsidR="00756024" w:rsidRPr="0092047B" w:rsidRDefault="00756024" w:rsidP="00184DC1">
      <w:pPr>
        <w:pStyle w:val="Zkladntext"/>
        <w:spacing w:before="240" w:after="120"/>
        <w:rPr>
          <w:rFonts w:cstheme="minorHAnsi"/>
          <w:b/>
          <w:bCs/>
        </w:rPr>
      </w:pPr>
      <w:r w:rsidRPr="0092047B">
        <w:rPr>
          <w:rFonts w:cstheme="minorHAnsi"/>
          <w:b/>
          <w:bCs/>
        </w:rPr>
        <w:t>Motiv</w:t>
      </w:r>
    </w:p>
    <w:p w:rsidR="00CA7D47" w:rsidRPr="0092047B" w:rsidRDefault="00CA7D47" w:rsidP="00184DC1">
      <w:pPr>
        <w:pStyle w:val="Zkladntext"/>
        <w:rPr>
          <w:rFonts w:cstheme="minorHAnsi"/>
        </w:rPr>
      </w:pPr>
      <w:r w:rsidRPr="0092047B">
        <w:rPr>
          <w:rFonts w:cstheme="minorHAnsi"/>
          <w:szCs w:val="28"/>
        </w:rPr>
        <w:t xml:space="preserve">Zvyšování energetické </w:t>
      </w:r>
      <w:r w:rsidR="00B55B81">
        <w:rPr>
          <w:rFonts w:cstheme="minorHAnsi"/>
          <w:szCs w:val="28"/>
        </w:rPr>
        <w:t>účinnosti</w:t>
      </w:r>
      <w:r w:rsidR="00B55B81" w:rsidRPr="0092047B">
        <w:rPr>
          <w:rFonts w:cstheme="minorHAnsi"/>
          <w:szCs w:val="28"/>
        </w:rPr>
        <w:t xml:space="preserve"> </w:t>
      </w:r>
      <w:r w:rsidRPr="0092047B">
        <w:rPr>
          <w:rFonts w:cstheme="minorHAnsi"/>
          <w:szCs w:val="28"/>
        </w:rPr>
        <w:t>a</w:t>
      </w:r>
      <w:r w:rsidR="00491BAB" w:rsidRPr="0092047B">
        <w:rPr>
          <w:rFonts w:cstheme="minorHAnsi"/>
          <w:szCs w:val="28"/>
        </w:rPr>
        <w:t> </w:t>
      </w:r>
      <w:r w:rsidRPr="0092047B">
        <w:rPr>
          <w:rFonts w:cstheme="minorHAnsi"/>
          <w:szCs w:val="28"/>
        </w:rPr>
        <w:t xml:space="preserve">úspory energie jsou společným jmenovatelem všech tří </w:t>
      </w:r>
      <w:r w:rsidR="00C93E9A" w:rsidRPr="0092047B">
        <w:rPr>
          <w:rFonts w:cstheme="minorHAnsi"/>
          <w:szCs w:val="28"/>
        </w:rPr>
        <w:t>pilířů</w:t>
      </w:r>
      <w:r w:rsidRPr="0092047B">
        <w:rPr>
          <w:rFonts w:cstheme="minorHAnsi"/>
          <w:szCs w:val="28"/>
        </w:rPr>
        <w:t xml:space="preserve"> energetické </w:t>
      </w:r>
      <w:r w:rsidR="00C93E9A" w:rsidRPr="0092047B">
        <w:rPr>
          <w:rFonts w:cstheme="minorHAnsi"/>
          <w:szCs w:val="28"/>
        </w:rPr>
        <w:t>politiky ČR</w:t>
      </w:r>
      <w:r w:rsidRPr="0092047B">
        <w:rPr>
          <w:rFonts w:cstheme="minorHAnsi"/>
          <w:szCs w:val="28"/>
        </w:rPr>
        <w:t>, tedy bezpečnosti, konkurenceschopnosti a</w:t>
      </w:r>
      <w:r w:rsidR="00491BAB" w:rsidRPr="0092047B">
        <w:rPr>
          <w:rFonts w:cstheme="minorHAnsi"/>
          <w:szCs w:val="28"/>
        </w:rPr>
        <w:t> </w:t>
      </w:r>
      <w:r w:rsidRPr="0092047B">
        <w:rPr>
          <w:rFonts w:cstheme="minorHAnsi"/>
          <w:szCs w:val="28"/>
        </w:rPr>
        <w:t>udržitelnosti.</w:t>
      </w:r>
      <w:r w:rsidR="00D87F82" w:rsidRPr="0092047B">
        <w:rPr>
          <w:rFonts w:cstheme="minorHAnsi"/>
          <w:szCs w:val="28"/>
        </w:rPr>
        <w:t xml:space="preserve"> Důraz na</w:t>
      </w:r>
      <w:r w:rsidRPr="0092047B">
        <w:rPr>
          <w:rFonts w:cstheme="minorHAnsi"/>
          <w:szCs w:val="28"/>
        </w:rPr>
        <w:t xml:space="preserve"> </w:t>
      </w:r>
      <w:r w:rsidR="00D87F82" w:rsidRPr="0092047B">
        <w:rPr>
          <w:rFonts w:cstheme="minorHAnsi"/>
          <w:szCs w:val="28"/>
        </w:rPr>
        <w:t>zvyšován</w:t>
      </w:r>
      <w:r w:rsidR="00D84042" w:rsidRPr="0092047B">
        <w:rPr>
          <w:rFonts w:cstheme="minorHAnsi"/>
          <w:szCs w:val="28"/>
        </w:rPr>
        <w:t>í</w:t>
      </w:r>
      <w:r w:rsidRPr="0092047B">
        <w:rPr>
          <w:rFonts w:cstheme="minorHAnsi"/>
          <w:szCs w:val="28"/>
        </w:rPr>
        <w:t xml:space="preserve"> </w:t>
      </w:r>
      <w:r w:rsidR="00B55B81">
        <w:rPr>
          <w:rFonts w:cstheme="minorHAnsi"/>
          <w:szCs w:val="28"/>
        </w:rPr>
        <w:t xml:space="preserve">energetické </w:t>
      </w:r>
      <w:r w:rsidR="00DB5AF3" w:rsidRPr="0092047B">
        <w:rPr>
          <w:rFonts w:cstheme="minorHAnsi"/>
          <w:szCs w:val="28"/>
        </w:rPr>
        <w:t>účinnosti</w:t>
      </w:r>
      <w:r w:rsidRPr="0092047B">
        <w:rPr>
          <w:rFonts w:cstheme="minorHAnsi"/>
          <w:szCs w:val="28"/>
        </w:rPr>
        <w:t xml:space="preserve"> vychází z</w:t>
      </w:r>
      <w:r w:rsidR="00491BAB" w:rsidRPr="0092047B">
        <w:rPr>
          <w:rFonts w:cstheme="minorHAnsi"/>
          <w:szCs w:val="28"/>
        </w:rPr>
        <w:t> </w:t>
      </w:r>
      <w:r w:rsidRPr="0092047B">
        <w:rPr>
          <w:rFonts w:cstheme="minorHAnsi"/>
          <w:szCs w:val="28"/>
        </w:rPr>
        <w:t>potřeb souvisejících s</w:t>
      </w:r>
      <w:r w:rsidR="00491BAB" w:rsidRPr="0092047B">
        <w:rPr>
          <w:rFonts w:cstheme="minorHAnsi"/>
          <w:szCs w:val="28"/>
        </w:rPr>
        <w:t> </w:t>
      </w:r>
      <w:r w:rsidRPr="0092047B">
        <w:rPr>
          <w:rFonts w:cstheme="minorHAnsi"/>
          <w:szCs w:val="28"/>
        </w:rPr>
        <w:t xml:space="preserve">klesající dostupností vlastních disponibilních </w:t>
      </w:r>
      <w:r w:rsidR="00D81B10">
        <w:rPr>
          <w:rFonts w:cstheme="minorHAnsi"/>
          <w:szCs w:val="28"/>
        </w:rPr>
        <w:t>primárních</w:t>
      </w:r>
      <w:r w:rsidR="00D81B10" w:rsidRPr="0092047B">
        <w:rPr>
          <w:rFonts w:cstheme="minorHAnsi"/>
          <w:szCs w:val="28"/>
        </w:rPr>
        <w:t xml:space="preserve"> </w:t>
      </w:r>
      <w:r w:rsidRPr="0092047B">
        <w:rPr>
          <w:rFonts w:cstheme="minorHAnsi"/>
          <w:szCs w:val="28"/>
        </w:rPr>
        <w:t>zdrojů a</w:t>
      </w:r>
      <w:r w:rsidR="00491BAB" w:rsidRPr="0092047B">
        <w:rPr>
          <w:rFonts w:cstheme="minorHAnsi"/>
          <w:szCs w:val="28"/>
        </w:rPr>
        <w:t> </w:t>
      </w:r>
      <w:r w:rsidR="00D87F82" w:rsidRPr="0092047B">
        <w:rPr>
          <w:rFonts w:cstheme="minorHAnsi"/>
          <w:szCs w:val="28"/>
        </w:rPr>
        <w:t>přetrvávající</w:t>
      </w:r>
      <w:r w:rsidRPr="0092047B">
        <w:rPr>
          <w:rFonts w:cstheme="minorHAnsi"/>
          <w:szCs w:val="28"/>
        </w:rPr>
        <w:t xml:space="preserve"> průmyslovou orientací</w:t>
      </w:r>
      <w:r w:rsidR="009A2687" w:rsidRPr="0092047B">
        <w:rPr>
          <w:rFonts w:cstheme="minorHAnsi"/>
          <w:szCs w:val="28"/>
        </w:rPr>
        <w:t xml:space="preserve"> hospodářství</w:t>
      </w:r>
      <w:r w:rsidRPr="0092047B">
        <w:rPr>
          <w:rFonts w:cstheme="minorHAnsi"/>
          <w:szCs w:val="28"/>
        </w:rPr>
        <w:t>. V</w:t>
      </w:r>
      <w:r w:rsidR="00491BAB" w:rsidRPr="0092047B">
        <w:rPr>
          <w:rFonts w:cstheme="minorHAnsi"/>
          <w:szCs w:val="28"/>
        </w:rPr>
        <w:t> </w:t>
      </w:r>
      <w:r w:rsidRPr="0092047B">
        <w:rPr>
          <w:rFonts w:cstheme="minorHAnsi"/>
          <w:szCs w:val="28"/>
        </w:rPr>
        <w:t>této oblasti ČR musí zachovat</w:t>
      </w:r>
      <w:r w:rsidRPr="0092047B">
        <w:rPr>
          <w:rFonts w:cstheme="minorHAnsi"/>
        </w:rPr>
        <w:t xml:space="preserve"> </w:t>
      </w:r>
      <w:r w:rsidR="009A2687" w:rsidRPr="0092047B">
        <w:rPr>
          <w:rFonts w:cstheme="minorHAnsi"/>
        </w:rPr>
        <w:t>nebo zvýšit</w:t>
      </w:r>
      <w:r w:rsidRPr="0092047B">
        <w:rPr>
          <w:rFonts w:cstheme="minorHAnsi"/>
        </w:rPr>
        <w:t xml:space="preserve"> trend poklesu energetické náročnosti tvorby HDP a</w:t>
      </w:r>
      <w:r w:rsidR="00491BAB" w:rsidRPr="0092047B">
        <w:rPr>
          <w:rFonts w:cstheme="minorHAnsi"/>
        </w:rPr>
        <w:t> </w:t>
      </w:r>
      <w:r w:rsidRPr="0092047B">
        <w:rPr>
          <w:rFonts w:cstheme="minorHAnsi"/>
        </w:rPr>
        <w:t>usilovat o</w:t>
      </w:r>
      <w:r w:rsidR="00491BAB" w:rsidRPr="0092047B">
        <w:rPr>
          <w:rFonts w:cstheme="minorHAnsi"/>
        </w:rPr>
        <w:t> </w:t>
      </w:r>
      <w:r w:rsidRPr="0092047B">
        <w:rPr>
          <w:rFonts w:cstheme="minorHAnsi"/>
        </w:rPr>
        <w:t xml:space="preserve">to, aby po roce 2020 byla energetická náročnost </w:t>
      </w:r>
      <w:r w:rsidR="0020064D" w:rsidRPr="0092047B">
        <w:rPr>
          <w:rFonts w:cstheme="minorHAnsi"/>
        </w:rPr>
        <w:t xml:space="preserve">v jednotlivých oborech </w:t>
      </w:r>
      <w:r w:rsidRPr="0092047B">
        <w:rPr>
          <w:rFonts w:cstheme="minorHAnsi"/>
        </w:rPr>
        <w:t>na úrovni srovnatelných ekonomik v</w:t>
      </w:r>
      <w:r w:rsidR="00491BAB" w:rsidRPr="0092047B">
        <w:rPr>
          <w:rFonts w:cstheme="minorHAnsi"/>
        </w:rPr>
        <w:t> </w:t>
      </w:r>
      <w:r w:rsidR="0020064D" w:rsidRPr="0092047B">
        <w:rPr>
          <w:rFonts w:cstheme="minorHAnsi"/>
        </w:rPr>
        <w:t>rámci EU</w:t>
      </w:r>
      <w:r w:rsidRPr="0092047B">
        <w:rPr>
          <w:rFonts w:cstheme="minorHAnsi"/>
        </w:rPr>
        <w:t>.</w:t>
      </w:r>
    </w:p>
    <w:p w:rsidR="009A52B7" w:rsidRPr="0092047B" w:rsidRDefault="009A52B7" w:rsidP="00184DC1">
      <w:pPr>
        <w:pStyle w:val="Zkladntext"/>
        <w:spacing w:before="240" w:after="120"/>
        <w:rPr>
          <w:rFonts w:cstheme="minorHAnsi"/>
          <w:b/>
          <w:bCs/>
        </w:rPr>
      </w:pPr>
      <w:r w:rsidRPr="0092047B">
        <w:rPr>
          <w:rFonts w:cstheme="minorHAnsi"/>
          <w:b/>
          <w:bCs/>
        </w:rPr>
        <w:t>Cílový stav</w:t>
      </w:r>
    </w:p>
    <w:p w:rsidR="00B55B81" w:rsidRPr="00B55B81" w:rsidRDefault="00B55B81" w:rsidP="00CC5C30">
      <w:pPr>
        <w:pStyle w:val="Zkladntext"/>
        <w:spacing w:after="120"/>
        <w:rPr>
          <w:rFonts w:cstheme="minorHAnsi"/>
          <w:iCs/>
        </w:rPr>
      </w:pPr>
      <w:r w:rsidRPr="00B55B81">
        <w:rPr>
          <w:rFonts w:cstheme="minorHAnsi"/>
          <w:iCs/>
        </w:rPr>
        <w:t>Cílem je realizace energeticky úsporných opatření tak, aby čistá konečná spotřeba energie v roce 2020 odpovídala úrovni 1060 PJ (podle metodiky Eurostat, respektive 1020 PJ dle metodiky IEA). Tyto hodnoty vychází ze směrnice o energetické účinnosti</w:t>
      </w:r>
      <w:r w:rsidRPr="00B55B81">
        <w:rPr>
          <w:rStyle w:val="Znakapoznpodarou"/>
          <w:rFonts w:cstheme="minorHAnsi"/>
          <w:iCs/>
        </w:rPr>
        <w:footnoteReference w:id="18"/>
      </w:r>
      <w:r w:rsidRPr="00B55B81">
        <w:rPr>
          <w:rFonts w:cstheme="minorHAnsi"/>
          <w:iCs/>
        </w:rPr>
        <w:t>, která udává strategický rámec pro zvyšování energetické účinnosti do roku 2020. Snižování konečné spotřeby energie</w:t>
      </w:r>
      <w:r w:rsidR="000C7C9D">
        <w:rPr>
          <w:rFonts w:cstheme="minorHAnsi"/>
          <w:iCs/>
        </w:rPr>
        <w:t>, kterého může být dosaženo pomocí koncepčních a integrovaných řešení kombinujících podporu z oblasti energetiky a informačních a komunikačních technologií (např. Smart Cities),</w:t>
      </w:r>
      <w:r w:rsidRPr="00B55B81">
        <w:rPr>
          <w:rFonts w:cstheme="minorHAnsi"/>
          <w:iCs/>
        </w:rPr>
        <w:t xml:space="preserve"> bude prováděno v sektorech průmyslu, dopravy, služeb, veřejném sektoru i v</w:t>
      </w:r>
      <w:r w:rsidR="000C7C9D">
        <w:rPr>
          <w:rFonts w:cstheme="minorHAnsi"/>
          <w:iCs/>
        </w:rPr>
        <w:t> </w:t>
      </w:r>
      <w:r w:rsidRPr="00B55B81">
        <w:rPr>
          <w:rFonts w:cstheme="minorHAnsi"/>
          <w:iCs/>
        </w:rPr>
        <w:t xml:space="preserve">domácnostech. Po roce 2020 </w:t>
      </w:r>
      <w:r>
        <w:rPr>
          <w:rFonts w:cstheme="minorHAnsi"/>
          <w:iCs/>
        </w:rPr>
        <w:t xml:space="preserve">je záměrem </w:t>
      </w:r>
      <w:r w:rsidRPr="00B55B81">
        <w:rPr>
          <w:rFonts w:cstheme="minorHAnsi"/>
          <w:iCs/>
        </w:rPr>
        <w:t>pokračovat v</w:t>
      </w:r>
      <w:r>
        <w:rPr>
          <w:rFonts w:cstheme="minorHAnsi"/>
          <w:iCs/>
        </w:rPr>
        <w:t> </w:t>
      </w:r>
      <w:r w:rsidRPr="00B55B81">
        <w:rPr>
          <w:rFonts w:cstheme="minorHAnsi"/>
          <w:iCs/>
        </w:rPr>
        <w:t>úsilí</w:t>
      </w:r>
      <w:r>
        <w:rPr>
          <w:rFonts w:cstheme="minorHAnsi"/>
          <w:iCs/>
        </w:rPr>
        <w:t xml:space="preserve"> o zvyšování energetické účinnosti. Nicméně toto úsilí b</w:t>
      </w:r>
      <w:r w:rsidRPr="00B55B81">
        <w:rPr>
          <w:rFonts w:cstheme="minorHAnsi"/>
          <w:iCs/>
        </w:rPr>
        <w:t>ude oproti období do roku 2020 komplikovanější</w:t>
      </w:r>
      <w:r w:rsidR="001A148B">
        <w:rPr>
          <w:rFonts w:cstheme="minorHAnsi"/>
          <w:iCs/>
        </w:rPr>
        <w:t xml:space="preserve"> z důvodu hůře dostupného (neboli </w:t>
      </w:r>
      <w:r w:rsidRPr="00B55B81">
        <w:rPr>
          <w:rFonts w:cstheme="minorHAnsi"/>
          <w:iCs/>
        </w:rPr>
        <w:t xml:space="preserve">finančně náročnějšího) potenciálu pro zvyšování energetické účinnosti. Předpokládá se, že do roku 2020 bude kromě preferovaných komplexních opatření provedena i většina finančně méně náročných opatření. Navíc </w:t>
      </w:r>
      <w:r w:rsidR="003C2805">
        <w:rPr>
          <w:rFonts w:cstheme="minorHAnsi"/>
          <w:iCs/>
        </w:rPr>
        <w:t>není garantována</w:t>
      </w:r>
      <w:r w:rsidRPr="00B55B81">
        <w:rPr>
          <w:rFonts w:cstheme="minorHAnsi"/>
          <w:iCs/>
        </w:rPr>
        <w:t xml:space="preserve"> možnost ČR čerpat prostředky z fondů ESIF jako v období do roku 2020. Proto je potřeba i s ohledem na vyvíjející se evropskou legislativu připravit stabilní rámec podpory energetické účinnosti po roce 2020 podle finančních možností ČR.</w:t>
      </w:r>
    </w:p>
    <w:p w:rsidR="00B55B81" w:rsidRPr="00B55B81" w:rsidRDefault="00B55B81" w:rsidP="00184DC1">
      <w:pPr>
        <w:pStyle w:val="Zkladntext"/>
        <w:rPr>
          <w:rFonts w:cstheme="minorHAnsi"/>
          <w:iCs/>
        </w:rPr>
      </w:pPr>
      <w:r w:rsidRPr="00B55B81">
        <w:rPr>
          <w:rFonts w:cstheme="minorHAnsi"/>
          <w:iCs/>
        </w:rPr>
        <w:t>Realizace těchto cílů zahrnuje zejména opatření typu výměny spotřebičů za účinnější, zateplování a renovace budov,</w:t>
      </w:r>
      <w:r w:rsidR="00C26986">
        <w:rPr>
          <w:rFonts w:cstheme="minorHAnsi"/>
          <w:iCs/>
        </w:rPr>
        <w:t xml:space="preserve"> zvyšování energetické účinnosti technologických procesů v průmyslu,</w:t>
      </w:r>
      <w:r w:rsidRPr="00B55B81">
        <w:rPr>
          <w:rFonts w:cstheme="minorHAnsi"/>
          <w:iCs/>
        </w:rPr>
        <w:t xml:space="preserve"> zvyšování účinnosti přeměn energie, stejně jako sn</w:t>
      </w:r>
      <w:r w:rsidR="00C26986">
        <w:rPr>
          <w:rFonts w:cstheme="minorHAnsi"/>
          <w:iCs/>
        </w:rPr>
        <w:t>ižování</w:t>
      </w:r>
      <w:r w:rsidRPr="00B55B81">
        <w:rPr>
          <w:rFonts w:cstheme="minorHAnsi"/>
          <w:iCs/>
        </w:rPr>
        <w:t xml:space="preserve"> ztrát při přenosu a distribuci energie. Rovněž je potřeba </w:t>
      </w:r>
      <w:r>
        <w:rPr>
          <w:rFonts w:cstheme="minorHAnsi"/>
          <w:iCs/>
        </w:rPr>
        <w:t>podněcovat</w:t>
      </w:r>
      <w:r w:rsidRPr="00B55B81">
        <w:rPr>
          <w:rFonts w:cstheme="minorHAnsi"/>
          <w:iCs/>
        </w:rPr>
        <w:t xml:space="preserve"> změnu spotřebního chování, zejména pak </w:t>
      </w:r>
      <w:r>
        <w:rPr>
          <w:rFonts w:cstheme="minorHAnsi"/>
          <w:iCs/>
        </w:rPr>
        <w:t>zvyšovat</w:t>
      </w:r>
      <w:r w:rsidRPr="00B55B81">
        <w:rPr>
          <w:rFonts w:cstheme="minorHAnsi"/>
          <w:iCs/>
        </w:rPr>
        <w:t xml:space="preserve"> ekonomick</w:t>
      </w:r>
      <w:r>
        <w:rPr>
          <w:rFonts w:cstheme="minorHAnsi"/>
          <w:iCs/>
        </w:rPr>
        <w:t>ou</w:t>
      </w:r>
      <w:r w:rsidRPr="00B55B81">
        <w:rPr>
          <w:rFonts w:cstheme="minorHAnsi"/>
          <w:iCs/>
        </w:rPr>
        <w:t xml:space="preserve"> a energetick</w:t>
      </w:r>
      <w:r>
        <w:rPr>
          <w:rFonts w:cstheme="minorHAnsi"/>
          <w:iCs/>
        </w:rPr>
        <w:t>ou gramotnost obyvatelstva</w:t>
      </w:r>
      <w:r w:rsidRPr="00B55B81">
        <w:rPr>
          <w:rFonts w:cstheme="minorHAnsi"/>
          <w:iCs/>
        </w:rPr>
        <w:t>. Hlavní stimulací, kterou ČR plánuje do roku 2020 využívat, bude poskytování veřejné podpory na energeticky úsporná opatření, což v kombinaci s legislativou, vytváří vhodné prostředí pro zvyšování energetické účinnosti.</w:t>
      </w:r>
    </w:p>
    <w:p w:rsidR="006574BF" w:rsidRPr="00FD4F72" w:rsidRDefault="006574BF" w:rsidP="00184DC1">
      <w:pPr>
        <w:pStyle w:val="Zkladntext"/>
        <w:spacing w:before="240" w:after="120"/>
        <w:rPr>
          <w:rFonts w:cstheme="minorHAnsi"/>
          <w:b/>
          <w:bCs/>
        </w:rPr>
      </w:pPr>
      <w:r w:rsidRPr="00FD4F72">
        <w:rPr>
          <w:rFonts w:cstheme="minorHAnsi"/>
          <w:b/>
          <w:bCs/>
        </w:rPr>
        <w:t>Strategie do roku 2040</w:t>
      </w:r>
    </w:p>
    <w:p w:rsidR="00B55B81" w:rsidRPr="00FD4F72" w:rsidRDefault="00B55B81" w:rsidP="00184DC1">
      <w:pPr>
        <w:pStyle w:val="Zkladntext"/>
        <w:spacing w:before="240" w:after="120"/>
        <w:rPr>
          <w:rFonts w:cstheme="minorHAnsi"/>
          <w:bCs/>
          <w:u w:val="single"/>
        </w:rPr>
      </w:pPr>
      <w:r w:rsidRPr="00FD4F72">
        <w:rPr>
          <w:rFonts w:cstheme="minorHAnsi"/>
          <w:bCs/>
          <w:u w:val="single"/>
        </w:rPr>
        <w:t>Průřezová opatření</w:t>
      </w:r>
    </w:p>
    <w:p w:rsidR="00B55B81" w:rsidRPr="00FD4F72" w:rsidRDefault="00B55B81" w:rsidP="00184DC1">
      <w:pPr>
        <w:pStyle w:val="Odstavecseseznamem"/>
        <w:numPr>
          <w:ilvl w:val="2"/>
          <w:numId w:val="36"/>
        </w:numPr>
        <w:spacing w:before="120" w:after="0" w:line="240" w:lineRule="auto"/>
        <w:ind w:left="748" w:hanging="181"/>
        <w:contextualSpacing/>
        <w:rPr>
          <w:rFonts w:asciiTheme="minorHAnsi" w:hAnsiTheme="minorHAnsi" w:cstheme="minorHAnsi"/>
          <w:sz w:val="24"/>
          <w:szCs w:val="24"/>
        </w:rPr>
      </w:pPr>
      <w:r w:rsidRPr="00FD4F72">
        <w:rPr>
          <w:rFonts w:asciiTheme="minorHAnsi" w:hAnsiTheme="minorHAnsi" w:cstheme="minorHAnsi"/>
          <w:sz w:val="24"/>
          <w:szCs w:val="24"/>
        </w:rPr>
        <w:t>Zajistit realizaci Národního akčního plánu energetické účinnosti (NAPEE), tj. realizovat 47,94 PJ (13,32 TWh) nových úspor v konečné spotřebě energie do roku 2020.</w:t>
      </w:r>
    </w:p>
    <w:p w:rsidR="00B55B81" w:rsidRPr="00FD4F72" w:rsidRDefault="00B55B81" w:rsidP="00184DC1">
      <w:pPr>
        <w:numPr>
          <w:ilvl w:val="2"/>
          <w:numId w:val="36"/>
        </w:numPr>
        <w:tabs>
          <w:tab w:val="left" w:pos="1276"/>
          <w:tab w:val="left" w:pos="1418"/>
        </w:tabs>
        <w:ind w:left="748" w:hanging="181"/>
        <w:contextualSpacing/>
        <w:rPr>
          <w:rFonts w:cstheme="minorHAnsi"/>
        </w:rPr>
      </w:pPr>
      <w:r w:rsidRPr="00FD4F72">
        <w:rPr>
          <w:rFonts w:cstheme="minorHAnsi"/>
        </w:rPr>
        <w:t>Maximalizovat efektivitu vynakládání prostředků veřejné podpory (dotace a nástroje finančního inženýrství) a zajistit jejich čerpání.</w:t>
      </w:r>
    </w:p>
    <w:p w:rsidR="009358D2" w:rsidRPr="0092047B" w:rsidRDefault="009358D2" w:rsidP="00184DC1">
      <w:pPr>
        <w:pStyle w:val="Zkladntext"/>
        <w:keepNext/>
        <w:spacing w:before="240" w:after="120"/>
        <w:rPr>
          <w:u w:val="single"/>
        </w:rPr>
      </w:pPr>
      <w:r w:rsidRPr="0092047B">
        <w:rPr>
          <w:u w:val="single"/>
        </w:rPr>
        <w:t>Elektroenergetika a</w:t>
      </w:r>
      <w:r w:rsidR="00491BAB" w:rsidRPr="0092047B">
        <w:rPr>
          <w:rFonts w:cstheme="minorHAnsi"/>
          <w:b/>
          <w:bCs/>
          <w:u w:val="single"/>
        </w:rPr>
        <w:t> </w:t>
      </w:r>
      <w:r w:rsidRPr="0092047B">
        <w:rPr>
          <w:u w:val="single"/>
        </w:rPr>
        <w:t>teplárenství</w:t>
      </w:r>
    </w:p>
    <w:p w:rsidR="00100C3E" w:rsidRPr="0092047B" w:rsidRDefault="00756EAC" w:rsidP="00184DC1">
      <w:pPr>
        <w:numPr>
          <w:ilvl w:val="2"/>
          <w:numId w:val="36"/>
        </w:numPr>
        <w:tabs>
          <w:tab w:val="left" w:pos="1276"/>
          <w:tab w:val="left" w:pos="1418"/>
        </w:tabs>
        <w:spacing w:before="120" w:after="120"/>
        <w:ind w:left="1135" w:hanging="284"/>
        <w:contextualSpacing/>
        <w:rPr>
          <w:rFonts w:cstheme="minorHAnsi"/>
        </w:rPr>
      </w:pPr>
      <w:r w:rsidRPr="0089461D">
        <w:rPr>
          <w:rFonts w:cstheme="minorHAnsi"/>
        </w:rPr>
        <w:t xml:space="preserve">Zabezpečit zvýšení účinnosti přeměn a využití energie s využitím parametrů </w:t>
      </w:r>
      <w:r w:rsidR="003C2805" w:rsidRPr="0089461D">
        <w:rPr>
          <w:rFonts w:cstheme="minorHAnsi"/>
        </w:rPr>
        <w:t>nejlepších dostupných technik (</w:t>
      </w:r>
      <w:r w:rsidR="00A157D2" w:rsidRPr="0089461D">
        <w:rPr>
          <w:rFonts w:cstheme="minorHAnsi"/>
        </w:rPr>
        <w:t>BAT</w:t>
      </w:r>
      <w:r w:rsidR="003C2805" w:rsidRPr="0089461D">
        <w:rPr>
          <w:rFonts w:cstheme="minorHAnsi"/>
        </w:rPr>
        <w:t>)</w:t>
      </w:r>
      <w:r w:rsidR="00A157D2" w:rsidRPr="0089461D">
        <w:rPr>
          <w:rFonts w:cstheme="minorHAnsi"/>
        </w:rPr>
        <w:t xml:space="preserve"> </w:t>
      </w:r>
      <w:r w:rsidRPr="0092047B">
        <w:rPr>
          <w:rFonts w:cstheme="minorHAnsi"/>
        </w:rPr>
        <w:t>pro všechny nově budované a rekonstruované zdroje. Nové spalovací zdroje budovat jako vysokoúčinné či kogenerační.</w:t>
      </w:r>
    </w:p>
    <w:p w:rsidR="00100C3E" w:rsidRPr="0092047B" w:rsidRDefault="00756EAC" w:rsidP="00184DC1">
      <w:pPr>
        <w:numPr>
          <w:ilvl w:val="2"/>
          <w:numId w:val="36"/>
        </w:numPr>
        <w:tabs>
          <w:tab w:val="left" w:pos="1276"/>
          <w:tab w:val="left" w:pos="1418"/>
        </w:tabs>
        <w:spacing w:before="120" w:after="120"/>
        <w:ind w:left="1135" w:hanging="284"/>
        <w:contextualSpacing/>
        <w:rPr>
          <w:rFonts w:cstheme="minorHAnsi"/>
        </w:rPr>
      </w:pPr>
      <w:r w:rsidRPr="0092047B">
        <w:rPr>
          <w:rFonts w:cstheme="minorHAnsi"/>
        </w:rPr>
        <w:t>Omez</w:t>
      </w:r>
      <w:r w:rsidR="003836CA">
        <w:rPr>
          <w:rFonts w:cstheme="minorHAnsi"/>
        </w:rPr>
        <w:t>it</w:t>
      </w:r>
      <w:r w:rsidRPr="0092047B">
        <w:rPr>
          <w:rFonts w:cstheme="minorHAnsi"/>
        </w:rPr>
        <w:t xml:space="preserve"> nízko</w:t>
      </w:r>
      <w:r w:rsidR="00720E2D">
        <w:rPr>
          <w:rFonts w:cstheme="minorHAnsi"/>
        </w:rPr>
        <w:t>-</w:t>
      </w:r>
      <w:r w:rsidRPr="0092047B">
        <w:rPr>
          <w:rFonts w:cstheme="minorHAnsi"/>
        </w:rPr>
        <w:t>účinn</w:t>
      </w:r>
      <w:r w:rsidR="003836CA">
        <w:rPr>
          <w:rFonts w:cstheme="minorHAnsi"/>
        </w:rPr>
        <w:t>ou</w:t>
      </w:r>
      <w:r w:rsidRPr="0092047B">
        <w:rPr>
          <w:rFonts w:cstheme="minorHAnsi"/>
        </w:rPr>
        <w:t xml:space="preserve"> kondenzačn</w:t>
      </w:r>
      <w:r w:rsidR="003836CA">
        <w:rPr>
          <w:rFonts w:cstheme="minorHAnsi"/>
        </w:rPr>
        <w:t>í</w:t>
      </w:r>
      <w:r w:rsidR="00C57D63">
        <w:rPr>
          <w:rFonts w:cstheme="minorHAnsi"/>
        </w:rPr>
        <w:t xml:space="preserve"> v</w:t>
      </w:r>
      <w:r w:rsidR="003836CA">
        <w:rPr>
          <w:rFonts w:cstheme="minorHAnsi"/>
        </w:rPr>
        <w:t>ý</w:t>
      </w:r>
      <w:r w:rsidR="00C57D63">
        <w:rPr>
          <w:rFonts w:cstheme="minorHAnsi"/>
        </w:rPr>
        <w:t>rob</w:t>
      </w:r>
      <w:r w:rsidR="003836CA">
        <w:rPr>
          <w:rFonts w:cstheme="minorHAnsi"/>
        </w:rPr>
        <w:t>u</w:t>
      </w:r>
      <w:r w:rsidR="00C57D63">
        <w:rPr>
          <w:rFonts w:cstheme="minorHAnsi"/>
        </w:rPr>
        <w:t xml:space="preserve"> elektřiny z</w:t>
      </w:r>
      <w:r w:rsidR="003836CA">
        <w:rPr>
          <w:rFonts w:cstheme="minorHAnsi"/>
        </w:rPr>
        <w:t> </w:t>
      </w:r>
      <w:r w:rsidR="00C57D63">
        <w:rPr>
          <w:rFonts w:cstheme="minorHAnsi"/>
        </w:rPr>
        <w:t xml:space="preserve">uhlí </w:t>
      </w:r>
      <w:r w:rsidR="003836CA">
        <w:rPr>
          <w:rFonts w:cstheme="minorHAnsi"/>
        </w:rPr>
        <w:t xml:space="preserve">s </w:t>
      </w:r>
      <w:r w:rsidRPr="0092047B">
        <w:rPr>
          <w:rFonts w:cstheme="minorHAnsi"/>
        </w:rPr>
        <w:t>pomocí finančních nástrojů.</w:t>
      </w:r>
    </w:p>
    <w:p w:rsidR="00100C3E" w:rsidRPr="0092047B" w:rsidRDefault="00756EAC" w:rsidP="00184DC1">
      <w:pPr>
        <w:numPr>
          <w:ilvl w:val="2"/>
          <w:numId w:val="36"/>
        </w:numPr>
        <w:tabs>
          <w:tab w:val="left" w:pos="1276"/>
          <w:tab w:val="left" w:pos="1418"/>
        </w:tabs>
        <w:spacing w:before="120" w:after="120"/>
        <w:ind w:left="1135" w:hanging="284"/>
        <w:contextualSpacing/>
        <w:rPr>
          <w:rFonts w:cstheme="minorHAnsi"/>
        </w:rPr>
      </w:pPr>
      <w:r w:rsidRPr="0092047B">
        <w:rPr>
          <w:rFonts w:cstheme="minorHAnsi"/>
        </w:rPr>
        <w:t xml:space="preserve">Přechod většiny výtopen na </w:t>
      </w:r>
      <w:r w:rsidR="001A2909" w:rsidRPr="0092047B">
        <w:rPr>
          <w:rFonts w:cstheme="minorHAnsi"/>
        </w:rPr>
        <w:t>vysokoúčinnou</w:t>
      </w:r>
      <w:r w:rsidRPr="0092047B">
        <w:rPr>
          <w:rFonts w:cstheme="minorHAnsi"/>
        </w:rPr>
        <w:t xml:space="preserve"> kogenerační výrobu </w:t>
      </w:r>
      <w:r w:rsidR="00C57D63">
        <w:rPr>
          <w:rFonts w:cstheme="minorHAnsi"/>
        </w:rPr>
        <w:t xml:space="preserve">tam, kde je to ekonomicky výhodné, </w:t>
      </w:r>
      <w:r w:rsidRPr="0092047B">
        <w:rPr>
          <w:rFonts w:cstheme="minorHAnsi"/>
        </w:rPr>
        <w:t>s efektivním využitím tepelných čerpadel a související snížení ztrát v distribuci tepla.</w:t>
      </w:r>
    </w:p>
    <w:p w:rsidR="00B632B2" w:rsidRDefault="00756EAC" w:rsidP="00184DC1">
      <w:pPr>
        <w:numPr>
          <w:ilvl w:val="2"/>
          <w:numId w:val="36"/>
        </w:numPr>
        <w:tabs>
          <w:tab w:val="left" w:pos="1276"/>
          <w:tab w:val="left" w:pos="1418"/>
        </w:tabs>
        <w:spacing w:before="120"/>
        <w:ind w:left="1135" w:hanging="284"/>
        <w:contextualSpacing/>
        <w:rPr>
          <w:rFonts w:cstheme="minorHAnsi"/>
        </w:rPr>
      </w:pPr>
      <w:r w:rsidRPr="0092047B">
        <w:rPr>
          <w:rFonts w:cstheme="minorHAnsi"/>
        </w:rPr>
        <w:t xml:space="preserve">Využití elektřiny pro výrobu tepla v konečné spotřebě </w:t>
      </w:r>
      <w:r w:rsidR="00755B8E">
        <w:rPr>
          <w:rFonts w:cstheme="minorHAnsi"/>
        </w:rPr>
        <w:t>zejména</w:t>
      </w:r>
      <w:r w:rsidRPr="0092047B">
        <w:rPr>
          <w:rFonts w:cstheme="minorHAnsi"/>
        </w:rPr>
        <w:t xml:space="preserve"> na bázi tepelných čerpadel (postupná </w:t>
      </w:r>
      <w:r w:rsidR="00755B8E">
        <w:rPr>
          <w:rFonts w:cstheme="minorHAnsi"/>
        </w:rPr>
        <w:t>substituce</w:t>
      </w:r>
      <w:r w:rsidR="00755B8E" w:rsidRPr="0092047B">
        <w:rPr>
          <w:rFonts w:cstheme="minorHAnsi"/>
        </w:rPr>
        <w:t xml:space="preserve"> </w:t>
      </w:r>
      <w:r w:rsidR="008F1AF2" w:rsidRPr="0092047B">
        <w:rPr>
          <w:rFonts w:cstheme="minorHAnsi"/>
        </w:rPr>
        <w:t>přímotopných systémů).</w:t>
      </w:r>
    </w:p>
    <w:p w:rsidR="00100C3E" w:rsidRPr="0092047B" w:rsidRDefault="00756EAC" w:rsidP="00184DC1">
      <w:pPr>
        <w:pStyle w:val="Zkladntext"/>
        <w:tabs>
          <w:tab w:val="left" w:pos="0"/>
        </w:tabs>
        <w:spacing w:before="240" w:after="120"/>
        <w:rPr>
          <w:u w:val="single"/>
        </w:rPr>
      </w:pPr>
      <w:r w:rsidRPr="0092047B">
        <w:rPr>
          <w:u w:val="single"/>
        </w:rPr>
        <w:t>Domácnosti, služby a veřejný sektor (budovy, zařízení budov a spotřebiče)</w:t>
      </w:r>
    </w:p>
    <w:p w:rsidR="00905529" w:rsidRPr="00FD4F72" w:rsidRDefault="003C2805" w:rsidP="00184DC1">
      <w:pPr>
        <w:numPr>
          <w:ilvl w:val="2"/>
          <w:numId w:val="36"/>
        </w:numPr>
        <w:tabs>
          <w:tab w:val="left" w:pos="1276"/>
          <w:tab w:val="left" w:pos="1418"/>
        </w:tabs>
        <w:spacing w:before="120" w:after="120"/>
        <w:ind w:left="1135" w:hanging="284"/>
        <w:contextualSpacing/>
        <w:rPr>
          <w:rFonts w:cstheme="minorHAnsi"/>
        </w:rPr>
      </w:pPr>
      <w:r>
        <w:rPr>
          <w:rFonts w:cstheme="minorHAnsi"/>
        </w:rPr>
        <w:t>Podpořit vyšší</w:t>
      </w:r>
      <w:r w:rsidR="00DD24EF" w:rsidRPr="00FD4F72">
        <w:rPr>
          <w:rFonts w:cstheme="minorHAnsi"/>
        </w:rPr>
        <w:t xml:space="preserve"> </w:t>
      </w:r>
      <w:r w:rsidR="00756EAC" w:rsidRPr="00FD4F72">
        <w:rPr>
          <w:rFonts w:cstheme="minorHAnsi"/>
        </w:rPr>
        <w:t>účinnost spotřebičů pomocí přirozené ob</w:t>
      </w:r>
      <w:r w:rsidR="0053384C" w:rsidRPr="00FD4F72">
        <w:rPr>
          <w:rFonts w:cstheme="minorHAnsi"/>
        </w:rPr>
        <w:t>měny a</w:t>
      </w:r>
      <w:r w:rsidR="005418FD">
        <w:rPr>
          <w:rFonts w:cstheme="minorHAnsi"/>
        </w:rPr>
        <w:t xml:space="preserve"> </w:t>
      </w:r>
      <w:r>
        <w:rPr>
          <w:rFonts w:cstheme="minorHAnsi"/>
        </w:rPr>
        <w:t>zajistit</w:t>
      </w:r>
      <w:r w:rsidRPr="00FD4F72">
        <w:rPr>
          <w:rFonts w:cstheme="minorHAnsi"/>
        </w:rPr>
        <w:t xml:space="preserve"> zvýšen</w:t>
      </w:r>
      <w:r>
        <w:rPr>
          <w:rFonts w:cstheme="minorHAnsi"/>
        </w:rPr>
        <w:t>í</w:t>
      </w:r>
      <w:r w:rsidR="0053384C" w:rsidRPr="00FD4F72">
        <w:rPr>
          <w:rFonts w:cstheme="minorHAnsi"/>
        </w:rPr>
        <w:t xml:space="preserve"> informovanosti o </w:t>
      </w:r>
      <w:r w:rsidR="00756EAC" w:rsidRPr="00FD4F72">
        <w:rPr>
          <w:rFonts w:cstheme="minorHAnsi"/>
        </w:rPr>
        <w:t xml:space="preserve">výhodách úsporných </w:t>
      </w:r>
      <w:r w:rsidR="00756EAC" w:rsidRPr="0089461D">
        <w:rPr>
          <w:rFonts w:cstheme="minorHAnsi"/>
        </w:rPr>
        <w:t>spotřebičů</w:t>
      </w:r>
      <w:r w:rsidRPr="0089461D">
        <w:rPr>
          <w:rFonts w:cstheme="minorHAnsi"/>
        </w:rPr>
        <w:t xml:space="preserve"> pomocí podpory informačním kampaním</w:t>
      </w:r>
      <w:r w:rsidR="00756EAC" w:rsidRPr="0089461D">
        <w:rPr>
          <w:rFonts w:cstheme="minorHAnsi"/>
        </w:rPr>
        <w:t>.</w:t>
      </w:r>
      <w:r w:rsidRPr="0089461D">
        <w:rPr>
          <w:rFonts w:cstheme="minorHAnsi"/>
        </w:rPr>
        <w:t xml:space="preserve"> Zajistit plnění příkladné role státu formou výběru energeticky nejúspornějších spotřebičů (nejvyšších energetických tříd), budov a dopravních prostředků na trhu při hromadném nakupování.</w:t>
      </w:r>
      <w:r w:rsidR="00D068EF" w:rsidRPr="0089461D">
        <w:rPr>
          <w:rFonts w:cstheme="minorHAnsi"/>
        </w:rPr>
        <w:t xml:space="preserve"> </w:t>
      </w:r>
      <w:r w:rsidR="00BE44C4" w:rsidRPr="0089461D">
        <w:rPr>
          <w:rFonts w:cstheme="minorHAnsi"/>
        </w:rPr>
        <w:t>Snížit spotřebu ve standby režimu pomoc</w:t>
      </w:r>
      <w:r w:rsidR="003836CA" w:rsidRPr="0089461D">
        <w:rPr>
          <w:rFonts w:cstheme="minorHAnsi"/>
        </w:rPr>
        <w:t>í nástrojů inteligentních sítí.</w:t>
      </w:r>
    </w:p>
    <w:p w:rsidR="00905529" w:rsidRPr="00FD4F72" w:rsidRDefault="00905529" w:rsidP="00184DC1">
      <w:pPr>
        <w:numPr>
          <w:ilvl w:val="2"/>
          <w:numId w:val="36"/>
        </w:numPr>
        <w:tabs>
          <w:tab w:val="left" w:pos="1276"/>
          <w:tab w:val="left" w:pos="1418"/>
        </w:tabs>
        <w:spacing w:before="120" w:after="120"/>
        <w:ind w:left="1135" w:hanging="284"/>
        <w:contextualSpacing/>
        <w:rPr>
          <w:rFonts w:cstheme="minorHAnsi"/>
        </w:rPr>
      </w:pPr>
      <w:r w:rsidRPr="00FD4F72">
        <w:rPr>
          <w:rFonts w:cstheme="minorHAnsi"/>
        </w:rPr>
        <w:t>Snižovat energetickou náročnost budov, tzn. plnit požadavky na energetickou náročnost budovy podle zákona o hospodaření energií.</w:t>
      </w:r>
    </w:p>
    <w:p w:rsidR="001A148B" w:rsidRDefault="00905529" w:rsidP="00184DC1">
      <w:pPr>
        <w:numPr>
          <w:ilvl w:val="2"/>
          <w:numId w:val="36"/>
        </w:numPr>
        <w:tabs>
          <w:tab w:val="left" w:pos="1276"/>
          <w:tab w:val="left" w:pos="1418"/>
        </w:tabs>
        <w:spacing w:before="120" w:after="120"/>
        <w:ind w:left="1135" w:hanging="284"/>
        <w:contextualSpacing/>
        <w:rPr>
          <w:rFonts w:cstheme="minorHAnsi"/>
        </w:rPr>
      </w:pPr>
      <w:r w:rsidRPr="00FD4F72">
        <w:rPr>
          <w:rFonts w:cstheme="minorHAnsi"/>
        </w:rPr>
        <w:t>Zajišťovat renovace rezidenčních budov minimálně v souladu se scénářem č. 3  Strategie renovace budov</w:t>
      </w:r>
      <w:r w:rsidR="003836CA">
        <w:rPr>
          <w:rFonts w:cstheme="minorHAnsi"/>
        </w:rPr>
        <w:t>.</w:t>
      </w:r>
      <w:r w:rsidRPr="00FD4F72">
        <w:rPr>
          <w:rStyle w:val="Znakapoznpodarou"/>
          <w:rFonts w:cstheme="minorHAnsi"/>
        </w:rPr>
        <w:footnoteReference w:id="19"/>
      </w:r>
    </w:p>
    <w:p w:rsidR="00100C3E" w:rsidRPr="00FD4F72" w:rsidRDefault="00100C3E" w:rsidP="00184DC1">
      <w:pPr>
        <w:numPr>
          <w:ilvl w:val="2"/>
          <w:numId w:val="36"/>
        </w:numPr>
        <w:tabs>
          <w:tab w:val="left" w:pos="1276"/>
          <w:tab w:val="left" w:pos="1418"/>
        </w:tabs>
        <w:spacing w:before="120" w:after="120"/>
        <w:ind w:left="1135" w:hanging="284"/>
        <w:contextualSpacing/>
        <w:rPr>
          <w:rFonts w:cstheme="minorHAnsi"/>
        </w:rPr>
      </w:pPr>
      <w:r w:rsidRPr="00FD4F72">
        <w:rPr>
          <w:rFonts w:cstheme="minorHAnsi"/>
        </w:rPr>
        <w:t xml:space="preserve">Realizovat </w:t>
      </w:r>
      <w:r w:rsidR="00905529" w:rsidRPr="00FD4F72">
        <w:rPr>
          <w:rFonts w:cstheme="minorHAnsi"/>
        </w:rPr>
        <w:t>energetické úspory budov ústředních institucí podle článku 5 směrnice o energetické účinnosti</w:t>
      </w:r>
      <w:r w:rsidR="007754D9">
        <w:rPr>
          <w:rFonts w:cstheme="minorHAnsi"/>
        </w:rPr>
        <w:t>.</w:t>
      </w:r>
      <w:r w:rsidR="001F5227">
        <w:rPr>
          <w:rStyle w:val="Znakapoznpodarou"/>
          <w:rFonts w:cstheme="minorHAnsi"/>
        </w:rPr>
        <w:footnoteReference w:id="20"/>
      </w:r>
    </w:p>
    <w:p w:rsidR="00100C3E" w:rsidRPr="00FD4F72" w:rsidRDefault="00100C3E" w:rsidP="00184DC1">
      <w:pPr>
        <w:numPr>
          <w:ilvl w:val="2"/>
          <w:numId w:val="36"/>
        </w:numPr>
        <w:tabs>
          <w:tab w:val="left" w:pos="1276"/>
          <w:tab w:val="left" w:pos="1418"/>
        </w:tabs>
        <w:spacing w:before="120" w:after="120"/>
        <w:ind w:left="1135" w:hanging="284"/>
        <w:contextualSpacing/>
        <w:rPr>
          <w:rFonts w:cstheme="minorHAnsi"/>
        </w:rPr>
      </w:pPr>
      <w:r w:rsidRPr="00FD4F72">
        <w:rPr>
          <w:rFonts w:cstheme="minorHAnsi"/>
        </w:rPr>
        <w:t xml:space="preserve">Maximalizovat využití </w:t>
      </w:r>
      <w:r w:rsidR="005B6D9E" w:rsidRPr="00FD4F72">
        <w:rPr>
          <w:rFonts w:cstheme="minorHAnsi"/>
        </w:rPr>
        <w:t>dotačních</w:t>
      </w:r>
      <w:r w:rsidRPr="00FD4F72">
        <w:rPr>
          <w:rFonts w:cstheme="minorHAnsi"/>
        </w:rPr>
        <w:t xml:space="preserve"> programů</w:t>
      </w:r>
      <w:r w:rsidR="000F34BD" w:rsidRPr="00FD4F72">
        <w:rPr>
          <w:rFonts w:cstheme="minorHAnsi"/>
        </w:rPr>
        <w:t xml:space="preserve"> EU k dosažení energetických úspor (míra dosažených energetických úspor jako jedno z výběrových kri</w:t>
      </w:r>
      <w:r w:rsidR="003836CA">
        <w:rPr>
          <w:rFonts w:cstheme="minorHAnsi"/>
        </w:rPr>
        <w:t>térií v operačních programech).</w:t>
      </w:r>
    </w:p>
    <w:p w:rsidR="000F34BD" w:rsidRDefault="0035284D" w:rsidP="00184DC1">
      <w:pPr>
        <w:numPr>
          <w:ilvl w:val="2"/>
          <w:numId w:val="36"/>
        </w:numPr>
        <w:tabs>
          <w:tab w:val="left" w:pos="1276"/>
          <w:tab w:val="left" w:pos="1418"/>
        </w:tabs>
        <w:spacing w:before="120" w:after="120"/>
        <w:ind w:left="1135" w:hanging="284"/>
        <w:contextualSpacing/>
        <w:rPr>
          <w:rFonts w:cstheme="minorHAnsi"/>
        </w:rPr>
      </w:pPr>
      <w:r w:rsidRPr="00FD4F72">
        <w:rPr>
          <w:rFonts w:cstheme="minorHAnsi"/>
        </w:rPr>
        <w:t>Podporovat využívání energetických služ</w:t>
      </w:r>
      <w:r w:rsidR="000025A6">
        <w:rPr>
          <w:rFonts w:cstheme="minorHAnsi"/>
        </w:rPr>
        <w:t>eb</w:t>
      </w:r>
      <w:r w:rsidRPr="00FD4F72">
        <w:rPr>
          <w:rFonts w:cstheme="minorHAnsi"/>
        </w:rPr>
        <w:t xml:space="preserve"> se zaručeným výsledkem</w:t>
      </w:r>
      <w:r w:rsidR="003C2805">
        <w:rPr>
          <w:rFonts w:cstheme="minorHAnsi"/>
        </w:rPr>
        <w:t xml:space="preserve"> (EPC) v nerezidenčním sektoru</w:t>
      </w:r>
      <w:r w:rsidRPr="00FD4F72">
        <w:rPr>
          <w:rFonts w:cstheme="minorHAnsi"/>
        </w:rPr>
        <w:t>.</w:t>
      </w:r>
    </w:p>
    <w:p w:rsidR="00B632B2" w:rsidRPr="0092047B" w:rsidRDefault="00B632B2" w:rsidP="00184DC1">
      <w:pPr>
        <w:numPr>
          <w:ilvl w:val="2"/>
          <w:numId w:val="36"/>
        </w:numPr>
        <w:tabs>
          <w:tab w:val="left" w:pos="1276"/>
          <w:tab w:val="left" w:pos="1418"/>
        </w:tabs>
        <w:spacing w:before="120"/>
        <w:ind w:left="1135" w:hanging="284"/>
        <w:rPr>
          <w:rFonts w:cstheme="minorHAnsi"/>
        </w:rPr>
      </w:pPr>
      <w:r>
        <w:rPr>
          <w:rFonts w:cstheme="minorHAnsi"/>
        </w:rPr>
        <w:t>Podporovat zavádění systémů hospodaření s energií ve veřejném sektoru (Systém</w:t>
      </w:r>
      <w:r w:rsidRPr="0070562B">
        <w:rPr>
          <w:rFonts w:cstheme="minorHAnsi"/>
        </w:rPr>
        <w:t xml:space="preserve"> energetického managementu a jeho certifikaci podle ČSN EN ISO 50001 - Systém managementu hospodaření s</w:t>
      </w:r>
      <w:r>
        <w:rPr>
          <w:rFonts w:cstheme="minorHAnsi"/>
        </w:rPr>
        <w:t> </w:t>
      </w:r>
      <w:r w:rsidRPr="0070562B">
        <w:rPr>
          <w:rFonts w:cstheme="minorHAnsi"/>
        </w:rPr>
        <w:t>energií</w:t>
      </w:r>
      <w:r>
        <w:rPr>
          <w:rFonts w:cstheme="minorHAnsi"/>
        </w:rPr>
        <w:t>)</w:t>
      </w:r>
      <w:r w:rsidR="00903E4A">
        <w:rPr>
          <w:rFonts w:cstheme="minorHAnsi"/>
        </w:rPr>
        <w:t>.</w:t>
      </w:r>
    </w:p>
    <w:p w:rsidR="009358D2" w:rsidRPr="0092047B" w:rsidRDefault="009358D2" w:rsidP="00184DC1">
      <w:pPr>
        <w:pStyle w:val="Zkladntext"/>
        <w:spacing w:before="240" w:after="120"/>
        <w:rPr>
          <w:u w:val="single"/>
        </w:rPr>
      </w:pPr>
      <w:r w:rsidRPr="0092047B">
        <w:rPr>
          <w:u w:val="single"/>
        </w:rPr>
        <w:t>Průmysl</w:t>
      </w:r>
    </w:p>
    <w:p w:rsidR="0035284D" w:rsidRPr="00FD4F72" w:rsidRDefault="0035284D" w:rsidP="00184DC1">
      <w:pPr>
        <w:numPr>
          <w:ilvl w:val="2"/>
          <w:numId w:val="36"/>
        </w:numPr>
        <w:tabs>
          <w:tab w:val="left" w:pos="1276"/>
          <w:tab w:val="left" w:pos="1418"/>
        </w:tabs>
        <w:spacing w:before="120" w:after="120"/>
        <w:ind w:left="1134" w:hanging="181"/>
        <w:contextualSpacing/>
        <w:rPr>
          <w:rFonts w:cstheme="minorHAnsi"/>
        </w:rPr>
      </w:pPr>
      <w:r w:rsidRPr="00FD4F72">
        <w:rPr>
          <w:rFonts w:cstheme="minorHAnsi"/>
        </w:rPr>
        <w:t>Snižovat energetickou náročnost budov v průmyslu.</w:t>
      </w:r>
    </w:p>
    <w:p w:rsidR="00FD4F72" w:rsidRPr="00FD4F72" w:rsidRDefault="00FD4F72" w:rsidP="00184DC1">
      <w:pPr>
        <w:numPr>
          <w:ilvl w:val="2"/>
          <w:numId w:val="36"/>
        </w:numPr>
        <w:tabs>
          <w:tab w:val="left" w:pos="1134"/>
          <w:tab w:val="left" w:pos="1276"/>
        </w:tabs>
        <w:spacing w:before="120" w:after="120"/>
        <w:ind w:left="1134" w:hanging="181"/>
        <w:contextualSpacing/>
        <w:rPr>
          <w:rFonts w:cstheme="minorHAnsi"/>
        </w:rPr>
      </w:pPr>
      <w:r w:rsidRPr="00FD4F72">
        <w:rPr>
          <w:rFonts w:cstheme="minorHAnsi"/>
        </w:rPr>
        <w:t xml:space="preserve">Podporovat rekonstrukce zařízení a technologií za účelem zvýšení jejich efektivity a celkově zvyšovat energetickou účinnost průmyslových </w:t>
      </w:r>
      <w:r w:rsidR="00B632B2">
        <w:rPr>
          <w:rFonts w:cstheme="minorHAnsi"/>
        </w:rPr>
        <w:t>provozů</w:t>
      </w:r>
      <w:r w:rsidRPr="00FD4F72">
        <w:rPr>
          <w:rFonts w:cstheme="minorHAnsi"/>
        </w:rPr>
        <w:t>.</w:t>
      </w:r>
    </w:p>
    <w:p w:rsidR="00FD4F72" w:rsidRPr="00FD4F72" w:rsidRDefault="00FD4F72" w:rsidP="00184DC1">
      <w:pPr>
        <w:numPr>
          <w:ilvl w:val="2"/>
          <w:numId w:val="36"/>
        </w:numPr>
        <w:tabs>
          <w:tab w:val="left" w:pos="426"/>
          <w:tab w:val="left" w:pos="1134"/>
          <w:tab w:val="left" w:pos="1276"/>
        </w:tabs>
        <w:spacing w:before="120"/>
        <w:ind w:left="1134" w:hanging="181"/>
        <w:rPr>
          <w:rFonts w:cstheme="minorHAnsi"/>
        </w:rPr>
      </w:pPr>
      <w:r w:rsidRPr="00FD4F72">
        <w:rPr>
          <w:rFonts w:cstheme="minorHAnsi"/>
        </w:rPr>
        <w:t>Podporovat zavádění systému energetického managementu a jeho certifikaci podle ČSN EN ISO 50001 - Systém managementu hospodaření s energií.</w:t>
      </w:r>
    </w:p>
    <w:p w:rsidR="004C06CC" w:rsidRPr="0092047B" w:rsidRDefault="004C06CC" w:rsidP="00184DC1">
      <w:pPr>
        <w:pStyle w:val="Zkladntext"/>
        <w:spacing w:before="240" w:after="120"/>
        <w:rPr>
          <w:rFonts w:cstheme="minorHAnsi"/>
          <w:u w:val="single"/>
        </w:rPr>
      </w:pPr>
      <w:r w:rsidRPr="0092047B">
        <w:rPr>
          <w:rFonts w:cstheme="minorHAnsi"/>
          <w:u w:val="single"/>
        </w:rPr>
        <w:t>Doprava</w:t>
      </w:r>
    </w:p>
    <w:p w:rsidR="001A148B" w:rsidRDefault="00756EAC" w:rsidP="00184DC1">
      <w:pPr>
        <w:numPr>
          <w:ilvl w:val="2"/>
          <w:numId w:val="36"/>
        </w:numPr>
        <w:tabs>
          <w:tab w:val="left" w:pos="1276"/>
        </w:tabs>
        <w:spacing w:before="120" w:after="120"/>
        <w:ind w:left="1134" w:hanging="181"/>
        <w:contextualSpacing/>
        <w:rPr>
          <w:rFonts w:cstheme="minorHAnsi"/>
        </w:rPr>
      </w:pPr>
      <w:r w:rsidRPr="0092047B">
        <w:rPr>
          <w:rFonts w:cstheme="minorHAnsi"/>
        </w:rPr>
        <w:t>Zvýšit účinnost energetické přeměny u spalovacíc</w:t>
      </w:r>
      <w:r w:rsidR="00583ADD" w:rsidRPr="0092047B">
        <w:rPr>
          <w:rFonts w:cstheme="minorHAnsi"/>
        </w:rPr>
        <w:t>h motorů se souběžným účinkem a </w:t>
      </w:r>
      <w:r w:rsidRPr="0092047B">
        <w:rPr>
          <w:rFonts w:cstheme="minorHAnsi"/>
        </w:rPr>
        <w:t>snížení měrných emisí z dopravy, a to i fiskálními nástroji (odstupňovaná silniční daň, platba za využití infrastruktury/mýto).</w:t>
      </w:r>
    </w:p>
    <w:p w:rsidR="001A148B" w:rsidRDefault="00756EAC" w:rsidP="00184DC1">
      <w:pPr>
        <w:numPr>
          <w:ilvl w:val="2"/>
          <w:numId w:val="36"/>
        </w:numPr>
        <w:tabs>
          <w:tab w:val="left" w:pos="1276"/>
        </w:tabs>
        <w:spacing w:before="120" w:after="120"/>
        <w:ind w:left="1134" w:hanging="181"/>
        <w:contextualSpacing/>
        <w:rPr>
          <w:rFonts w:cstheme="minorHAnsi"/>
        </w:rPr>
      </w:pPr>
      <w:r w:rsidRPr="001A148B">
        <w:rPr>
          <w:rFonts w:cstheme="minorHAnsi"/>
        </w:rPr>
        <w:t>Snížit ztráty při provozu napájecích soustav a zařízení v elektrické trakci.</w:t>
      </w:r>
    </w:p>
    <w:p w:rsidR="001A148B" w:rsidRDefault="00756EAC" w:rsidP="00184DC1">
      <w:pPr>
        <w:numPr>
          <w:ilvl w:val="2"/>
          <w:numId w:val="36"/>
        </w:numPr>
        <w:tabs>
          <w:tab w:val="left" w:pos="1276"/>
        </w:tabs>
        <w:spacing w:before="120" w:after="120"/>
        <w:ind w:left="1134" w:hanging="181"/>
        <w:contextualSpacing/>
        <w:rPr>
          <w:rFonts w:cstheme="minorHAnsi"/>
        </w:rPr>
      </w:pPr>
      <w:r w:rsidRPr="001A148B">
        <w:rPr>
          <w:rFonts w:cstheme="minorHAnsi"/>
        </w:rPr>
        <w:t>Zvýšit účinnost přeměny u hnacích vozidel v kolejové dopravě při obnově vozového parku vč. využívání rekuperace.</w:t>
      </w:r>
    </w:p>
    <w:p w:rsidR="000F34BD" w:rsidRDefault="000F34BD" w:rsidP="00184DC1">
      <w:pPr>
        <w:numPr>
          <w:ilvl w:val="2"/>
          <w:numId w:val="36"/>
        </w:numPr>
        <w:tabs>
          <w:tab w:val="left" w:pos="1276"/>
        </w:tabs>
        <w:spacing w:before="120"/>
        <w:ind w:left="1134" w:hanging="181"/>
        <w:rPr>
          <w:rFonts w:cstheme="minorHAnsi"/>
        </w:rPr>
      </w:pPr>
      <w:r w:rsidRPr="001A148B">
        <w:rPr>
          <w:rFonts w:cstheme="minorHAnsi"/>
        </w:rPr>
        <w:t>Zvýšit využívání alternativních pohonných hmot – CNG a elektromobility.</w:t>
      </w:r>
    </w:p>
    <w:p w:rsidR="00F35CBE" w:rsidRPr="0092047B" w:rsidRDefault="00F07E20" w:rsidP="00184DC1">
      <w:pPr>
        <w:pStyle w:val="Nadpis3"/>
      </w:pPr>
      <w:bookmarkStart w:id="783" w:name="_Toc396923390"/>
      <w:r w:rsidRPr="0092047B">
        <w:t>Priorita III</w:t>
      </w:r>
      <w:r w:rsidR="003D7415" w:rsidRPr="0092047B">
        <w:t xml:space="preserve"> – Infrastruktura a mezinárodní spolupráce</w:t>
      </w:r>
      <w:bookmarkEnd w:id="783"/>
    </w:p>
    <w:p w:rsidR="006E3CE4" w:rsidRPr="0092047B" w:rsidRDefault="004A7C68" w:rsidP="00184DC1">
      <w:pPr>
        <w:spacing w:before="240" w:after="120"/>
        <w:rPr>
          <w:rFonts w:cstheme="minorHAnsi"/>
        </w:rPr>
      </w:pPr>
      <w:r w:rsidRPr="0092047B">
        <w:rPr>
          <w:rFonts w:cstheme="minorHAnsi"/>
        </w:rPr>
        <w:t xml:space="preserve">Priorita </w:t>
      </w:r>
      <w:r w:rsidR="00F8037F" w:rsidRPr="0092047B">
        <w:rPr>
          <w:rFonts w:cstheme="minorHAnsi"/>
        </w:rPr>
        <w:t>III</w:t>
      </w:r>
      <w:r w:rsidR="00F07E20" w:rsidRPr="0092047B">
        <w:rPr>
          <w:rFonts w:cstheme="minorHAnsi"/>
        </w:rPr>
        <w:t>:</w:t>
      </w:r>
      <w:r w:rsidR="00F8037F" w:rsidRPr="0092047B">
        <w:rPr>
          <w:rFonts w:cstheme="minorHAnsi"/>
        </w:rPr>
        <w:t xml:space="preserve"> </w:t>
      </w:r>
      <w:r w:rsidR="006E3CE4" w:rsidRPr="0092047B">
        <w:rPr>
          <w:rFonts w:cstheme="minorHAnsi"/>
          <w:b/>
          <w:u w:val="single"/>
        </w:rPr>
        <w:t>Rozvoj síťové infrastruktury ČR v</w:t>
      </w:r>
      <w:r w:rsidR="00491BAB" w:rsidRPr="0092047B">
        <w:rPr>
          <w:rFonts w:cstheme="minorHAnsi"/>
          <w:b/>
          <w:u w:val="single"/>
        </w:rPr>
        <w:t> </w:t>
      </w:r>
      <w:r w:rsidR="006E3CE4" w:rsidRPr="0092047B">
        <w:rPr>
          <w:rFonts w:cstheme="minorHAnsi"/>
          <w:b/>
          <w:u w:val="single"/>
        </w:rPr>
        <w:t>kontextu zemí střední Evropy, posílení mezinárodní spolupráce a</w:t>
      </w:r>
      <w:r w:rsidR="00491BAB" w:rsidRPr="0092047B">
        <w:rPr>
          <w:rFonts w:cstheme="minorHAnsi"/>
          <w:b/>
          <w:u w:val="single"/>
        </w:rPr>
        <w:t> </w:t>
      </w:r>
      <w:r w:rsidR="006E3CE4" w:rsidRPr="0092047B">
        <w:rPr>
          <w:rFonts w:cstheme="minorHAnsi"/>
          <w:b/>
          <w:u w:val="single"/>
        </w:rPr>
        <w:t>integrace trhů s</w:t>
      </w:r>
      <w:r w:rsidR="00491BAB" w:rsidRPr="0092047B">
        <w:rPr>
          <w:rFonts w:cstheme="minorHAnsi"/>
          <w:b/>
          <w:u w:val="single"/>
        </w:rPr>
        <w:t> </w:t>
      </w:r>
      <w:r w:rsidR="006E3CE4" w:rsidRPr="0092047B">
        <w:rPr>
          <w:rFonts w:cstheme="minorHAnsi"/>
          <w:b/>
          <w:u w:val="single"/>
        </w:rPr>
        <w:t>elektřinou a</w:t>
      </w:r>
      <w:r w:rsidR="00491BAB" w:rsidRPr="0092047B">
        <w:rPr>
          <w:rFonts w:cstheme="minorHAnsi"/>
          <w:b/>
          <w:u w:val="single"/>
        </w:rPr>
        <w:t> </w:t>
      </w:r>
      <w:r w:rsidR="006E3CE4" w:rsidRPr="0092047B">
        <w:rPr>
          <w:rFonts w:cstheme="minorHAnsi"/>
          <w:b/>
          <w:u w:val="single"/>
        </w:rPr>
        <w:t>plynem v</w:t>
      </w:r>
      <w:r w:rsidR="00491BAB" w:rsidRPr="0092047B">
        <w:rPr>
          <w:rFonts w:cstheme="minorHAnsi"/>
          <w:b/>
          <w:u w:val="single"/>
        </w:rPr>
        <w:t> </w:t>
      </w:r>
      <w:r w:rsidR="006E3CE4" w:rsidRPr="0092047B">
        <w:rPr>
          <w:rFonts w:cstheme="minorHAnsi"/>
          <w:b/>
          <w:u w:val="single"/>
        </w:rPr>
        <w:t>regionu včetně podpory vytváření účinné a</w:t>
      </w:r>
      <w:r w:rsidR="00491BAB" w:rsidRPr="0092047B">
        <w:rPr>
          <w:rFonts w:cstheme="minorHAnsi"/>
          <w:b/>
          <w:u w:val="single"/>
        </w:rPr>
        <w:t> </w:t>
      </w:r>
      <w:r w:rsidR="006E3CE4" w:rsidRPr="0092047B">
        <w:rPr>
          <w:rFonts w:cstheme="minorHAnsi"/>
          <w:b/>
          <w:u w:val="single"/>
        </w:rPr>
        <w:t>akceschopné společné energetické politiky EU</w:t>
      </w:r>
      <w:r w:rsidR="00F07E20" w:rsidRPr="0092047B">
        <w:rPr>
          <w:rFonts w:cstheme="minorHAnsi"/>
          <w:b/>
          <w:u w:val="single"/>
        </w:rPr>
        <w:t>.</w:t>
      </w:r>
    </w:p>
    <w:p w:rsidR="001A6FFB" w:rsidRPr="0092047B" w:rsidRDefault="001A6FFB" w:rsidP="00184DC1">
      <w:pPr>
        <w:pStyle w:val="Zkladntext"/>
        <w:spacing w:before="240" w:after="120"/>
        <w:rPr>
          <w:rFonts w:cstheme="minorHAnsi"/>
          <w:b/>
          <w:bCs/>
        </w:rPr>
      </w:pPr>
      <w:r w:rsidRPr="0092047B">
        <w:rPr>
          <w:rFonts w:cstheme="minorHAnsi"/>
          <w:b/>
          <w:bCs/>
        </w:rPr>
        <w:t>Motiv</w:t>
      </w:r>
    </w:p>
    <w:p w:rsidR="006E3CE4" w:rsidRPr="0092047B" w:rsidRDefault="006E3CE4" w:rsidP="00184DC1">
      <w:pPr>
        <w:pStyle w:val="BodyText21"/>
        <w:spacing w:before="120"/>
        <w:rPr>
          <w:rFonts w:asciiTheme="minorHAnsi" w:hAnsiTheme="minorHAnsi" w:cstheme="minorHAnsi"/>
          <w:szCs w:val="28"/>
        </w:rPr>
      </w:pPr>
      <w:r w:rsidRPr="0092047B">
        <w:rPr>
          <w:rFonts w:asciiTheme="minorHAnsi" w:hAnsiTheme="minorHAnsi" w:cstheme="minorHAnsi"/>
          <w:szCs w:val="28"/>
        </w:rPr>
        <w:t>Vyspělá a</w:t>
      </w:r>
      <w:r w:rsidR="00491BAB" w:rsidRPr="0092047B">
        <w:rPr>
          <w:rFonts w:asciiTheme="minorHAnsi" w:hAnsiTheme="minorHAnsi" w:cstheme="minorHAnsi"/>
          <w:szCs w:val="28"/>
        </w:rPr>
        <w:t> </w:t>
      </w:r>
      <w:r w:rsidRPr="0092047B">
        <w:rPr>
          <w:rFonts w:asciiTheme="minorHAnsi" w:hAnsiTheme="minorHAnsi" w:cstheme="minorHAnsi"/>
          <w:szCs w:val="28"/>
        </w:rPr>
        <w:t>spolehlivá síťová infrastruktura představuje</w:t>
      </w:r>
      <w:r w:rsidR="008B341A" w:rsidRPr="0092047B">
        <w:rPr>
          <w:rFonts w:asciiTheme="minorHAnsi" w:hAnsiTheme="minorHAnsi" w:cstheme="minorHAnsi"/>
          <w:szCs w:val="28"/>
        </w:rPr>
        <w:t>,</w:t>
      </w:r>
      <w:r w:rsidRPr="0092047B">
        <w:rPr>
          <w:rFonts w:asciiTheme="minorHAnsi" w:hAnsiTheme="minorHAnsi" w:cstheme="minorHAnsi"/>
          <w:szCs w:val="28"/>
        </w:rPr>
        <w:t xml:space="preserve"> se zřetelem k</w:t>
      </w:r>
      <w:r w:rsidR="00491BAB" w:rsidRPr="0092047B">
        <w:rPr>
          <w:rFonts w:asciiTheme="minorHAnsi" w:hAnsiTheme="minorHAnsi" w:cstheme="minorHAnsi"/>
          <w:szCs w:val="28"/>
        </w:rPr>
        <w:t> </w:t>
      </w:r>
      <w:r w:rsidRPr="0092047B">
        <w:rPr>
          <w:rFonts w:asciiTheme="minorHAnsi" w:hAnsiTheme="minorHAnsi" w:cstheme="minorHAnsi"/>
          <w:szCs w:val="28"/>
        </w:rPr>
        <w:t>poloze ČR</w:t>
      </w:r>
      <w:r w:rsidR="008B341A" w:rsidRPr="0092047B">
        <w:rPr>
          <w:rFonts w:asciiTheme="minorHAnsi" w:hAnsiTheme="minorHAnsi" w:cstheme="minorHAnsi"/>
          <w:szCs w:val="28"/>
        </w:rPr>
        <w:t>,</w:t>
      </w:r>
      <w:r w:rsidRPr="0092047B">
        <w:rPr>
          <w:rFonts w:asciiTheme="minorHAnsi" w:hAnsiTheme="minorHAnsi" w:cstheme="minorHAnsi"/>
          <w:szCs w:val="28"/>
        </w:rPr>
        <w:t xml:space="preserve"> svým tranzitním charakterem jeden z</w:t>
      </w:r>
      <w:r w:rsidR="00491BAB" w:rsidRPr="0092047B">
        <w:rPr>
          <w:rFonts w:asciiTheme="minorHAnsi" w:hAnsiTheme="minorHAnsi" w:cstheme="minorHAnsi"/>
          <w:szCs w:val="28"/>
        </w:rPr>
        <w:t> </w:t>
      </w:r>
      <w:r w:rsidRPr="0092047B">
        <w:rPr>
          <w:rFonts w:asciiTheme="minorHAnsi" w:hAnsiTheme="minorHAnsi" w:cstheme="minorHAnsi"/>
          <w:szCs w:val="28"/>
        </w:rPr>
        <w:t>hlavních prvků bezpečnosti dodávek</w:t>
      </w:r>
      <w:r w:rsidR="003836CA">
        <w:rPr>
          <w:rFonts w:asciiTheme="minorHAnsi" w:hAnsiTheme="minorHAnsi" w:cstheme="minorHAnsi"/>
          <w:szCs w:val="28"/>
        </w:rPr>
        <w:t xml:space="preserve"> energie</w:t>
      </w:r>
      <w:r w:rsidRPr="0092047B">
        <w:rPr>
          <w:rFonts w:asciiTheme="minorHAnsi" w:hAnsiTheme="minorHAnsi" w:cstheme="minorHAnsi"/>
          <w:szCs w:val="28"/>
        </w:rPr>
        <w:t xml:space="preserve"> a</w:t>
      </w:r>
      <w:r w:rsidR="00491BAB" w:rsidRPr="0092047B">
        <w:rPr>
          <w:rFonts w:asciiTheme="minorHAnsi" w:hAnsiTheme="minorHAnsi" w:cstheme="minorHAnsi"/>
          <w:szCs w:val="28"/>
        </w:rPr>
        <w:t> </w:t>
      </w:r>
      <w:r w:rsidRPr="0092047B">
        <w:rPr>
          <w:rFonts w:asciiTheme="minorHAnsi" w:hAnsiTheme="minorHAnsi" w:cstheme="minorHAnsi"/>
          <w:szCs w:val="28"/>
        </w:rPr>
        <w:t>současně i</w:t>
      </w:r>
      <w:r w:rsidR="00491BAB" w:rsidRPr="0092047B">
        <w:rPr>
          <w:rFonts w:asciiTheme="minorHAnsi" w:hAnsiTheme="minorHAnsi" w:cstheme="minorHAnsi"/>
          <w:szCs w:val="28"/>
        </w:rPr>
        <w:t> </w:t>
      </w:r>
      <w:r w:rsidRPr="0092047B">
        <w:rPr>
          <w:rFonts w:asciiTheme="minorHAnsi" w:hAnsiTheme="minorHAnsi" w:cstheme="minorHAnsi"/>
          <w:szCs w:val="28"/>
        </w:rPr>
        <w:t>konkurenceschopnosti energetiky jako celku.</w:t>
      </w:r>
    </w:p>
    <w:p w:rsidR="006E3CE4" w:rsidRPr="0092047B" w:rsidRDefault="006574BF" w:rsidP="00184DC1">
      <w:pPr>
        <w:pStyle w:val="Zkladntext"/>
        <w:spacing w:before="240" w:after="120"/>
        <w:rPr>
          <w:rFonts w:cstheme="minorHAnsi"/>
          <w:b/>
          <w:bCs/>
        </w:rPr>
      </w:pPr>
      <w:r w:rsidRPr="0092047B">
        <w:rPr>
          <w:rFonts w:cstheme="minorHAnsi"/>
          <w:b/>
          <w:bCs/>
        </w:rPr>
        <w:t>Cílový stav</w:t>
      </w:r>
    </w:p>
    <w:p w:rsidR="006E3CE4" w:rsidRPr="0092047B" w:rsidRDefault="006E3CE4" w:rsidP="00CC5C30">
      <w:pPr>
        <w:pStyle w:val="BodyText21"/>
        <w:spacing w:before="120" w:after="120"/>
        <w:rPr>
          <w:rFonts w:asciiTheme="minorHAnsi" w:hAnsiTheme="minorHAnsi" w:cstheme="minorHAnsi"/>
          <w:bCs/>
          <w:szCs w:val="28"/>
        </w:rPr>
      </w:pPr>
      <w:r w:rsidRPr="0092047B">
        <w:rPr>
          <w:rFonts w:asciiTheme="minorHAnsi" w:hAnsiTheme="minorHAnsi" w:cstheme="minorHAnsi"/>
          <w:bCs/>
          <w:szCs w:val="28"/>
        </w:rPr>
        <w:t>Modernizace přenosové soustavy</w:t>
      </w:r>
      <w:r w:rsidR="004C06CC" w:rsidRPr="0092047B">
        <w:rPr>
          <w:rFonts w:asciiTheme="minorHAnsi" w:hAnsiTheme="minorHAnsi" w:cstheme="minorHAnsi"/>
          <w:bCs/>
          <w:szCs w:val="28"/>
        </w:rPr>
        <w:t xml:space="preserve"> </w:t>
      </w:r>
      <w:r w:rsidRPr="0092047B">
        <w:rPr>
          <w:rFonts w:asciiTheme="minorHAnsi" w:hAnsiTheme="minorHAnsi" w:cstheme="minorHAnsi"/>
          <w:bCs/>
          <w:szCs w:val="28"/>
        </w:rPr>
        <w:t>a</w:t>
      </w:r>
      <w:r w:rsidR="00491BAB" w:rsidRPr="0092047B">
        <w:rPr>
          <w:rFonts w:asciiTheme="minorHAnsi" w:hAnsiTheme="minorHAnsi" w:cstheme="minorHAnsi"/>
          <w:bCs/>
          <w:szCs w:val="28"/>
        </w:rPr>
        <w:t> </w:t>
      </w:r>
      <w:r w:rsidRPr="0092047B">
        <w:rPr>
          <w:rFonts w:asciiTheme="minorHAnsi" w:hAnsiTheme="minorHAnsi" w:cstheme="minorHAnsi"/>
          <w:bCs/>
          <w:szCs w:val="28"/>
        </w:rPr>
        <w:t>její posílení zajišťující kapacity pro nárůst spotřeby (Moravskoslezský region, střední a</w:t>
      </w:r>
      <w:r w:rsidR="00491BAB" w:rsidRPr="0092047B">
        <w:rPr>
          <w:rFonts w:asciiTheme="minorHAnsi" w:hAnsiTheme="minorHAnsi" w:cstheme="minorHAnsi"/>
          <w:bCs/>
          <w:szCs w:val="28"/>
        </w:rPr>
        <w:t> </w:t>
      </w:r>
      <w:r w:rsidRPr="0092047B">
        <w:rPr>
          <w:rFonts w:asciiTheme="minorHAnsi" w:hAnsiTheme="minorHAnsi" w:cstheme="minorHAnsi"/>
          <w:bCs/>
          <w:szCs w:val="28"/>
        </w:rPr>
        <w:t>západní Čechy), připojení nových zdrojů (jižní, severozápadní, západní a</w:t>
      </w:r>
      <w:r w:rsidR="00491BAB" w:rsidRPr="0092047B">
        <w:rPr>
          <w:rFonts w:asciiTheme="minorHAnsi" w:hAnsiTheme="minorHAnsi" w:cstheme="minorHAnsi"/>
          <w:bCs/>
          <w:szCs w:val="28"/>
        </w:rPr>
        <w:t> </w:t>
      </w:r>
      <w:r w:rsidRPr="0092047B">
        <w:rPr>
          <w:rFonts w:asciiTheme="minorHAnsi" w:hAnsiTheme="minorHAnsi" w:cstheme="minorHAnsi"/>
          <w:bCs/>
          <w:szCs w:val="28"/>
        </w:rPr>
        <w:t>střední Čechy</w:t>
      </w:r>
      <w:r w:rsidR="004C06CC" w:rsidRPr="0092047B">
        <w:rPr>
          <w:rFonts w:asciiTheme="minorHAnsi" w:hAnsiTheme="minorHAnsi" w:cstheme="minorHAnsi"/>
          <w:bCs/>
          <w:szCs w:val="28"/>
        </w:rPr>
        <w:t>, jižní Morava</w:t>
      </w:r>
      <w:r w:rsidRPr="0092047B">
        <w:rPr>
          <w:rFonts w:asciiTheme="minorHAnsi" w:hAnsiTheme="minorHAnsi" w:cstheme="minorHAnsi"/>
          <w:bCs/>
          <w:szCs w:val="28"/>
        </w:rPr>
        <w:t>) a</w:t>
      </w:r>
      <w:r w:rsidR="00491BAB" w:rsidRPr="0092047B">
        <w:rPr>
          <w:rFonts w:asciiTheme="minorHAnsi" w:hAnsiTheme="minorHAnsi" w:cstheme="minorHAnsi"/>
          <w:bCs/>
          <w:szCs w:val="28"/>
        </w:rPr>
        <w:t> </w:t>
      </w:r>
      <w:r w:rsidRPr="0092047B">
        <w:rPr>
          <w:rFonts w:asciiTheme="minorHAnsi" w:hAnsiTheme="minorHAnsi" w:cstheme="minorHAnsi"/>
          <w:bCs/>
          <w:szCs w:val="28"/>
        </w:rPr>
        <w:t>tranzitní nároky na PS ČR ve směru sever-jih, garantující bezpečnost a</w:t>
      </w:r>
      <w:r w:rsidR="00491BAB" w:rsidRPr="0092047B">
        <w:rPr>
          <w:rFonts w:asciiTheme="minorHAnsi" w:hAnsiTheme="minorHAnsi" w:cstheme="minorHAnsi"/>
          <w:bCs/>
          <w:szCs w:val="28"/>
        </w:rPr>
        <w:t> </w:t>
      </w:r>
      <w:r w:rsidRPr="0092047B">
        <w:rPr>
          <w:rFonts w:asciiTheme="minorHAnsi" w:hAnsiTheme="minorHAnsi" w:cstheme="minorHAnsi"/>
          <w:bCs/>
          <w:szCs w:val="28"/>
        </w:rPr>
        <w:t>spolehlivost provozu na současné úrovni. Plná integrace trhu s</w:t>
      </w:r>
      <w:r w:rsidR="00491BAB" w:rsidRPr="0092047B">
        <w:rPr>
          <w:rFonts w:asciiTheme="minorHAnsi" w:hAnsiTheme="minorHAnsi" w:cstheme="minorHAnsi"/>
          <w:bCs/>
          <w:szCs w:val="28"/>
        </w:rPr>
        <w:t> </w:t>
      </w:r>
      <w:r w:rsidRPr="0092047B">
        <w:rPr>
          <w:rFonts w:asciiTheme="minorHAnsi" w:hAnsiTheme="minorHAnsi" w:cstheme="minorHAnsi"/>
          <w:bCs/>
          <w:szCs w:val="28"/>
        </w:rPr>
        <w:t>elektřinou a</w:t>
      </w:r>
      <w:r w:rsidR="00491BAB" w:rsidRPr="0092047B">
        <w:rPr>
          <w:rFonts w:asciiTheme="minorHAnsi" w:hAnsiTheme="minorHAnsi" w:cstheme="minorHAnsi"/>
          <w:bCs/>
          <w:szCs w:val="28"/>
        </w:rPr>
        <w:t> </w:t>
      </w:r>
      <w:r w:rsidRPr="0092047B">
        <w:rPr>
          <w:rFonts w:asciiTheme="minorHAnsi" w:hAnsiTheme="minorHAnsi" w:cstheme="minorHAnsi"/>
          <w:bCs/>
          <w:szCs w:val="28"/>
        </w:rPr>
        <w:t>regulačními výkony</w:t>
      </w:r>
      <w:r w:rsidR="00AE19C9" w:rsidRPr="0092047B">
        <w:rPr>
          <w:rFonts w:asciiTheme="minorHAnsi" w:hAnsiTheme="minorHAnsi" w:cstheme="minorHAnsi"/>
          <w:bCs/>
          <w:szCs w:val="28"/>
        </w:rPr>
        <w:t xml:space="preserve"> je</w:t>
      </w:r>
      <w:r w:rsidRPr="0092047B">
        <w:rPr>
          <w:rFonts w:asciiTheme="minorHAnsi" w:hAnsiTheme="minorHAnsi" w:cstheme="minorHAnsi"/>
          <w:bCs/>
          <w:szCs w:val="28"/>
        </w:rPr>
        <w:t xml:space="preserve"> v</w:t>
      </w:r>
      <w:r w:rsidR="00491BAB" w:rsidRPr="0092047B">
        <w:rPr>
          <w:rFonts w:asciiTheme="minorHAnsi" w:hAnsiTheme="minorHAnsi" w:cstheme="minorHAnsi"/>
          <w:bCs/>
          <w:szCs w:val="28"/>
        </w:rPr>
        <w:t> </w:t>
      </w:r>
      <w:r w:rsidRPr="0092047B">
        <w:rPr>
          <w:rFonts w:asciiTheme="minorHAnsi" w:hAnsiTheme="minorHAnsi" w:cstheme="minorHAnsi"/>
          <w:bCs/>
          <w:szCs w:val="28"/>
        </w:rPr>
        <w:t xml:space="preserve">rámci </w:t>
      </w:r>
      <w:r w:rsidR="004C06CC" w:rsidRPr="0092047B">
        <w:rPr>
          <w:rFonts w:asciiTheme="minorHAnsi" w:hAnsiTheme="minorHAnsi" w:cstheme="minorHAnsi"/>
          <w:bCs/>
          <w:szCs w:val="28"/>
        </w:rPr>
        <w:t>e</w:t>
      </w:r>
      <w:r w:rsidRPr="0092047B">
        <w:rPr>
          <w:rFonts w:asciiTheme="minorHAnsi" w:hAnsiTheme="minorHAnsi" w:cstheme="minorHAnsi"/>
          <w:bCs/>
          <w:szCs w:val="28"/>
        </w:rPr>
        <w:t>vropského trhu</w:t>
      </w:r>
      <w:r w:rsidR="00AE19C9" w:rsidRPr="0092047B">
        <w:rPr>
          <w:rFonts w:asciiTheme="minorHAnsi" w:hAnsiTheme="minorHAnsi" w:cstheme="minorHAnsi"/>
          <w:bCs/>
          <w:szCs w:val="28"/>
        </w:rPr>
        <w:t xml:space="preserve"> plánována</w:t>
      </w:r>
      <w:r w:rsidRPr="0092047B">
        <w:rPr>
          <w:rFonts w:asciiTheme="minorHAnsi" w:hAnsiTheme="minorHAnsi" w:cstheme="minorHAnsi"/>
          <w:bCs/>
          <w:szCs w:val="28"/>
        </w:rPr>
        <w:t xml:space="preserve"> do roku 2015. Maximalizace využití finančních </w:t>
      </w:r>
      <w:r w:rsidR="00B92897" w:rsidRPr="0092047B">
        <w:rPr>
          <w:rFonts w:asciiTheme="minorHAnsi" w:hAnsiTheme="minorHAnsi" w:cstheme="minorHAnsi"/>
          <w:bCs/>
          <w:szCs w:val="28"/>
        </w:rPr>
        <w:t xml:space="preserve">nástrojů </w:t>
      </w:r>
      <w:r w:rsidRPr="0092047B">
        <w:rPr>
          <w:rFonts w:asciiTheme="minorHAnsi" w:hAnsiTheme="minorHAnsi" w:cstheme="minorHAnsi"/>
          <w:bCs/>
          <w:szCs w:val="28"/>
        </w:rPr>
        <w:t xml:space="preserve">EU pro </w:t>
      </w:r>
      <w:r w:rsidR="00EE124D" w:rsidRPr="0092047B">
        <w:rPr>
          <w:rFonts w:asciiTheme="minorHAnsi" w:hAnsiTheme="minorHAnsi" w:cstheme="minorHAnsi"/>
          <w:bCs/>
          <w:szCs w:val="28"/>
        </w:rPr>
        <w:t>podporu</w:t>
      </w:r>
      <w:r w:rsidRPr="0092047B">
        <w:rPr>
          <w:rFonts w:asciiTheme="minorHAnsi" w:hAnsiTheme="minorHAnsi" w:cstheme="minorHAnsi"/>
          <w:bCs/>
          <w:szCs w:val="28"/>
        </w:rPr>
        <w:t xml:space="preserve"> rozvoje přenosové soustavy, především tranzitního koridoru ve směru sever-jih na území ČR.</w:t>
      </w:r>
    </w:p>
    <w:p w:rsidR="006E3CE4" w:rsidRPr="0092047B" w:rsidRDefault="006E3CE4" w:rsidP="00CC5C30">
      <w:pPr>
        <w:pStyle w:val="BodyText21"/>
        <w:keepLines/>
        <w:spacing w:before="120" w:after="120"/>
        <w:rPr>
          <w:rFonts w:asciiTheme="minorHAnsi" w:hAnsiTheme="minorHAnsi" w:cstheme="minorHAnsi"/>
          <w:bCs/>
          <w:szCs w:val="28"/>
        </w:rPr>
      </w:pPr>
      <w:r w:rsidRPr="0092047B">
        <w:rPr>
          <w:rFonts w:asciiTheme="minorHAnsi" w:hAnsiTheme="minorHAnsi" w:cstheme="minorHAnsi"/>
          <w:bCs/>
          <w:szCs w:val="28"/>
        </w:rPr>
        <w:t>Obnova a</w:t>
      </w:r>
      <w:r w:rsidR="00491BAB" w:rsidRPr="0092047B">
        <w:rPr>
          <w:rFonts w:asciiTheme="minorHAnsi" w:hAnsiTheme="minorHAnsi" w:cstheme="minorHAnsi"/>
          <w:bCs/>
          <w:szCs w:val="28"/>
        </w:rPr>
        <w:t> </w:t>
      </w:r>
      <w:r w:rsidRPr="0092047B">
        <w:rPr>
          <w:rFonts w:asciiTheme="minorHAnsi" w:hAnsiTheme="minorHAnsi" w:cstheme="minorHAnsi"/>
          <w:bCs/>
          <w:szCs w:val="28"/>
        </w:rPr>
        <w:t xml:space="preserve">posílení distribučních </w:t>
      </w:r>
      <w:r w:rsidR="004C06CC" w:rsidRPr="0092047B">
        <w:rPr>
          <w:rFonts w:asciiTheme="minorHAnsi" w:hAnsiTheme="minorHAnsi" w:cstheme="minorHAnsi"/>
          <w:bCs/>
          <w:szCs w:val="28"/>
        </w:rPr>
        <w:t>soustav (DS)</w:t>
      </w:r>
      <w:r w:rsidRPr="0092047B">
        <w:rPr>
          <w:rFonts w:asciiTheme="minorHAnsi" w:hAnsiTheme="minorHAnsi" w:cstheme="minorHAnsi"/>
          <w:bCs/>
          <w:szCs w:val="28"/>
        </w:rPr>
        <w:t xml:space="preserve"> a</w:t>
      </w:r>
      <w:r w:rsidR="00491BAB" w:rsidRPr="0092047B">
        <w:rPr>
          <w:rFonts w:asciiTheme="minorHAnsi" w:hAnsiTheme="minorHAnsi" w:cstheme="minorHAnsi"/>
          <w:bCs/>
          <w:szCs w:val="28"/>
        </w:rPr>
        <w:t> </w:t>
      </w:r>
      <w:r w:rsidRPr="0092047B">
        <w:rPr>
          <w:rFonts w:asciiTheme="minorHAnsi" w:hAnsiTheme="minorHAnsi" w:cstheme="minorHAnsi"/>
          <w:bCs/>
          <w:szCs w:val="28"/>
        </w:rPr>
        <w:t>implementace řídicích systémů inteligentních sítí</w:t>
      </w:r>
      <w:r w:rsidR="00EE124D" w:rsidRPr="0092047B">
        <w:rPr>
          <w:rFonts w:asciiTheme="minorHAnsi" w:hAnsiTheme="minorHAnsi" w:cstheme="minorHAnsi"/>
          <w:bCs/>
          <w:szCs w:val="28"/>
        </w:rPr>
        <w:t>,</w:t>
      </w:r>
      <w:r w:rsidRPr="0092047B">
        <w:rPr>
          <w:rFonts w:asciiTheme="minorHAnsi" w:hAnsiTheme="minorHAnsi" w:cstheme="minorHAnsi"/>
          <w:bCs/>
          <w:szCs w:val="28"/>
        </w:rPr>
        <w:t xml:space="preserve"> zajišťující připojení a</w:t>
      </w:r>
      <w:r w:rsidR="00491BAB" w:rsidRPr="0092047B">
        <w:rPr>
          <w:rFonts w:asciiTheme="minorHAnsi" w:hAnsiTheme="minorHAnsi" w:cstheme="minorHAnsi"/>
          <w:bCs/>
          <w:szCs w:val="28"/>
        </w:rPr>
        <w:t> </w:t>
      </w:r>
      <w:r w:rsidRPr="0092047B">
        <w:rPr>
          <w:rFonts w:asciiTheme="minorHAnsi" w:hAnsiTheme="minorHAnsi" w:cstheme="minorHAnsi"/>
          <w:bCs/>
          <w:szCs w:val="28"/>
        </w:rPr>
        <w:t>řízení provozu distribuovaných zdrojů, lokální akumulace, rozvoj tepelných čerpadel a</w:t>
      </w:r>
      <w:r w:rsidR="00491BAB" w:rsidRPr="0092047B">
        <w:rPr>
          <w:rFonts w:asciiTheme="minorHAnsi" w:hAnsiTheme="minorHAnsi" w:cstheme="minorHAnsi"/>
          <w:bCs/>
          <w:szCs w:val="28"/>
        </w:rPr>
        <w:t> </w:t>
      </w:r>
      <w:r w:rsidRPr="0092047B">
        <w:rPr>
          <w:rFonts w:asciiTheme="minorHAnsi" w:hAnsiTheme="minorHAnsi" w:cstheme="minorHAnsi"/>
          <w:bCs/>
          <w:szCs w:val="28"/>
        </w:rPr>
        <w:t>efektivní řízení spotřeby. Zapojení do evropských programů podpory rozvoje inteligentních sítí.</w:t>
      </w:r>
    </w:p>
    <w:p w:rsidR="006E3CE4" w:rsidRPr="0092047B" w:rsidRDefault="006E3CE4" w:rsidP="00CC5C30">
      <w:pPr>
        <w:pStyle w:val="Zkladntext"/>
        <w:spacing w:before="120" w:after="120"/>
        <w:rPr>
          <w:rFonts w:cstheme="minorHAnsi"/>
          <w:bCs/>
        </w:rPr>
      </w:pPr>
      <w:r w:rsidRPr="0092047B">
        <w:rPr>
          <w:rFonts w:cstheme="minorHAnsi"/>
          <w:bCs/>
        </w:rPr>
        <w:t>Udržet tranzitní roli ČR v</w:t>
      </w:r>
      <w:r w:rsidR="00491BAB" w:rsidRPr="0092047B">
        <w:rPr>
          <w:rFonts w:cstheme="minorHAnsi"/>
          <w:bCs/>
        </w:rPr>
        <w:t> </w:t>
      </w:r>
      <w:r w:rsidRPr="0092047B">
        <w:rPr>
          <w:rFonts w:cstheme="minorHAnsi"/>
          <w:bCs/>
        </w:rPr>
        <w:t>oblasti přepravy zemního plynu a</w:t>
      </w:r>
      <w:r w:rsidR="00491BAB" w:rsidRPr="0092047B">
        <w:rPr>
          <w:rFonts w:cstheme="minorHAnsi"/>
          <w:bCs/>
        </w:rPr>
        <w:t> </w:t>
      </w:r>
      <w:r w:rsidRPr="0092047B">
        <w:rPr>
          <w:rFonts w:cstheme="minorHAnsi"/>
          <w:bCs/>
        </w:rPr>
        <w:t>posílit přeshraniční propojení plynárenské soustavy v</w:t>
      </w:r>
      <w:r w:rsidR="00491BAB" w:rsidRPr="0092047B">
        <w:rPr>
          <w:rFonts w:cstheme="minorHAnsi"/>
          <w:bCs/>
        </w:rPr>
        <w:t> </w:t>
      </w:r>
      <w:r w:rsidRPr="0092047B">
        <w:rPr>
          <w:rFonts w:cstheme="minorHAnsi"/>
          <w:bCs/>
        </w:rPr>
        <w:t>severojižním směru. Na východě pak se soustavami v</w:t>
      </w:r>
      <w:r w:rsidR="00491BAB" w:rsidRPr="0092047B">
        <w:rPr>
          <w:rFonts w:cstheme="minorHAnsi"/>
          <w:bCs/>
        </w:rPr>
        <w:t> </w:t>
      </w:r>
      <w:r w:rsidRPr="0092047B">
        <w:rPr>
          <w:rFonts w:cstheme="minorHAnsi"/>
          <w:bCs/>
        </w:rPr>
        <w:t xml:space="preserve">Polsku </w:t>
      </w:r>
      <w:r w:rsidR="00661AC1" w:rsidRPr="0092047B">
        <w:rPr>
          <w:rFonts w:cstheme="minorHAnsi"/>
          <w:bCs/>
        </w:rPr>
        <w:t xml:space="preserve">(STORK II) </w:t>
      </w:r>
      <w:r w:rsidRPr="0092047B">
        <w:rPr>
          <w:rFonts w:cstheme="minorHAnsi"/>
          <w:bCs/>
        </w:rPr>
        <w:t>a</w:t>
      </w:r>
      <w:r w:rsidR="00491BAB" w:rsidRPr="0092047B">
        <w:rPr>
          <w:rFonts w:cstheme="minorHAnsi"/>
          <w:bCs/>
        </w:rPr>
        <w:t> </w:t>
      </w:r>
      <w:r w:rsidRPr="0092047B">
        <w:rPr>
          <w:rFonts w:cstheme="minorHAnsi"/>
          <w:bCs/>
        </w:rPr>
        <w:t xml:space="preserve">Rakousku </w:t>
      </w:r>
      <w:r w:rsidR="00661AC1" w:rsidRPr="0092047B">
        <w:rPr>
          <w:rFonts w:cstheme="minorHAnsi"/>
          <w:bCs/>
        </w:rPr>
        <w:t>(BACI) a vnitrostátního propojení (MORAVIA)</w:t>
      </w:r>
      <w:r w:rsidRPr="0092047B">
        <w:rPr>
          <w:rFonts w:cstheme="minorHAnsi"/>
          <w:bCs/>
        </w:rPr>
        <w:t xml:space="preserve"> s</w:t>
      </w:r>
      <w:r w:rsidR="00491BAB" w:rsidRPr="0092047B">
        <w:rPr>
          <w:rFonts w:cstheme="minorHAnsi"/>
          <w:bCs/>
        </w:rPr>
        <w:t> </w:t>
      </w:r>
      <w:r w:rsidRPr="0092047B">
        <w:rPr>
          <w:rFonts w:cstheme="minorHAnsi"/>
          <w:bCs/>
        </w:rPr>
        <w:t>perspektivní možností dodávek plynu z</w:t>
      </w:r>
      <w:r w:rsidR="00491BAB" w:rsidRPr="0092047B">
        <w:rPr>
          <w:rFonts w:cstheme="minorHAnsi"/>
          <w:bCs/>
        </w:rPr>
        <w:t> </w:t>
      </w:r>
      <w:r w:rsidRPr="0092047B">
        <w:rPr>
          <w:rFonts w:cstheme="minorHAnsi"/>
          <w:bCs/>
        </w:rPr>
        <w:t>terminálů LNG budovaných v</w:t>
      </w:r>
      <w:r w:rsidR="004C06CC" w:rsidRPr="0092047B">
        <w:rPr>
          <w:rFonts w:cstheme="minorHAnsi"/>
          <w:bCs/>
        </w:rPr>
        <w:t> </w:t>
      </w:r>
      <w:r w:rsidRPr="0092047B">
        <w:rPr>
          <w:rFonts w:cstheme="minorHAnsi"/>
          <w:bCs/>
        </w:rPr>
        <w:t>Polsku</w:t>
      </w:r>
      <w:r w:rsidR="004C06CC" w:rsidRPr="0092047B">
        <w:rPr>
          <w:rFonts w:cstheme="minorHAnsi"/>
          <w:bCs/>
        </w:rPr>
        <w:t xml:space="preserve"> </w:t>
      </w:r>
      <w:r w:rsidRPr="0092047B">
        <w:rPr>
          <w:rFonts w:cstheme="minorHAnsi"/>
          <w:bCs/>
        </w:rPr>
        <w:t>a</w:t>
      </w:r>
      <w:r w:rsidR="00491BAB" w:rsidRPr="0092047B">
        <w:rPr>
          <w:rFonts w:cstheme="minorHAnsi"/>
          <w:bCs/>
        </w:rPr>
        <w:t> </w:t>
      </w:r>
      <w:r w:rsidRPr="0092047B">
        <w:rPr>
          <w:rFonts w:cstheme="minorHAnsi"/>
          <w:bCs/>
        </w:rPr>
        <w:t>Chorvatsku, ze zdrojů z</w:t>
      </w:r>
      <w:r w:rsidR="00491BAB" w:rsidRPr="0092047B">
        <w:rPr>
          <w:rFonts w:cstheme="minorHAnsi"/>
          <w:bCs/>
        </w:rPr>
        <w:t> </w:t>
      </w:r>
      <w:r w:rsidRPr="0092047B">
        <w:rPr>
          <w:rFonts w:cstheme="minorHAnsi"/>
          <w:bCs/>
        </w:rPr>
        <w:t>oblasti Kaspického moře</w:t>
      </w:r>
      <w:r w:rsidR="0042621E" w:rsidRPr="0092047B">
        <w:rPr>
          <w:rFonts w:cstheme="minorHAnsi"/>
          <w:bCs/>
        </w:rPr>
        <w:t>, případně z</w:t>
      </w:r>
      <w:r w:rsidR="00491BAB" w:rsidRPr="0092047B">
        <w:rPr>
          <w:rFonts w:cstheme="minorHAnsi"/>
          <w:bCs/>
        </w:rPr>
        <w:t> </w:t>
      </w:r>
      <w:r w:rsidR="0042621E" w:rsidRPr="0092047B">
        <w:rPr>
          <w:rFonts w:cstheme="minorHAnsi"/>
          <w:bCs/>
        </w:rPr>
        <w:t>nových zdrojů břidlicového plynu v</w:t>
      </w:r>
      <w:r w:rsidR="00491BAB" w:rsidRPr="0092047B">
        <w:rPr>
          <w:rFonts w:cstheme="minorHAnsi"/>
          <w:bCs/>
        </w:rPr>
        <w:t> </w:t>
      </w:r>
      <w:r w:rsidR="0042621E" w:rsidRPr="0092047B">
        <w:rPr>
          <w:rFonts w:cstheme="minorHAnsi"/>
          <w:bCs/>
        </w:rPr>
        <w:t xml:space="preserve">Polsku, </w:t>
      </w:r>
      <w:r w:rsidR="004C06CC" w:rsidRPr="0092047B">
        <w:rPr>
          <w:rFonts w:cstheme="minorHAnsi"/>
          <w:bCs/>
        </w:rPr>
        <w:t xml:space="preserve">či z nových terminálů pro jeho dovoz, </w:t>
      </w:r>
      <w:r w:rsidR="0042621E" w:rsidRPr="0092047B">
        <w:rPr>
          <w:rFonts w:cstheme="minorHAnsi"/>
          <w:bCs/>
        </w:rPr>
        <w:t>dojde-li k</w:t>
      </w:r>
      <w:r w:rsidR="00491BAB" w:rsidRPr="0092047B">
        <w:rPr>
          <w:rFonts w:cstheme="minorHAnsi"/>
          <w:bCs/>
        </w:rPr>
        <w:t> </w:t>
      </w:r>
      <w:r w:rsidR="0042621E" w:rsidRPr="0092047B">
        <w:rPr>
          <w:rFonts w:cstheme="minorHAnsi"/>
          <w:bCs/>
        </w:rPr>
        <w:t>jejich rozvoji</w:t>
      </w:r>
      <w:r w:rsidRPr="0092047B">
        <w:rPr>
          <w:rFonts w:cstheme="minorHAnsi"/>
          <w:bCs/>
        </w:rPr>
        <w:t>. Zajistit další propojování tuzemské soustavy se zahraničními soustavami (včetně možností jejich reverzního chodu) a</w:t>
      </w:r>
      <w:r w:rsidR="00491BAB" w:rsidRPr="0092047B">
        <w:rPr>
          <w:rFonts w:cstheme="minorHAnsi"/>
          <w:bCs/>
        </w:rPr>
        <w:t> </w:t>
      </w:r>
      <w:r w:rsidR="00274878" w:rsidRPr="0092047B">
        <w:rPr>
          <w:rFonts w:cstheme="minorHAnsi"/>
          <w:bCs/>
        </w:rPr>
        <w:t xml:space="preserve">využití </w:t>
      </w:r>
      <w:r w:rsidR="004C06CC" w:rsidRPr="0092047B">
        <w:rPr>
          <w:rFonts w:cstheme="minorHAnsi"/>
          <w:bCs/>
        </w:rPr>
        <w:t xml:space="preserve">zásobníků plynu, </w:t>
      </w:r>
      <w:r w:rsidRPr="0092047B">
        <w:rPr>
          <w:rFonts w:cstheme="minorHAnsi"/>
          <w:bCs/>
        </w:rPr>
        <w:t>a to včetně zvyšování parametru maxim</w:t>
      </w:r>
      <w:r w:rsidR="004C06CC" w:rsidRPr="0092047B">
        <w:rPr>
          <w:rFonts w:cstheme="minorHAnsi"/>
          <w:bCs/>
        </w:rPr>
        <w:t>álního denního těžebního výkonu</w:t>
      </w:r>
      <w:r w:rsidRPr="0092047B">
        <w:rPr>
          <w:rFonts w:cstheme="minorHAnsi"/>
          <w:bCs/>
        </w:rPr>
        <w:t>.</w:t>
      </w:r>
    </w:p>
    <w:p w:rsidR="006E3CE4" w:rsidRPr="0092047B" w:rsidRDefault="00087970" w:rsidP="00184DC1">
      <w:pPr>
        <w:pStyle w:val="BodyText21"/>
        <w:spacing w:before="120"/>
      </w:pPr>
      <w:r w:rsidRPr="00087970">
        <w:rPr>
          <w:rFonts w:asciiTheme="minorHAnsi" w:hAnsiTheme="minorHAnsi" w:cstheme="minorHAnsi"/>
        </w:rPr>
        <w:t>Zajistit trvalé udržení provozuschopných zpracovacích kapacit ropy na území ČR ve výši alespoň 50 % běžné domácí spotřeby.</w:t>
      </w:r>
      <w:r>
        <w:rPr>
          <w:rFonts w:asciiTheme="minorHAnsi" w:hAnsiTheme="minorHAnsi" w:cstheme="minorHAnsi"/>
        </w:rPr>
        <w:t xml:space="preserve"> </w:t>
      </w:r>
      <w:r w:rsidR="006E3CE4" w:rsidRPr="0092047B">
        <w:rPr>
          <w:rFonts w:asciiTheme="minorHAnsi" w:hAnsiTheme="minorHAnsi" w:cstheme="minorHAnsi"/>
        </w:rPr>
        <w:t>Podporovat rozvoj a</w:t>
      </w:r>
      <w:r w:rsidR="00491BAB" w:rsidRPr="0092047B">
        <w:rPr>
          <w:rFonts w:asciiTheme="minorHAnsi" w:hAnsiTheme="minorHAnsi" w:cstheme="minorHAnsi"/>
        </w:rPr>
        <w:t> </w:t>
      </w:r>
      <w:r w:rsidR="006E3CE4" w:rsidRPr="0092047B">
        <w:rPr>
          <w:rFonts w:asciiTheme="minorHAnsi" w:hAnsiTheme="minorHAnsi" w:cstheme="minorHAnsi"/>
        </w:rPr>
        <w:t>posilování stávajícího systému přepravy ropy do ČR, s</w:t>
      </w:r>
      <w:r w:rsidR="00491BAB" w:rsidRPr="0092047B">
        <w:rPr>
          <w:rFonts w:asciiTheme="minorHAnsi" w:hAnsiTheme="minorHAnsi" w:cstheme="minorHAnsi"/>
        </w:rPr>
        <w:t> </w:t>
      </w:r>
      <w:r w:rsidR="006E3CE4" w:rsidRPr="0092047B">
        <w:rPr>
          <w:rFonts w:asciiTheme="minorHAnsi" w:hAnsiTheme="minorHAnsi" w:cstheme="minorHAnsi"/>
        </w:rPr>
        <w:t>cílem zajištění a</w:t>
      </w:r>
      <w:r w:rsidR="00491BAB" w:rsidRPr="0092047B">
        <w:rPr>
          <w:rFonts w:asciiTheme="minorHAnsi" w:hAnsiTheme="minorHAnsi" w:cstheme="minorHAnsi"/>
        </w:rPr>
        <w:t> </w:t>
      </w:r>
      <w:r w:rsidR="006E3CE4" w:rsidRPr="0092047B">
        <w:rPr>
          <w:rFonts w:asciiTheme="minorHAnsi" w:hAnsiTheme="minorHAnsi" w:cstheme="minorHAnsi"/>
        </w:rPr>
        <w:t>udržení dostatečné přepravní kapacity pro potřeby rafinérií v</w:t>
      </w:r>
      <w:r w:rsidR="00491BAB" w:rsidRPr="0092047B">
        <w:rPr>
          <w:rFonts w:asciiTheme="minorHAnsi" w:hAnsiTheme="minorHAnsi" w:cstheme="minorHAnsi"/>
        </w:rPr>
        <w:t> </w:t>
      </w:r>
      <w:r w:rsidR="006E3CE4" w:rsidRPr="0092047B">
        <w:rPr>
          <w:rFonts w:asciiTheme="minorHAnsi" w:hAnsiTheme="minorHAnsi" w:cstheme="minorHAnsi"/>
        </w:rPr>
        <w:t xml:space="preserve">ČR. </w:t>
      </w:r>
      <w:r w:rsidR="00076E2D" w:rsidRPr="0092047B">
        <w:rPr>
          <w:rFonts w:asciiTheme="minorHAnsi" w:hAnsiTheme="minorHAnsi" w:cstheme="minorHAnsi"/>
          <w:bCs/>
          <w:szCs w:val="28"/>
        </w:rPr>
        <w:t xml:space="preserve">Podporovat další projekty zvyšující diverzifikaci možností dodávek ropy a </w:t>
      </w:r>
      <w:r w:rsidR="00A71CB0" w:rsidRPr="0092047B">
        <w:rPr>
          <w:rFonts w:asciiTheme="minorHAnsi" w:hAnsiTheme="minorHAnsi" w:cstheme="minorHAnsi"/>
          <w:bCs/>
          <w:szCs w:val="28"/>
        </w:rPr>
        <w:t xml:space="preserve">ropných </w:t>
      </w:r>
      <w:r w:rsidR="00076E2D" w:rsidRPr="0092047B">
        <w:rPr>
          <w:rFonts w:asciiTheme="minorHAnsi" w:hAnsiTheme="minorHAnsi" w:cstheme="minorHAnsi"/>
          <w:bCs/>
          <w:szCs w:val="28"/>
        </w:rPr>
        <w:t xml:space="preserve">produktů do ČR, např. </w:t>
      </w:r>
      <w:r w:rsidR="003C2805">
        <w:rPr>
          <w:rFonts w:asciiTheme="minorHAnsi" w:hAnsiTheme="minorHAnsi" w:cstheme="minorHAnsi"/>
          <w:bCs/>
          <w:szCs w:val="28"/>
        </w:rPr>
        <w:t xml:space="preserve">navýšení kapacity ropovodu TAL, výstavbu </w:t>
      </w:r>
      <w:r w:rsidR="00076E2D" w:rsidRPr="0092047B">
        <w:rPr>
          <w:rFonts w:asciiTheme="minorHAnsi" w:hAnsiTheme="minorHAnsi" w:cstheme="minorHAnsi"/>
          <w:bCs/>
          <w:szCs w:val="28"/>
        </w:rPr>
        <w:t>ropovodního propojení rafinerií Litvínov - Leuna (Spergau) a propojení na produktovod NATO Central European Pipeline Syst</w:t>
      </w:r>
      <w:r w:rsidR="00BA3B99" w:rsidRPr="0092047B">
        <w:rPr>
          <w:rFonts w:asciiTheme="minorHAnsi" w:hAnsiTheme="minorHAnsi" w:cstheme="minorHAnsi"/>
          <w:bCs/>
          <w:szCs w:val="28"/>
        </w:rPr>
        <w:t>e</w:t>
      </w:r>
      <w:r w:rsidR="00076E2D" w:rsidRPr="0092047B">
        <w:rPr>
          <w:rFonts w:asciiTheme="minorHAnsi" w:hAnsiTheme="minorHAnsi" w:cstheme="minorHAnsi"/>
          <w:bCs/>
          <w:szCs w:val="28"/>
        </w:rPr>
        <w:t xml:space="preserve">m (CEPS). </w:t>
      </w:r>
      <w:r w:rsidR="00A71CB0" w:rsidRPr="0092047B">
        <w:rPr>
          <w:rFonts w:asciiTheme="minorHAnsi" w:hAnsiTheme="minorHAnsi" w:cstheme="minorHAnsi"/>
        </w:rPr>
        <w:t>Zároveň</w:t>
      </w:r>
      <w:r w:rsidR="006E3CE4" w:rsidRPr="0092047B">
        <w:rPr>
          <w:rFonts w:asciiTheme="minorHAnsi" w:hAnsiTheme="minorHAnsi" w:cstheme="minorHAnsi"/>
        </w:rPr>
        <w:t xml:space="preserve"> vytvářet podmínky pro možné (tranzitní) zásobování okolních zemí v</w:t>
      </w:r>
      <w:r w:rsidR="00491BAB" w:rsidRPr="0092047B">
        <w:rPr>
          <w:rFonts w:asciiTheme="minorHAnsi" w:hAnsiTheme="minorHAnsi" w:cstheme="minorHAnsi"/>
        </w:rPr>
        <w:t> </w:t>
      </w:r>
      <w:r w:rsidR="006E3CE4" w:rsidRPr="0092047B">
        <w:rPr>
          <w:rFonts w:asciiTheme="minorHAnsi" w:hAnsiTheme="minorHAnsi" w:cstheme="minorHAnsi"/>
        </w:rPr>
        <w:t xml:space="preserve">oblasti ropy </w:t>
      </w:r>
      <w:r w:rsidR="00A71CB0" w:rsidRPr="0092047B">
        <w:rPr>
          <w:rFonts w:asciiTheme="minorHAnsi" w:hAnsiTheme="minorHAnsi" w:cstheme="minorHAnsi"/>
        </w:rPr>
        <w:t xml:space="preserve">a ropných produktů </w:t>
      </w:r>
      <w:r w:rsidR="006E3CE4" w:rsidRPr="0092047B">
        <w:rPr>
          <w:rFonts w:asciiTheme="minorHAnsi" w:hAnsiTheme="minorHAnsi" w:cstheme="minorHAnsi"/>
        </w:rPr>
        <w:t>s</w:t>
      </w:r>
      <w:r w:rsidR="00491BAB" w:rsidRPr="0092047B">
        <w:rPr>
          <w:rFonts w:asciiTheme="minorHAnsi" w:hAnsiTheme="minorHAnsi" w:cstheme="minorHAnsi"/>
        </w:rPr>
        <w:t> </w:t>
      </w:r>
      <w:r w:rsidR="006E3CE4" w:rsidRPr="0092047B">
        <w:rPr>
          <w:rFonts w:asciiTheme="minorHAnsi" w:hAnsiTheme="minorHAnsi" w:cstheme="minorHAnsi"/>
        </w:rPr>
        <w:t xml:space="preserve">cílem maximálně efektivního využití již vybudovaných ropovodních </w:t>
      </w:r>
      <w:r w:rsidR="00A71CB0" w:rsidRPr="0092047B">
        <w:rPr>
          <w:rFonts w:asciiTheme="minorHAnsi" w:hAnsiTheme="minorHAnsi" w:cstheme="minorHAnsi"/>
        </w:rPr>
        <w:t xml:space="preserve">a produktovodních </w:t>
      </w:r>
      <w:r w:rsidR="006E3CE4" w:rsidRPr="0092047B">
        <w:rPr>
          <w:rFonts w:asciiTheme="minorHAnsi" w:hAnsiTheme="minorHAnsi" w:cstheme="minorHAnsi"/>
        </w:rPr>
        <w:t>systémů.</w:t>
      </w:r>
    </w:p>
    <w:p w:rsidR="006574BF" w:rsidRPr="0092047B" w:rsidRDefault="006574BF" w:rsidP="00184DC1">
      <w:pPr>
        <w:pStyle w:val="Zkladntext"/>
        <w:spacing w:before="240" w:after="120"/>
        <w:rPr>
          <w:rFonts w:cstheme="minorHAnsi"/>
          <w:b/>
          <w:bCs/>
        </w:rPr>
      </w:pPr>
      <w:r w:rsidRPr="0092047B">
        <w:rPr>
          <w:rFonts w:cstheme="minorHAnsi"/>
          <w:b/>
          <w:bCs/>
        </w:rPr>
        <w:t>Strategie do roku 2040</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Udržet importní resp. exportní kapacity přenosové soustavy v poměru k</w:t>
      </w:r>
      <w:r w:rsidR="001D4FCF" w:rsidRPr="0092047B">
        <w:rPr>
          <w:rFonts w:cstheme="minorHAnsi"/>
        </w:rPr>
        <w:t> </w:t>
      </w:r>
      <w:r w:rsidRPr="0092047B">
        <w:rPr>
          <w:rFonts w:cstheme="minorHAnsi"/>
        </w:rPr>
        <w:t>maximálnímu zatížení na úrovni alespoň 30</w:t>
      </w:r>
      <w:r w:rsidR="00CB7F93" w:rsidRPr="0092047B">
        <w:rPr>
          <w:rFonts w:cstheme="minorHAnsi"/>
        </w:rPr>
        <w:t> </w:t>
      </w:r>
      <w:r w:rsidRPr="0092047B">
        <w:rPr>
          <w:rFonts w:cstheme="minorHAnsi"/>
        </w:rPr>
        <w:t>%, resp. 35</w:t>
      </w:r>
      <w:r w:rsidR="00CB7F93" w:rsidRPr="0092047B">
        <w:rPr>
          <w:rFonts w:cstheme="minorHAnsi"/>
        </w:rPr>
        <w:t> </w:t>
      </w:r>
      <w:r w:rsidRPr="0092047B">
        <w:rPr>
          <w:rFonts w:cstheme="minorHAnsi"/>
        </w:rPr>
        <w:t>%, odstranění úzkých míst pro tranzit elektrické energie ve směru sever-jih a plnění spolehlivostních kritérií při jejím provozu.</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Zajistit připravenost přenosové soustavy k připo</w:t>
      </w:r>
      <w:r w:rsidR="00603D18" w:rsidRPr="0092047B">
        <w:rPr>
          <w:rFonts w:cstheme="minorHAnsi"/>
        </w:rPr>
        <w:t>jení nových výrobních kapacit v </w:t>
      </w:r>
      <w:r w:rsidRPr="0092047B">
        <w:rPr>
          <w:rFonts w:cstheme="minorHAnsi"/>
        </w:rPr>
        <w:t>termínech sjednaných mezi investory a provozovatelem přenosové soustavy. Posílit transformační výkon 400/110 kV pokrývající jak nárůst spotřeby, tak i</w:t>
      </w:r>
      <w:r w:rsidR="001D4FCF" w:rsidRPr="0092047B">
        <w:rPr>
          <w:rFonts w:cstheme="minorHAnsi"/>
        </w:rPr>
        <w:t> </w:t>
      </w:r>
      <w:r w:rsidRPr="0092047B">
        <w:rPr>
          <w:rFonts w:cstheme="minorHAnsi"/>
        </w:rPr>
        <w:t>změnu struktury zdrojů připojených do DS (záměna větších konvenčních zdrojů s</w:t>
      </w:r>
      <w:r w:rsidR="001D4FCF" w:rsidRPr="0092047B">
        <w:rPr>
          <w:rFonts w:cstheme="minorHAnsi"/>
        </w:rPr>
        <w:t> </w:t>
      </w:r>
      <w:r w:rsidRPr="0092047B">
        <w:rPr>
          <w:rFonts w:cstheme="minorHAnsi"/>
        </w:rPr>
        <w:t>vysokým využitím distribuovanými zdroji s nízkým využitím a kolísavou výrobou).</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 xml:space="preserve">Zajistit do r. 2030 v distribučních soustavách obnovu a </w:t>
      </w:r>
      <w:r w:rsidR="00AF1E90" w:rsidRPr="0092047B">
        <w:rPr>
          <w:rFonts w:cstheme="minorHAnsi"/>
        </w:rPr>
        <w:t xml:space="preserve">rozvoj </w:t>
      </w:r>
      <w:r w:rsidRPr="0092047B">
        <w:rPr>
          <w:rFonts w:cstheme="minorHAnsi"/>
        </w:rPr>
        <w:t>prostředků pro dálkové řízení spotřeby, distribuované výroby a akumulace energie na bázi principů inteligentní sítě a inteligentního měření s cílem optimálního využití a</w:t>
      </w:r>
      <w:r w:rsidR="001D4FCF" w:rsidRPr="0092047B">
        <w:rPr>
          <w:rFonts w:cstheme="minorHAnsi"/>
        </w:rPr>
        <w:t> </w:t>
      </w:r>
      <w:r w:rsidRPr="0092047B">
        <w:rPr>
          <w:rFonts w:cstheme="minorHAnsi"/>
        </w:rPr>
        <w:t>spolehlivosti provozu distribučních soustav</w:t>
      </w:r>
      <w:r w:rsidR="009933DF" w:rsidRPr="0092047B">
        <w:rPr>
          <w:rFonts w:cstheme="minorHAnsi"/>
        </w:rPr>
        <w:t xml:space="preserve">, a to v návaznosti na výstupy projektu </w:t>
      </w:r>
      <w:r w:rsidR="00897AF9" w:rsidRPr="0092047B">
        <w:rPr>
          <w:rFonts w:cstheme="minorHAnsi"/>
        </w:rPr>
        <w:t xml:space="preserve">národního </w:t>
      </w:r>
      <w:r w:rsidR="001A2909" w:rsidRPr="0092047B">
        <w:rPr>
          <w:rFonts w:cstheme="minorHAnsi"/>
        </w:rPr>
        <w:t>akčního</w:t>
      </w:r>
      <w:r w:rsidR="00897AF9" w:rsidRPr="0092047B">
        <w:rPr>
          <w:rFonts w:cstheme="minorHAnsi"/>
        </w:rPr>
        <w:t xml:space="preserve"> plánu </w:t>
      </w:r>
      <w:r w:rsidR="004E1065">
        <w:rPr>
          <w:rFonts w:cstheme="minorHAnsi"/>
        </w:rPr>
        <w:t>inteligentních</w:t>
      </w:r>
      <w:r w:rsidR="00897AF9" w:rsidRPr="0092047B">
        <w:rPr>
          <w:rFonts w:cstheme="minorHAnsi"/>
        </w:rPr>
        <w:t xml:space="preserve"> sít</w:t>
      </w:r>
      <w:r w:rsidR="004E1065">
        <w:rPr>
          <w:rFonts w:cstheme="minorHAnsi"/>
        </w:rPr>
        <w:t>í</w:t>
      </w:r>
      <w:r w:rsidR="00897AF9" w:rsidRPr="0092047B">
        <w:rPr>
          <w:rFonts w:cstheme="minorHAnsi"/>
        </w:rPr>
        <w:t xml:space="preserve"> (</w:t>
      </w:r>
      <w:r w:rsidR="009933DF" w:rsidRPr="0092047B">
        <w:rPr>
          <w:rFonts w:cstheme="minorHAnsi"/>
        </w:rPr>
        <w:t>NAP SG</w:t>
      </w:r>
      <w:r w:rsidR="00897AF9" w:rsidRPr="0092047B">
        <w:rPr>
          <w:rFonts w:cstheme="minorHAnsi"/>
        </w:rPr>
        <w:t>)</w:t>
      </w:r>
      <w:r w:rsidRPr="0092047B">
        <w:rPr>
          <w:rFonts w:cstheme="minorHAnsi"/>
        </w:rPr>
        <w:t>.</w:t>
      </w:r>
    </w:p>
    <w:p w:rsidR="00A12FA2"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 xml:space="preserve">Zajistit obnovu a rozvoj distribučních soustav včetně nástrojů jejich řízení tak, aby: </w:t>
      </w:r>
    </w:p>
    <w:p w:rsidR="00A12FA2" w:rsidRPr="0092047B" w:rsidRDefault="00756EAC" w:rsidP="00184DC1">
      <w:pPr>
        <w:tabs>
          <w:tab w:val="left" w:pos="1276"/>
          <w:tab w:val="left" w:pos="1418"/>
        </w:tabs>
        <w:spacing w:before="120" w:after="120"/>
        <w:ind w:left="1418"/>
        <w:contextualSpacing/>
        <w:rPr>
          <w:rFonts w:cstheme="minorHAnsi"/>
        </w:rPr>
      </w:pPr>
      <w:r w:rsidRPr="0092047B">
        <w:rPr>
          <w:rFonts w:cstheme="minorHAnsi"/>
        </w:rPr>
        <w:t>- umožňovaly připojení a provoz všech nových distribuovaných zdrojů podle požadavků investorů za předpokladu splnění stanovených podmínek připojení a</w:t>
      </w:r>
      <w:r w:rsidR="001D4FCF" w:rsidRPr="0092047B">
        <w:rPr>
          <w:rFonts w:cstheme="minorHAnsi"/>
        </w:rPr>
        <w:t> </w:t>
      </w:r>
      <w:r w:rsidRPr="0092047B">
        <w:rPr>
          <w:rFonts w:cstheme="minorHAnsi"/>
        </w:rPr>
        <w:t>v</w:t>
      </w:r>
      <w:r w:rsidR="001D4FCF" w:rsidRPr="0092047B">
        <w:rPr>
          <w:rFonts w:cstheme="minorHAnsi"/>
        </w:rPr>
        <w:t> </w:t>
      </w:r>
      <w:r w:rsidRPr="0092047B">
        <w:rPr>
          <w:rFonts w:cstheme="minorHAnsi"/>
        </w:rPr>
        <w:t xml:space="preserve">souladu se SEK, </w:t>
      </w:r>
    </w:p>
    <w:p w:rsidR="00A12FA2" w:rsidRPr="0092047B" w:rsidRDefault="00756EAC" w:rsidP="00184DC1">
      <w:pPr>
        <w:tabs>
          <w:tab w:val="left" w:pos="1276"/>
          <w:tab w:val="left" w:pos="1418"/>
        </w:tabs>
        <w:spacing w:before="120" w:after="120"/>
        <w:ind w:left="1418"/>
        <w:contextualSpacing/>
        <w:rPr>
          <w:rFonts w:cstheme="minorHAnsi"/>
        </w:rPr>
      </w:pPr>
      <w:r w:rsidRPr="0092047B">
        <w:rPr>
          <w:rFonts w:cstheme="minorHAnsi"/>
        </w:rPr>
        <w:t>- uspokojovaly požadavky na straně spotřeby</w:t>
      </w:r>
      <w:r w:rsidR="00D37C48">
        <w:rPr>
          <w:rFonts w:cstheme="minorHAnsi"/>
        </w:rPr>
        <w:t>,</w:t>
      </w:r>
      <w:r w:rsidRPr="0092047B">
        <w:rPr>
          <w:rFonts w:cstheme="minorHAnsi"/>
        </w:rPr>
        <w:t xml:space="preserve"> včetně podpory rozvoje tepelných čerpadel, rozvoje elektromobility (nabíjení elektromobilů) a</w:t>
      </w:r>
      <w:r w:rsidR="001D4FCF" w:rsidRPr="0092047B">
        <w:rPr>
          <w:rFonts w:cstheme="minorHAnsi"/>
        </w:rPr>
        <w:t> </w:t>
      </w:r>
      <w:r w:rsidRPr="0092047B">
        <w:rPr>
          <w:rFonts w:cstheme="minorHAnsi"/>
        </w:rPr>
        <w:t xml:space="preserve">místní akumulace jako součást nízkoenergetických domů, </w:t>
      </w:r>
    </w:p>
    <w:p w:rsidR="00100C3E" w:rsidRPr="0092047B" w:rsidRDefault="00756EAC" w:rsidP="00184DC1">
      <w:pPr>
        <w:tabs>
          <w:tab w:val="left" w:pos="1276"/>
          <w:tab w:val="left" w:pos="1418"/>
        </w:tabs>
        <w:spacing w:before="120" w:after="120"/>
        <w:ind w:left="1418"/>
        <w:contextualSpacing/>
        <w:rPr>
          <w:rFonts w:cstheme="minorHAnsi"/>
        </w:rPr>
      </w:pPr>
      <w:r w:rsidRPr="0092047B">
        <w:rPr>
          <w:rFonts w:cstheme="minorHAnsi"/>
        </w:rPr>
        <w:t>- zajišťo</w:t>
      </w:r>
      <w:r w:rsidR="00603D18" w:rsidRPr="0092047B">
        <w:rPr>
          <w:rFonts w:cstheme="minorHAnsi"/>
        </w:rPr>
        <w:t>valy dlouhodobou udržitelnost a </w:t>
      </w:r>
      <w:r w:rsidRPr="0092047B">
        <w:rPr>
          <w:rFonts w:cstheme="minorHAnsi"/>
        </w:rPr>
        <w:t>provozovatelnost sítí i při podílu decentralizovaných zdrojů v DS nad 50</w:t>
      </w:r>
      <w:r w:rsidR="00D81B10">
        <w:rPr>
          <w:rFonts w:cstheme="minorHAnsi"/>
        </w:rPr>
        <w:t xml:space="preserve"> </w:t>
      </w:r>
      <w:r w:rsidRPr="0092047B">
        <w:rPr>
          <w:rFonts w:cstheme="minorHAnsi"/>
        </w:rPr>
        <w:t>% celkového instalovaného výkonu</w:t>
      </w:r>
      <w:r w:rsidR="00D81B10">
        <w:rPr>
          <w:rFonts w:cstheme="minorHAnsi"/>
        </w:rPr>
        <w:t xml:space="preserve"> v ČR</w:t>
      </w:r>
      <w:r w:rsidRPr="0092047B">
        <w:rPr>
          <w:rFonts w:cstheme="minorHAnsi"/>
        </w:rPr>
        <w:t>.</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 xml:space="preserve">Udržet tranzitní roli ČR v oblasti přepravy zemního plynu a </w:t>
      </w:r>
      <w:r w:rsidR="00661AC1" w:rsidRPr="0092047B">
        <w:rPr>
          <w:rFonts w:cstheme="minorHAnsi"/>
        </w:rPr>
        <w:t>zajistit realizaci severojižního koridoru přes území ČR (STORK II, MORAVIA, BACI, OBERKAPPEL)</w:t>
      </w:r>
      <w:r w:rsidRPr="0092047B">
        <w:rPr>
          <w:rFonts w:cstheme="minorHAnsi"/>
        </w:rPr>
        <w:t>.</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Trvale zajišťovat schopnost reverzního chodu a obnovu a rozvoj plynovodní přepravní soustavy. Zajistit kapacity pro nárůst dodávek zemního plynu (navýšení jeho potřeby v dodávce tepla, výrobě elektřiny a v dopravě).</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Podporovat další projekty zvyšující diverzifikaci možností dodávek ropy a</w:t>
      </w:r>
      <w:r w:rsidR="001D4FCF" w:rsidRPr="0092047B">
        <w:rPr>
          <w:rFonts w:cstheme="minorHAnsi"/>
        </w:rPr>
        <w:t> </w:t>
      </w:r>
      <w:r w:rsidRPr="0092047B">
        <w:rPr>
          <w:rFonts w:cstheme="minorHAnsi"/>
        </w:rPr>
        <w:t xml:space="preserve">produktů do ČR, např. </w:t>
      </w:r>
      <w:r w:rsidR="003C2805">
        <w:rPr>
          <w:rFonts w:cstheme="minorHAnsi"/>
          <w:bCs/>
          <w:szCs w:val="28"/>
        </w:rPr>
        <w:t xml:space="preserve">navýšení kapacity ropovodu TAL, výstavbu </w:t>
      </w:r>
      <w:r w:rsidRPr="0092047B">
        <w:rPr>
          <w:rFonts w:cstheme="minorHAnsi"/>
        </w:rPr>
        <w:t>ropovodního propojení rafinerií Litvínov - Leuna (Spergau) a propojení na produktovod NATO Central European Pipeline System (CEPS).</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Podporovat rozvoj a posilování stávajícího systému přepravy ropy do ČR, s cílem zajištění a udržení dostatečné přepravní kapacity pro potřeby rafinérií v ČR a ve spolupráci s dalšími státy (Slovensko, Ukrajina, Rusko) zachovat provozuschopnost celé v minulosti nákladně vybudované přepravní soustavy.</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Zachovat dvě funkční zásobovací cesty pro dopravu ropy do ČR ze dvou různých směrů coby základ ropné bezpečnosti ČR.</w:t>
      </w:r>
    </w:p>
    <w:p w:rsidR="00100C3E" w:rsidRPr="0092047B" w:rsidRDefault="00756EAC" w:rsidP="00184DC1">
      <w:pPr>
        <w:numPr>
          <w:ilvl w:val="2"/>
          <w:numId w:val="37"/>
        </w:numPr>
        <w:tabs>
          <w:tab w:val="left" w:pos="1276"/>
          <w:tab w:val="left" w:pos="1418"/>
        </w:tabs>
        <w:spacing w:before="120" w:after="120"/>
        <w:ind w:left="1135" w:hanging="284"/>
        <w:contextualSpacing/>
        <w:rPr>
          <w:rFonts w:cstheme="minorHAnsi"/>
        </w:rPr>
      </w:pPr>
      <w:r w:rsidRPr="0092047B">
        <w:rPr>
          <w:rFonts w:cstheme="minorHAnsi"/>
        </w:rPr>
        <w:t>Zajistit i po změně metodiky EU ohledně výpočtu nouzových zásob ropy a</w:t>
      </w:r>
      <w:r w:rsidR="001D4FCF" w:rsidRPr="0092047B">
        <w:rPr>
          <w:rFonts w:cstheme="minorHAnsi"/>
        </w:rPr>
        <w:t> </w:t>
      </w:r>
      <w:r w:rsidRPr="0092047B">
        <w:rPr>
          <w:rFonts w:cstheme="minorHAnsi"/>
        </w:rPr>
        <w:t>ropných produktů jejich zachování na úrovni minimálně 90 dnů s perspektivním výhledem zvyšování úrovně těchto zásob až na 120 dnů čistých dovozů v</w:t>
      </w:r>
      <w:r w:rsidR="001D4FCF" w:rsidRPr="0092047B">
        <w:rPr>
          <w:rFonts w:cstheme="minorHAnsi"/>
        </w:rPr>
        <w:t> </w:t>
      </w:r>
      <w:r w:rsidRPr="0092047B">
        <w:rPr>
          <w:rFonts w:cstheme="minorHAnsi"/>
        </w:rPr>
        <w:t>závislosti na ekonomických možnostech státu.</w:t>
      </w:r>
    </w:p>
    <w:p w:rsidR="008F1AF2" w:rsidRPr="0092047B" w:rsidRDefault="008F1AF2" w:rsidP="00184DC1">
      <w:pPr>
        <w:numPr>
          <w:ilvl w:val="2"/>
          <w:numId w:val="37"/>
        </w:numPr>
        <w:tabs>
          <w:tab w:val="left" w:pos="1276"/>
          <w:tab w:val="left" w:pos="1418"/>
        </w:tabs>
        <w:spacing w:before="120" w:after="120"/>
        <w:ind w:left="1135" w:hanging="284"/>
        <w:contextualSpacing/>
        <w:rPr>
          <w:rFonts w:cstheme="minorHAnsi"/>
        </w:rPr>
      </w:pPr>
      <w:r w:rsidRPr="0092047B">
        <w:t xml:space="preserve">Zajistit systematické řešení kruhových toků </w:t>
      </w:r>
      <w:r w:rsidR="00AA05F2">
        <w:t xml:space="preserve">elektřiny </w:t>
      </w:r>
      <w:r w:rsidRPr="0092047B">
        <w:t>a tranzitu z pohledu bezpečnosti i kompenzace nákladů.</w:t>
      </w:r>
    </w:p>
    <w:p w:rsidR="00661AC1" w:rsidRPr="0092047B" w:rsidRDefault="00661AC1" w:rsidP="00184DC1">
      <w:pPr>
        <w:numPr>
          <w:ilvl w:val="2"/>
          <w:numId w:val="37"/>
        </w:numPr>
        <w:tabs>
          <w:tab w:val="left" w:pos="1276"/>
          <w:tab w:val="left" w:pos="1418"/>
        </w:tabs>
        <w:spacing w:before="120" w:after="120"/>
        <w:ind w:left="1135" w:hanging="284"/>
        <w:rPr>
          <w:rFonts w:cstheme="minorHAnsi"/>
        </w:rPr>
      </w:pPr>
      <w:r w:rsidRPr="0092047B">
        <w:t>Zajistit trvalé udržení provozuschopných zpracovacích kapacit ropy na území ČR ve výši alespoň 50</w:t>
      </w:r>
      <w:r w:rsidR="00E56201" w:rsidRPr="0092047B">
        <w:t xml:space="preserve"> </w:t>
      </w:r>
      <w:r w:rsidRPr="0092047B">
        <w:t xml:space="preserve">% běžné domácí spotřeby. </w:t>
      </w:r>
    </w:p>
    <w:p w:rsidR="00F07E20" w:rsidRPr="0092047B" w:rsidRDefault="00F07E20" w:rsidP="00184DC1">
      <w:pPr>
        <w:pStyle w:val="Nadpis3"/>
      </w:pPr>
      <w:bookmarkStart w:id="784" w:name="_Toc396923391"/>
      <w:r w:rsidRPr="0092047B">
        <w:t>Priorita IV</w:t>
      </w:r>
      <w:r w:rsidR="003D7415" w:rsidRPr="0092047B">
        <w:t xml:space="preserve"> – </w:t>
      </w:r>
      <w:r w:rsidR="00B40D93">
        <w:t>Výzkum, vývoj</w:t>
      </w:r>
      <w:r w:rsidR="00B40D93" w:rsidRPr="0092047B">
        <w:t xml:space="preserve"> </w:t>
      </w:r>
      <w:r w:rsidR="003D7415" w:rsidRPr="0092047B">
        <w:t>a inovace</w:t>
      </w:r>
      <w:bookmarkEnd w:id="784"/>
    </w:p>
    <w:p w:rsidR="006E3CE4" w:rsidRPr="0092047B" w:rsidRDefault="004A7C68" w:rsidP="00184DC1">
      <w:pPr>
        <w:spacing w:before="240" w:after="120"/>
        <w:rPr>
          <w:rFonts w:cstheme="minorHAnsi"/>
        </w:rPr>
      </w:pPr>
      <w:r w:rsidRPr="0092047B">
        <w:rPr>
          <w:rFonts w:cstheme="minorHAnsi"/>
        </w:rPr>
        <w:t>Priorita IV</w:t>
      </w:r>
      <w:r w:rsidR="00F07E20" w:rsidRPr="0092047B">
        <w:rPr>
          <w:rFonts w:cstheme="minorHAnsi"/>
        </w:rPr>
        <w:t xml:space="preserve">: </w:t>
      </w:r>
      <w:r w:rsidR="00032170" w:rsidRPr="0092047B">
        <w:rPr>
          <w:rFonts w:cstheme="minorHAnsi"/>
          <w:b/>
          <w:u w:val="single"/>
        </w:rPr>
        <w:t>Podpora výzkumu, vývoje a inovací zajišťující konkurenceschopnost české energetiky a podpora školství, s cílem nutnosti generační obměny a zlepšení kvality technické inteligence v oblasti energetiky.</w:t>
      </w:r>
    </w:p>
    <w:p w:rsidR="001A6FFB" w:rsidRPr="0092047B" w:rsidRDefault="006E3CE4" w:rsidP="00184DC1">
      <w:pPr>
        <w:pStyle w:val="Zkladntext"/>
        <w:spacing w:before="240" w:after="120"/>
        <w:rPr>
          <w:rFonts w:cstheme="minorHAnsi"/>
          <w:b/>
          <w:bCs/>
        </w:rPr>
      </w:pPr>
      <w:r w:rsidRPr="0092047B">
        <w:rPr>
          <w:rFonts w:cstheme="minorHAnsi"/>
          <w:b/>
          <w:bCs/>
        </w:rPr>
        <w:t>Motiv</w:t>
      </w:r>
    </w:p>
    <w:p w:rsidR="006E3CE4" w:rsidRPr="0092047B" w:rsidRDefault="006E3CE4" w:rsidP="00184DC1">
      <w:pPr>
        <w:pStyle w:val="Normlnweb"/>
        <w:spacing w:before="120" w:beforeAutospacing="0" w:after="240" w:afterAutospacing="0"/>
        <w:rPr>
          <w:rFonts w:asciiTheme="minorHAnsi" w:eastAsia="Times New Roman" w:hAnsiTheme="minorHAnsi" w:cstheme="minorHAnsi"/>
          <w:bCs/>
          <w:szCs w:val="18"/>
        </w:rPr>
      </w:pPr>
      <w:r w:rsidRPr="0092047B">
        <w:rPr>
          <w:rFonts w:asciiTheme="minorHAnsi" w:eastAsia="Times New Roman" w:hAnsiTheme="minorHAnsi" w:cstheme="minorHAnsi"/>
          <w:bCs/>
          <w:szCs w:val="18"/>
        </w:rPr>
        <w:t>Z dlouhodobého pohledu představují výzkum, vý</w:t>
      </w:r>
      <w:r w:rsidR="001A6FFB" w:rsidRPr="0092047B">
        <w:rPr>
          <w:rFonts w:asciiTheme="minorHAnsi" w:eastAsia="Times New Roman" w:hAnsiTheme="minorHAnsi" w:cstheme="minorHAnsi"/>
          <w:bCs/>
          <w:szCs w:val="18"/>
        </w:rPr>
        <w:t>voj</w:t>
      </w:r>
      <w:r w:rsidR="002A07EC" w:rsidRPr="0092047B">
        <w:rPr>
          <w:rFonts w:asciiTheme="minorHAnsi" w:eastAsia="Times New Roman" w:hAnsiTheme="minorHAnsi" w:cstheme="minorHAnsi"/>
          <w:bCs/>
          <w:szCs w:val="18"/>
        </w:rPr>
        <w:t>, zavádění inovací</w:t>
      </w:r>
      <w:r w:rsidR="001A6FFB" w:rsidRPr="0092047B">
        <w:rPr>
          <w:rFonts w:asciiTheme="minorHAnsi" w:eastAsia="Times New Roman" w:hAnsiTheme="minorHAnsi" w:cstheme="minorHAnsi"/>
          <w:bCs/>
          <w:szCs w:val="18"/>
        </w:rPr>
        <w:t xml:space="preserve"> a</w:t>
      </w:r>
      <w:r w:rsidR="00491BAB" w:rsidRPr="0092047B">
        <w:rPr>
          <w:rFonts w:asciiTheme="minorHAnsi" w:eastAsia="Times New Roman" w:hAnsiTheme="minorHAnsi" w:cstheme="minorHAnsi"/>
          <w:bCs/>
          <w:szCs w:val="18"/>
        </w:rPr>
        <w:t> </w:t>
      </w:r>
      <w:r w:rsidR="001A6FFB" w:rsidRPr="0092047B">
        <w:rPr>
          <w:rFonts w:asciiTheme="minorHAnsi" w:eastAsia="Times New Roman" w:hAnsiTheme="minorHAnsi" w:cstheme="minorHAnsi"/>
          <w:bCs/>
          <w:szCs w:val="18"/>
        </w:rPr>
        <w:t xml:space="preserve">vzdělávání </w:t>
      </w:r>
      <w:r w:rsidR="002E43FA" w:rsidRPr="0092047B">
        <w:rPr>
          <w:rFonts w:asciiTheme="minorHAnsi" w:eastAsia="Times New Roman" w:hAnsiTheme="minorHAnsi" w:cstheme="minorHAnsi"/>
          <w:bCs/>
          <w:szCs w:val="18"/>
        </w:rPr>
        <w:t>zásadní</w:t>
      </w:r>
      <w:r w:rsidR="001A6FFB" w:rsidRPr="0092047B">
        <w:rPr>
          <w:rFonts w:asciiTheme="minorHAnsi" w:eastAsia="Times New Roman" w:hAnsiTheme="minorHAnsi" w:cstheme="minorHAnsi"/>
          <w:bCs/>
          <w:szCs w:val="18"/>
        </w:rPr>
        <w:t xml:space="preserve"> faktory </w:t>
      </w:r>
      <w:r w:rsidRPr="0092047B">
        <w:rPr>
          <w:rFonts w:asciiTheme="minorHAnsi" w:eastAsia="Times New Roman" w:hAnsiTheme="minorHAnsi" w:cstheme="minorHAnsi"/>
          <w:bCs/>
          <w:szCs w:val="18"/>
        </w:rPr>
        <w:t>konkurenceschopnosti hospodářství i</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energetiky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kritické faktory úspěchu.</w:t>
      </w:r>
    </w:p>
    <w:p w:rsidR="006E3CE4" w:rsidRPr="0092047B" w:rsidRDefault="006574BF" w:rsidP="00184DC1">
      <w:pPr>
        <w:pStyle w:val="Zkladntext"/>
        <w:keepNext/>
        <w:spacing w:before="240" w:after="120"/>
        <w:rPr>
          <w:rFonts w:cstheme="minorHAnsi"/>
          <w:b/>
          <w:bCs/>
        </w:rPr>
      </w:pPr>
      <w:r w:rsidRPr="0092047B">
        <w:rPr>
          <w:rFonts w:cstheme="minorHAnsi"/>
          <w:b/>
          <w:bCs/>
        </w:rPr>
        <w:t>Cílový stav</w:t>
      </w:r>
    </w:p>
    <w:p w:rsidR="006E3CE4" w:rsidRPr="0092047B" w:rsidRDefault="006E3CE4" w:rsidP="00184DC1">
      <w:pPr>
        <w:pStyle w:val="Normlnweb"/>
        <w:spacing w:before="120" w:beforeAutospacing="0" w:after="240" w:afterAutospacing="0"/>
        <w:rPr>
          <w:rFonts w:asciiTheme="minorHAnsi" w:eastAsia="Times New Roman" w:hAnsiTheme="minorHAnsi" w:cstheme="minorHAnsi"/>
          <w:bCs/>
          <w:szCs w:val="18"/>
        </w:rPr>
      </w:pPr>
      <w:r w:rsidRPr="0092047B">
        <w:rPr>
          <w:rFonts w:asciiTheme="minorHAnsi" w:eastAsia="Times New Roman" w:hAnsiTheme="minorHAnsi" w:cstheme="minorHAnsi"/>
          <w:bCs/>
          <w:szCs w:val="18"/>
        </w:rPr>
        <w:t xml:space="preserve">Zajistit </w:t>
      </w:r>
      <w:r w:rsidR="0042621E" w:rsidRPr="0092047B">
        <w:rPr>
          <w:rFonts w:asciiTheme="minorHAnsi" w:eastAsia="Times New Roman" w:hAnsiTheme="minorHAnsi" w:cstheme="minorHAnsi"/>
          <w:bCs/>
          <w:szCs w:val="18"/>
        </w:rPr>
        <w:t xml:space="preserve">efektivní </w:t>
      </w:r>
      <w:r w:rsidRPr="0092047B">
        <w:rPr>
          <w:rFonts w:asciiTheme="minorHAnsi" w:eastAsia="Times New Roman" w:hAnsiTheme="minorHAnsi" w:cstheme="minorHAnsi"/>
          <w:bCs/>
          <w:szCs w:val="18"/>
        </w:rPr>
        <w:t>spolupráci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propojení průmyslu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středního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vysokého školství, zvýšit počet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kvalitu absolventů technických profesí. Zajistit systematické celoživotní profesní vzdělávání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obnovu a</w:t>
      </w:r>
      <w:r w:rsidR="00491BAB" w:rsidRPr="0092047B">
        <w:rPr>
          <w:rFonts w:asciiTheme="minorHAnsi" w:eastAsia="Times New Roman" w:hAnsiTheme="minorHAnsi" w:cstheme="minorHAnsi"/>
          <w:bCs/>
          <w:szCs w:val="18"/>
        </w:rPr>
        <w:t> </w:t>
      </w:r>
      <w:r w:rsidRPr="0092047B">
        <w:rPr>
          <w:rFonts w:asciiTheme="minorHAnsi" w:eastAsia="Times New Roman" w:hAnsiTheme="minorHAnsi" w:cstheme="minorHAnsi"/>
          <w:bCs/>
          <w:szCs w:val="18"/>
        </w:rPr>
        <w:t>rozvoj „tvrdých“ dovedností.</w:t>
      </w:r>
      <w:r w:rsidR="001A6FFB" w:rsidRPr="0092047B">
        <w:rPr>
          <w:rFonts w:asciiTheme="minorHAnsi" w:eastAsia="Times New Roman" w:hAnsiTheme="minorHAnsi" w:cstheme="minorHAnsi"/>
          <w:bCs/>
          <w:szCs w:val="18"/>
        </w:rPr>
        <w:t xml:space="preserve"> </w:t>
      </w:r>
      <w:r w:rsidR="002E43FA" w:rsidRPr="0092047B">
        <w:rPr>
          <w:rFonts w:asciiTheme="minorHAnsi" w:eastAsia="Times New Roman" w:hAnsiTheme="minorHAnsi" w:cstheme="minorHAnsi"/>
          <w:bCs/>
          <w:szCs w:val="18"/>
        </w:rPr>
        <w:t>Zaji</w:t>
      </w:r>
      <w:r w:rsidR="00387C4B" w:rsidRPr="0092047B">
        <w:rPr>
          <w:rFonts w:asciiTheme="minorHAnsi" w:eastAsia="Times New Roman" w:hAnsiTheme="minorHAnsi" w:cstheme="minorHAnsi"/>
          <w:bCs/>
          <w:szCs w:val="18"/>
        </w:rPr>
        <w:t>stit zvýšenou podporu výzkumu a </w:t>
      </w:r>
      <w:r w:rsidR="002E43FA" w:rsidRPr="0092047B">
        <w:rPr>
          <w:rFonts w:asciiTheme="minorHAnsi" w:eastAsia="Times New Roman" w:hAnsiTheme="minorHAnsi" w:cstheme="minorHAnsi"/>
          <w:bCs/>
          <w:szCs w:val="18"/>
        </w:rPr>
        <w:t xml:space="preserve">vývoje v energetice a energetickém strojírenství, ale i v materiálovém </w:t>
      </w:r>
      <w:r w:rsidR="00387C4B" w:rsidRPr="0092047B">
        <w:rPr>
          <w:rFonts w:asciiTheme="minorHAnsi" w:eastAsia="Times New Roman" w:hAnsiTheme="minorHAnsi" w:cstheme="minorHAnsi"/>
          <w:bCs/>
          <w:szCs w:val="18"/>
        </w:rPr>
        <w:t>inženýrství a </w:t>
      </w:r>
      <w:r w:rsidR="002E43FA" w:rsidRPr="0092047B">
        <w:rPr>
          <w:rFonts w:asciiTheme="minorHAnsi" w:eastAsia="Times New Roman" w:hAnsiTheme="minorHAnsi" w:cstheme="minorHAnsi"/>
          <w:bCs/>
          <w:szCs w:val="18"/>
        </w:rPr>
        <w:t>stavebnictví pro energetiku (zvláště ve vztahu k JE) a cíleně jí orientovat na priority stanovené Státní energetickou ko</w:t>
      </w:r>
      <w:r w:rsidR="00237CB0" w:rsidRPr="0092047B">
        <w:rPr>
          <w:rFonts w:asciiTheme="minorHAnsi" w:eastAsia="Times New Roman" w:hAnsiTheme="minorHAnsi" w:cstheme="minorHAnsi"/>
          <w:bCs/>
          <w:szCs w:val="18"/>
        </w:rPr>
        <w:t xml:space="preserve">ncepcí a hospodářskou/exportní </w:t>
      </w:r>
      <w:r w:rsidR="002E43FA" w:rsidRPr="0092047B">
        <w:rPr>
          <w:rFonts w:asciiTheme="minorHAnsi" w:eastAsia="Times New Roman" w:hAnsiTheme="minorHAnsi" w:cstheme="minorHAnsi"/>
          <w:bCs/>
          <w:szCs w:val="18"/>
        </w:rPr>
        <w:t>strategií ČR.</w:t>
      </w:r>
      <w:r w:rsidR="005B0C34" w:rsidRPr="0092047B">
        <w:rPr>
          <w:rFonts w:ascii="Times New Roman" w:eastAsia="Times New Roman" w:hAnsi="Times New Roman" w:cs="Times New Roman"/>
          <w:szCs w:val="20"/>
        </w:rPr>
        <w:t xml:space="preserve"> </w:t>
      </w:r>
      <w:r w:rsidR="005B0C34" w:rsidRPr="0092047B">
        <w:rPr>
          <w:rFonts w:asciiTheme="minorHAnsi" w:eastAsia="Times New Roman" w:hAnsiTheme="minorHAnsi" w:cstheme="minorHAnsi"/>
          <w:bCs/>
          <w:szCs w:val="18"/>
        </w:rPr>
        <w:t>Vhodnými instrumenty a bez mimořádných veřejných finančních zdrojů tak lze dosáhnout přístupu k informacím a technologiím</w:t>
      </w:r>
      <w:r w:rsidR="00DB6E36" w:rsidRPr="0092047B">
        <w:rPr>
          <w:rFonts w:asciiTheme="minorHAnsi" w:eastAsia="Times New Roman" w:hAnsiTheme="minorHAnsi" w:cstheme="minorHAnsi"/>
          <w:bCs/>
          <w:szCs w:val="18"/>
        </w:rPr>
        <w:t>,</w:t>
      </w:r>
      <w:r w:rsidR="005B0C34" w:rsidRPr="0092047B">
        <w:rPr>
          <w:rFonts w:asciiTheme="minorHAnsi" w:eastAsia="Times New Roman" w:hAnsiTheme="minorHAnsi" w:cstheme="minorHAnsi"/>
          <w:bCs/>
          <w:szCs w:val="18"/>
        </w:rPr>
        <w:t xml:space="preserve"> představujícím potenciál akcelerace řešení i v SEK citovaných strategických cílů vč. energetické účinnosti, OZE, přenosových sítí, skladování energie, vývoje reaktorů nové generace, nových energetických materiálů atd.</w:t>
      </w:r>
    </w:p>
    <w:p w:rsidR="006574BF" w:rsidRPr="0092047B" w:rsidRDefault="006574BF" w:rsidP="00184DC1">
      <w:pPr>
        <w:pStyle w:val="Zkladntext"/>
        <w:spacing w:before="240" w:after="120"/>
        <w:rPr>
          <w:rFonts w:cstheme="minorHAnsi"/>
          <w:b/>
          <w:bCs/>
        </w:rPr>
      </w:pPr>
      <w:r w:rsidRPr="0092047B">
        <w:rPr>
          <w:rFonts w:cstheme="minorHAnsi"/>
          <w:b/>
          <w:bCs/>
        </w:rPr>
        <w:t>Strategie do roku 2040</w:t>
      </w:r>
    </w:p>
    <w:p w:rsidR="00100C3E" w:rsidRPr="0092047B" w:rsidRDefault="00756EAC" w:rsidP="00184DC1">
      <w:pPr>
        <w:numPr>
          <w:ilvl w:val="2"/>
          <w:numId w:val="38"/>
        </w:numPr>
        <w:tabs>
          <w:tab w:val="left" w:pos="1276"/>
          <w:tab w:val="left" w:pos="1418"/>
        </w:tabs>
        <w:spacing w:before="120"/>
        <w:ind w:left="1134" w:hanging="283"/>
        <w:contextualSpacing/>
        <w:rPr>
          <w:rFonts w:cstheme="minorHAnsi"/>
        </w:rPr>
      </w:pPr>
      <w:r w:rsidRPr="0092047B">
        <w:rPr>
          <w:rFonts w:cstheme="minorHAnsi"/>
        </w:rPr>
        <w:t>Zabezpečit počet absolventů specializovaných na energetické obory v letech 201</w:t>
      </w:r>
      <w:r w:rsidR="00661AC1" w:rsidRPr="0092047B">
        <w:rPr>
          <w:rFonts w:cstheme="minorHAnsi"/>
        </w:rPr>
        <w:t>4</w:t>
      </w:r>
      <w:r w:rsidRPr="0092047B">
        <w:rPr>
          <w:rFonts w:cstheme="minorHAnsi"/>
        </w:rPr>
        <w:t xml:space="preserve"> až 2019 alespoň ve výši 18 tisíc, v oblasti učňovs</w:t>
      </w:r>
      <w:r w:rsidR="00387C4B" w:rsidRPr="0092047B">
        <w:rPr>
          <w:rFonts w:cstheme="minorHAnsi"/>
        </w:rPr>
        <w:t>kého školství v</w:t>
      </w:r>
      <w:r w:rsidR="00237CB0" w:rsidRPr="0092047B">
        <w:rPr>
          <w:rFonts w:cstheme="minorHAnsi"/>
        </w:rPr>
        <w:t> </w:t>
      </w:r>
      <w:r w:rsidR="00387C4B" w:rsidRPr="0092047B">
        <w:rPr>
          <w:rFonts w:cstheme="minorHAnsi"/>
        </w:rPr>
        <w:t>energetických a </w:t>
      </w:r>
      <w:r w:rsidRPr="0092047B">
        <w:rPr>
          <w:rFonts w:cstheme="minorHAnsi"/>
        </w:rPr>
        <w:t>strojírenských oborech alespoň 1000 absolventů ročně.</w:t>
      </w:r>
    </w:p>
    <w:p w:rsidR="00100C3E" w:rsidRPr="0092047B" w:rsidRDefault="00756EAC" w:rsidP="00184DC1">
      <w:pPr>
        <w:numPr>
          <w:ilvl w:val="2"/>
          <w:numId w:val="38"/>
        </w:numPr>
        <w:tabs>
          <w:tab w:val="left" w:pos="1276"/>
          <w:tab w:val="left" w:pos="1418"/>
        </w:tabs>
        <w:spacing w:before="120"/>
        <w:ind w:left="1134" w:hanging="283"/>
        <w:contextualSpacing/>
        <w:rPr>
          <w:rFonts w:cstheme="minorHAnsi"/>
        </w:rPr>
      </w:pPr>
      <w:r w:rsidRPr="0092047B">
        <w:rPr>
          <w:rFonts w:cstheme="minorHAnsi"/>
        </w:rPr>
        <w:t>Zajistit kvalitní nabídku celoživotního vzdělávání v „tvrdých“ dovednostech. Podpořit zapojení středních a vysokých škol do výzkumných p</w:t>
      </w:r>
      <w:r w:rsidR="00387C4B" w:rsidRPr="0092047B">
        <w:rPr>
          <w:rFonts w:cstheme="minorHAnsi"/>
        </w:rPr>
        <w:t>rojektů a</w:t>
      </w:r>
      <w:r w:rsidR="00237CB0" w:rsidRPr="0092047B">
        <w:rPr>
          <w:rFonts w:cstheme="minorHAnsi"/>
        </w:rPr>
        <w:t> </w:t>
      </w:r>
      <w:r w:rsidR="00387C4B" w:rsidRPr="0092047B">
        <w:rPr>
          <w:rFonts w:cstheme="minorHAnsi"/>
        </w:rPr>
        <w:t>společných projektů s </w:t>
      </w:r>
      <w:r w:rsidRPr="0092047B">
        <w:rPr>
          <w:rFonts w:cstheme="minorHAnsi"/>
        </w:rPr>
        <w:t>podniky. Rozšířit stávající technické obory o další „měkké“ dovednosti v oblasti energetického obchodu, IT systémů, záka</w:t>
      </w:r>
      <w:r w:rsidR="00387C4B" w:rsidRPr="0092047B">
        <w:rPr>
          <w:rFonts w:cstheme="minorHAnsi"/>
        </w:rPr>
        <w:t>znických služeb, týmové práce a </w:t>
      </w:r>
      <w:r w:rsidRPr="0092047B">
        <w:rPr>
          <w:rFonts w:cstheme="minorHAnsi"/>
        </w:rPr>
        <w:t>komunikace.</w:t>
      </w:r>
    </w:p>
    <w:p w:rsidR="00100C3E" w:rsidRPr="0092047B" w:rsidRDefault="00756EAC" w:rsidP="00184DC1">
      <w:pPr>
        <w:numPr>
          <w:ilvl w:val="2"/>
          <w:numId w:val="38"/>
        </w:numPr>
        <w:tabs>
          <w:tab w:val="left" w:pos="1276"/>
          <w:tab w:val="left" w:pos="1418"/>
        </w:tabs>
        <w:spacing w:before="120"/>
        <w:ind w:left="1134" w:hanging="283"/>
        <w:contextualSpacing/>
        <w:rPr>
          <w:rFonts w:cstheme="minorHAnsi"/>
        </w:rPr>
      </w:pPr>
      <w:r w:rsidRPr="0092047B">
        <w:rPr>
          <w:rFonts w:cstheme="minorHAnsi"/>
        </w:rPr>
        <w:t>Zajistit systém certifikátů profesních asociací garantujících praxí uznávanou kvalitu vzdělání v oboru a jeho reálnou využitelnost.</w:t>
      </w:r>
    </w:p>
    <w:p w:rsidR="00100C3E" w:rsidRPr="0092047B" w:rsidRDefault="00756EAC" w:rsidP="00184DC1">
      <w:pPr>
        <w:numPr>
          <w:ilvl w:val="2"/>
          <w:numId w:val="38"/>
        </w:numPr>
        <w:tabs>
          <w:tab w:val="left" w:pos="1276"/>
          <w:tab w:val="left" w:pos="1418"/>
        </w:tabs>
        <w:spacing w:before="120"/>
        <w:ind w:left="1134" w:hanging="283"/>
        <w:contextualSpacing/>
        <w:rPr>
          <w:rFonts w:cstheme="minorHAnsi"/>
        </w:rPr>
      </w:pPr>
      <w:r w:rsidRPr="0092047B">
        <w:rPr>
          <w:rFonts w:cstheme="minorHAnsi"/>
        </w:rPr>
        <w:t>Zvýšit atraktivitu technických oborů tak, aby poměr poptávky přesáhl ve všech energetických oborech nabídku studijních m</w:t>
      </w:r>
      <w:r w:rsidR="00387C4B" w:rsidRPr="0092047B">
        <w:rPr>
          <w:rFonts w:cstheme="minorHAnsi"/>
        </w:rPr>
        <w:t>íst a dosáhnout věkový průměr v </w:t>
      </w:r>
      <w:r w:rsidRPr="0092047B">
        <w:rPr>
          <w:rFonts w:cstheme="minorHAnsi"/>
        </w:rPr>
        <w:t>energetice srovnatelný s věkovým průměrem v celém hospodářství.</w:t>
      </w:r>
    </w:p>
    <w:p w:rsidR="00100C3E" w:rsidRPr="0092047B" w:rsidRDefault="00756EAC" w:rsidP="00184DC1">
      <w:pPr>
        <w:numPr>
          <w:ilvl w:val="2"/>
          <w:numId w:val="38"/>
        </w:numPr>
        <w:tabs>
          <w:tab w:val="left" w:pos="1276"/>
          <w:tab w:val="left" w:pos="1418"/>
        </w:tabs>
        <w:spacing w:before="120"/>
        <w:ind w:left="1134" w:hanging="283"/>
        <w:contextualSpacing/>
        <w:rPr>
          <w:rFonts w:cstheme="minorHAnsi"/>
        </w:rPr>
      </w:pPr>
      <w:r w:rsidRPr="0092047B">
        <w:rPr>
          <w:rFonts w:cstheme="minorHAnsi"/>
        </w:rPr>
        <w:t xml:space="preserve">Usilovat o zvýšení prostředků na výzkum a </w:t>
      </w:r>
      <w:r w:rsidR="00603D18" w:rsidRPr="0092047B">
        <w:rPr>
          <w:rFonts w:cstheme="minorHAnsi"/>
        </w:rPr>
        <w:t>vývoj v energetických oborech a </w:t>
      </w:r>
      <w:r w:rsidRPr="0092047B">
        <w:rPr>
          <w:rFonts w:cstheme="minorHAnsi"/>
        </w:rPr>
        <w:t>strojírenství. Ve strategii rozvoje vědy a výzkumu zdůraznit oblasti energetických oborů. V rámci toho zajistit účinnou koordinaci výzkumných projektů s účastí státních orgánů včetně národních priorit orientovaného výz</w:t>
      </w:r>
      <w:r w:rsidR="00603D18" w:rsidRPr="0092047B">
        <w:rPr>
          <w:rFonts w:cstheme="minorHAnsi"/>
        </w:rPr>
        <w:t>kumu, experimentálního vývoje a </w:t>
      </w:r>
      <w:r w:rsidRPr="0092047B">
        <w:rPr>
          <w:rFonts w:cstheme="minorHAnsi"/>
        </w:rPr>
        <w:t>inovací. V oblastech priorit SEK zajistit maximální zapojení do evropských projektů v</w:t>
      </w:r>
      <w:r w:rsidR="00603D18" w:rsidRPr="0092047B">
        <w:rPr>
          <w:rFonts w:cstheme="minorHAnsi"/>
        </w:rPr>
        <w:t> </w:t>
      </w:r>
      <w:r w:rsidRPr="0092047B">
        <w:rPr>
          <w:rFonts w:cstheme="minorHAnsi"/>
        </w:rPr>
        <w:t>rámci SET plánu.</w:t>
      </w:r>
    </w:p>
    <w:p w:rsidR="00661AC1" w:rsidRPr="0092047B" w:rsidRDefault="00661AC1" w:rsidP="00184DC1">
      <w:pPr>
        <w:numPr>
          <w:ilvl w:val="2"/>
          <w:numId w:val="38"/>
        </w:numPr>
        <w:tabs>
          <w:tab w:val="left" w:pos="1276"/>
          <w:tab w:val="left" w:pos="1418"/>
        </w:tabs>
        <w:spacing w:before="120"/>
        <w:ind w:left="1134" w:hanging="283"/>
        <w:contextualSpacing/>
        <w:rPr>
          <w:rFonts w:cstheme="minorHAnsi"/>
        </w:rPr>
      </w:pPr>
      <w:r w:rsidRPr="0092047B">
        <w:rPr>
          <w:rFonts w:cstheme="minorHAnsi"/>
        </w:rPr>
        <w:t>Posílit všeobecné znalosti obyvatelstva v oblasti energetiky a zejména energetické účinnosti a úsporného chování.</w:t>
      </w:r>
    </w:p>
    <w:p w:rsidR="00F07E20" w:rsidRPr="0092047B" w:rsidRDefault="00F07E20" w:rsidP="00184DC1">
      <w:pPr>
        <w:pStyle w:val="Nadpis3"/>
      </w:pPr>
      <w:bookmarkStart w:id="785" w:name="_Toc396923392"/>
      <w:r w:rsidRPr="0092047B">
        <w:t>Priorita V</w:t>
      </w:r>
      <w:r w:rsidR="00316715" w:rsidRPr="0092047B">
        <w:t xml:space="preserve"> – Energetická bezpečnost</w:t>
      </w:r>
      <w:bookmarkEnd w:id="785"/>
    </w:p>
    <w:p w:rsidR="006E3CE4" w:rsidRPr="0092047B" w:rsidRDefault="004A7C68" w:rsidP="00184DC1">
      <w:pPr>
        <w:spacing w:before="240" w:after="120"/>
        <w:rPr>
          <w:rFonts w:cstheme="minorHAnsi"/>
          <w:b/>
          <w:u w:val="single"/>
        </w:rPr>
      </w:pPr>
      <w:r w:rsidRPr="0092047B">
        <w:rPr>
          <w:rFonts w:cstheme="minorHAnsi"/>
        </w:rPr>
        <w:t>Priorita V</w:t>
      </w:r>
      <w:r w:rsidR="00F07E20" w:rsidRPr="0092047B">
        <w:rPr>
          <w:rFonts w:cstheme="minorHAnsi"/>
        </w:rPr>
        <w:t>:</w:t>
      </w:r>
      <w:r w:rsidR="00032170" w:rsidRPr="0092047B">
        <w:rPr>
          <w:rFonts w:cstheme="minorHAnsi"/>
        </w:rPr>
        <w:t xml:space="preserve"> </w:t>
      </w:r>
      <w:r w:rsidR="00032170" w:rsidRPr="0092047B">
        <w:rPr>
          <w:rFonts w:cstheme="minorHAnsi"/>
          <w:b/>
          <w:u w:val="single"/>
        </w:rPr>
        <w:t>Zvýšení energetické bezpečnosti a odolnosti ČR a posílení schopnosti zajistit nezbytné dodávky energií v případech kumulace poruch, vícenásobných útoků proti kritické infrastruktuře a v případech déle trvajících krizí v zásobování palivy.</w:t>
      </w:r>
    </w:p>
    <w:p w:rsidR="00871ED3" w:rsidRPr="0092047B" w:rsidRDefault="00871ED3" w:rsidP="00CC5C30">
      <w:pPr>
        <w:spacing w:before="120" w:after="120"/>
        <w:rPr>
          <w:rFonts w:cstheme="minorHAnsi"/>
        </w:rPr>
      </w:pPr>
      <w:r w:rsidRPr="0092047B">
        <w:rPr>
          <w:rFonts w:cstheme="minorHAnsi"/>
        </w:rPr>
        <w:t>Standardní (běžné) podmínky jsou z pohledu ASEK definovány jako situace běžného (nekrizového) stavu.</w:t>
      </w:r>
    </w:p>
    <w:p w:rsidR="00871ED3" w:rsidRPr="0092047B" w:rsidRDefault="00871ED3" w:rsidP="00184DC1">
      <w:pPr>
        <w:rPr>
          <w:rFonts w:cstheme="minorHAnsi"/>
        </w:rPr>
      </w:pPr>
      <w:r w:rsidRPr="0092047B">
        <w:rPr>
          <w:rFonts w:cstheme="minorHAnsi"/>
        </w:rPr>
        <w:t xml:space="preserve">Krizové (mimořádné) podmínky jsou z pohledu ASEK definovány jako situace, které se vyznačují zcela výjimečnou odchylkou od běžných podmínek, která </w:t>
      </w:r>
      <w:r w:rsidR="00237CB0" w:rsidRPr="0092047B">
        <w:rPr>
          <w:rFonts w:cstheme="minorHAnsi"/>
        </w:rPr>
        <w:t xml:space="preserve"> vyvolává či vynucuje zásadní </w:t>
      </w:r>
      <w:r w:rsidRPr="0092047B">
        <w:rPr>
          <w:rFonts w:cstheme="minorHAnsi"/>
        </w:rPr>
        <w:t>změny v chování ekonomických subjektů i občanů a domácností. Může jít o stavy nouze definované zvláštním zákonem, ale také o zcela zásadní změny vnějších podmínek spojitého charakteru, které nemají charakter stavů nouze, ale jejichž dopad na podniky a</w:t>
      </w:r>
      <w:r w:rsidR="00603D18" w:rsidRPr="0092047B">
        <w:rPr>
          <w:rFonts w:cstheme="minorHAnsi"/>
        </w:rPr>
        <w:t> </w:t>
      </w:r>
      <w:r w:rsidRPr="0092047B">
        <w:rPr>
          <w:rFonts w:cstheme="minorHAnsi"/>
        </w:rPr>
        <w:t xml:space="preserve">občany je výjimečný a je na hranici rozpadu standardních ekonomických vztahů  (např. velmi hluboká ekonomická krize jako ve </w:t>
      </w:r>
      <w:r w:rsidR="001E4070" w:rsidRPr="0092047B">
        <w:rPr>
          <w:rFonts w:cstheme="minorHAnsi"/>
        </w:rPr>
        <w:t>třicát</w:t>
      </w:r>
      <w:r w:rsidRPr="0092047B">
        <w:rPr>
          <w:rFonts w:cstheme="minorHAnsi"/>
        </w:rPr>
        <w:t>ých letech 20.</w:t>
      </w:r>
      <w:r w:rsidR="00237CB0" w:rsidRPr="0092047B">
        <w:rPr>
          <w:rFonts w:cstheme="minorHAnsi"/>
        </w:rPr>
        <w:t> </w:t>
      </w:r>
      <w:r w:rsidRPr="0092047B">
        <w:rPr>
          <w:rFonts w:cstheme="minorHAnsi"/>
        </w:rPr>
        <w:t>stol</w:t>
      </w:r>
      <w:r w:rsidR="001E4070" w:rsidRPr="0092047B">
        <w:rPr>
          <w:rFonts w:cstheme="minorHAnsi"/>
        </w:rPr>
        <w:t>etí</w:t>
      </w:r>
      <w:r w:rsidR="00603D18" w:rsidRPr="0092047B">
        <w:rPr>
          <w:rFonts w:cstheme="minorHAnsi"/>
        </w:rPr>
        <w:t>, výjimečné a </w:t>
      </w:r>
      <w:r w:rsidRPr="0092047B">
        <w:rPr>
          <w:rFonts w:cstheme="minorHAnsi"/>
        </w:rPr>
        <w:t>dlouhotrvající turbulence na komoditních nebo kapitálových trzích, poruchy mezinárodních dodávek energie způsobené konflikty</w:t>
      </w:r>
      <w:r w:rsidR="00CC5C30">
        <w:rPr>
          <w:rFonts w:cstheme="minorHAnsi"/>
        </w:rPr>
        <w:t>,</w:t>
      </w:r>
      <w:r w:rsidRPr="0092047B">
        <w:rPr>
          <w:rFonts w:cstheme="minorHAnsi"/>
        </w:rPr>
        <w:t xml:space="preserve"> </w:t>
      </w:r>
      <w:r w:rsidR="00CC5C30">
        <w:rPr>
          <w:rFonts w:cstheme="minorHAnsi"/>
        </w:rPr>
        <w:t>přestože</w:t>
      </w:r>
      <w:r w:rsidRPr="0092047B">
        <w:rPr>
          <w:rFonts w:cstheme="minorHAnsi"/>
        </w:rPr>
        <w:t xml:space="preserve"> Č</w:t>
      </w:r>
      <w:r w:rsidR="00CC5C30">
        <w:rPr>
          <w:rFonts w:cstheme="minorHAnsi"/>
        </w:rPr>
        <w:t>R</w:t>
      </w:r>
      <w:r w:rsidRPr="0092047B">
        <w:rPr>
          <w:rFonts w:cstheme="minorHAnsi"/>
        </w:rPr>
        <w:t xml:space="preserve"> </w:t>
      </w:r>
      <w:r w:rsidR="00CC5C30">
        <w:rPr>
          <w:rFonts w:cstheme="minorHAnsi"/>
        </w:rPr>
        <w:t xml:space="preserve">není jejich </w:t>
      </w:r>
      <w:r w:rsidRPr="0092047B">
        <w:rPr>
          <w:rFonts w:cstheme="minorHAnsi"/>
        </w:rPr>
        <w:t>přímým účastníkem</w:t>
      </w:r>
      <w:r w:rsidR="00CC5C30">
        <w:rPr>
          <w:rFonts w:cstheme="minorHAnsi"/>
        </w:rPr>
        <w:t>)</w:t>
      </w:r>
      <w:r w:rsidRPr="0092047B">
        <w:rPr>
          <w:rFonts w:cstheme="minorHAnsi"/>
        </w:rPr>
        <w:t>.</w:t>
      </w:r>
    </w:p>
    <w:p w:rsidR="006E3CE4" w:rsidRPr="0092047B" w:rsidRDefault="001A6FFB" w:rsidP="00CC5C30">
      <w:pPr>
        <w:pStyle w:val="Zkladntext"/>
        <w:spacing w:before="240" w:after="120"/>
        <w:rPr>
          <w:rFonts w:cstheme="minorHAnsi"/>
          <w:b/>
          <w:bCs/>
        </w:rPr>
      </w:pPr>
      <w:r w:rsidRPr="0092047B">
        <w:rPr>
          <w:rFonts w:cstheme="minorHAnsi"/>
          <w:b/>
          <w:bCs/>
        </w:rPr>
        <w:t>Motiv</w:t>
      </w:r>
    </w:p>
    <w:p w:rsidR="006E3CE4" w:rsidRPr="0092047B" w:rsidRDefault="006E3CE4" w:rsidP="00CC5C30">
      <w:pPr>
        <w:spacing w:before="120"/>
        <w:rPr>
          <w:rFonts w:cstheme="minorHAnsi"/>
          <w:szCs w:val="28"/>
        </w:rPr>
      </w:pPr>
      <w:r w:rsidRPr="0092047B">
        <w:rPr>
          <w:rFonts w:cstheme="minorHAnsi"/>
          <w:szCs w:val="28"/>
        </w:rPr>
        <w:t>Vytvářet předpoklady pro diverzifikované dodávky strategických palivoenergetických surovin, a</w:t>
      </w:r>
      <w:r w:rsidR="00491BAB" w:rsidRPr="0092047B">
        <w:rPr>
          <w:rFonts w:cstheme="minorHAnsi"/>
          <w:szCs w:val="28"/>
        </w:rPr>
        <w:t> </w:t>
      </w:r>
      <w:r w:rsidRPr="0092047B">
        <w:rPr>
          <w:rFonts w:cstheme="minorHAnsi"/>
          <w:szCs w:val="28"/>
        </w:rPr>
        <w:t>to jak pokračováním v</w:t>
      </w:r>
      <w:r w:rsidR="00491BAB" w:rsidRPr="0092047B">
        <w:rPr>
          <w:rFonts w:cstheme="minorHAnsi"/>
          <w:szCs w:val="28"/>
        </w:rPr>
        <w:t> </w:t>
      </w:r>
      <w:r w:rsidRPr="0092047B">
        <w:rPr>
          <w:rFonts w:cstheme="minorHAnsi"/>
          <w:szCs w:val="28"/>
        </w:rPr>
        <w:t>diverzifikaci zdrojových teritorií, tak i</w:t>
      </w:r>
      <w:r w:rsidR="00491BAB" w:rsidRPr="0092047B">
        <w:rPr>
          <w:rFonts w:cstheme="minorHAnsi"/>
          <w:szCs w:val="28"/>
        </w:rPr>
        <w:t> </w:t>
      </w:r>
      <w:r w:rsidRPr="0092047B">
        <w:rPr>
          <w:rFonts w:cstheme="minorHAnsi"/>
          <w:szCs w:val="28"/>
        </w:rPr>
        <w:t>další diverzifikací přepravních cest. V</w:t>
      </w:r>
      <w:r w:rsidR="00491BAB" w:rsidRPr="0092047B">
        <w:rPr>
          <w:rFonts w:cstheme="minorHAnsi"/>
          <w:szCs w:val="28"/>
        </w:rPr>
        <w:t> </w:t>
      </w:r>
      <w:r w:rsidRPr="0092047B">
        <w:rPr>
          <w:rFonts w:cstheme="minorHAnsi"/>
          <w:szCs w:val="28"/>
        </w:rPr>
        <w:t>domácím prostředí vytvářet předpoklady pro stabilní dodávky elektrické energie</w:t>
      </w:r>
      <w:r w:rsidR="005667D0" w:rsidRPr="0092047B">
        <w:rPr>
          <w:rFonts w:cstheme="minorHAnsi"/>
          <w:szCs w:val="28"/>
        </w:rPr>
        <w:t>,</w:t>
      </w:r>
      <w:r w:rsidR="00E001D6" w:rsidRPr="0092047B">
        <w:rPr>
          <w:rFonts w:cstheme="minorHAnsi"/>
          <w:szCs w:val="28"/>
        </w:rPr>
        <w:t xml:space="preserve"> plynu</w:t>
      </w:r>
      <w:r w:rsidR="005667D0" w:rsidRPr="0092047B">
        <w:rPr>
          <w:rFonts w:cstheme="minorHAnsi"/>
          <w:szCs w:val="28"/>
        </w:rPr>
        <w:t xml:space="preserve"> a tepla</w:t>
      </w:r>
      <w:r w:rsidRPr="0092047B">
        <w:rPr>
          <w:rFonts w:cstheme="minorHAnsi"/>
          <w:szCs w:val="28"/>
        </w:rPr>
        <w:t>. Udržovat efektivní strukturu státní</w:t>
      </w:r>
      <w:r w:rsidR="0042621E" w:rsidRPr="0092047B">
        <w:rPr>
          <w:rFonts w:cstheme="minorHAnsi"/>
          <w:szCs w:val="28"/>
        </w:rPr>
        <w:t>ch</w:t>
      </w:r>
      <w:r w:rsidRPr="0092047B">
        <w:rPr>
          <w:rFonts w:cstheme="minorHAnsi"/>
          <w:szCs w:val="28"/>
        </w:rPr>
        <w:t xml:space="preserve"> hmotných rezerv strategických komodit. Zajistit s</w:t>
      </w:r>
      <w:r w:rsidR="00491BAB" w:rsidRPr="0092047B">
        <w:rPr>
          <w:rFonts w:cstheme="minorHAnsi"/>
          <w:b/>
          <w:szCs w:val="28"/>
        </w:rPr>
        <w:t> </w:t>
      </w:r>
      <w:r w:rsidRPr="0092047B">
        <w:rPr>
          <w:rFonts w:cstheme="minorHAnsi"/>
          <w:szCs w:val="28"/>
        </w:rPr>
        <w:t>minimálními náklady odolnost energetického sektoru a</w:t>
      </w:r>
      <w:r w:rsidR="00491BAB" w:rsidRPr="0092047B">
        <w:rPr>
          <w:rFonts w:cstheme="minorHAnsi"/>
          <w:szCs w:val="28"/>
        </w:rPr>
        <w:t> </w:t>
      </w:r>
      <w:r w:rsidRPr="0092047B">
        <w:rPr>
          <w:rFonts w:cstheme="minorHAnsi"/>
          <w:szCs w:val="28"/>
        </w:rPr>
        <w:t>schopnost zajistit dodávky energie v</w:t>
      </w:r>
      <w:r w:rsidR="00491BAB" w:rsidRPr="0092047B">
        <w:rPr>
          <w:rFonts w:cstheme="minorHAnsi"/>
          <w:szCs w:val="28"/>
        </w:rPr>
        <w:t> </w:t>
      </w:r>
      <w:r w:rsidRPr="0092047B">
        <w:rPr>
          <w:rFonts w:cstheme="minorHAnsi"/>
          <w:szCs w:val="28"/>
        </w:rPr>
        <w:t>nezbytném rozsahu i</w:t>
      </w:r>
      <w:r w:rsidR="00491BAB" w:rsidRPr="0092047B">
        <w:rPr>
          <w:rFonts w:cstheme="minorHAnsi"/>
          <w:szCs w:val="28"/>
        </w:rPr>
        <w:t> </w:t>
      </w:r>
      <w:r w:rsidRPr="0092047B">
        <w:rPr>
          <w:rFonts w:cstheme="minorHAnsi"/>
          <w:szCs w:val="28"/>
        </w:rPr>
        <w:t>při výskytu krizových situací</w:t>
      </w:r>
      <w:r w:rsidR="0042621E" w:rsidRPr="0092047B">
        <w:rPr>
          <w:rFonts w:cstheme="minorHAnsi"/>
          <w:szCs w:val="28"/>
        </w:rPr>
        <w:t xml:space="preserve"> či jejich kombinace</w:t>
      </w:r>
      <w:r w:rsidRPr="0092047B">
        <w:rPr>
          <w:rFonts w:cstheme="minorHAnsi"/>
          <w:szCs w:val="28"/>
        </w:rPr>
        <w:t>.</w:t>
      </w:r>
    </w:p>
    <w:p w:rsidR="006E3CE4" w:rsidRPr="0092047B" w:rsidRDefault="001A6FFB" w:rsidP="00CC5C30">
      <w:pPr>
        <w:pStyle w:val="Zkladntext"/>
        <w:spacing w:before="240" w:after="120"/>
        <w:rPr>
          <w:rFonts w:cstheme="minorHAnsi"/>
          <w:b/>
          <w:bCs/>
        </w:rPr>
      </w:pPr>
      <w:r w:rsidRPr="0092047B">
        <w:rPr>
          <w:rFonts w:cstheme="minorHAnsi"/>
          <w:b/>
          <w:bCs/>
        </w:rPr>
        <w:t>Cílový stav</w:t>
      </w:r>
    </w:p>
    <w:p w:rsidR="006E3CE4" w:rsidRPr="0092047B" w:rsidRDefault="006E3CE4" w:rsidP="00CC5C30">
      <w:pPr>
        <w:spacing w:before="120" w:after="120"/>
        <w:rPr>
          <w:rFonts w:cstheme="minorHAnsi"/>
          <w:szCs w:val="28"/>
        </w:rPr>
      </w:pPr>
      <w:r w:rsidRPr="0092047B">
        <w:rPr>
          <w:rFonts w:cstheme="minorHAnsi"/>
          <w:szCs w:val="28"/>
        </w:rPr>
        <w:t>Zajišťovat maximální možnou diverzifikaci zdrojových teritorií a</w:t>
      </w:r>
      <w:r w:rsidR="00491BAB" w:rsidRPr="0092047B">
        <w:rPr>
          <w:rFonts w:cstheme="minorHAnsi"/>
          <w:szCs w:val="28"/>
        </w:rPr>
        <w:t> </w:t>
      </w:r>
      <w:r w:rsidRPr="0092047B">
        <w:rPr>
          <w:rFonts w:cstheme="minorHAnsi"/>
          <w:szCs w:val="28"/>
        </w:rPr>
        <w:t>přepravní infrastruktury dovážených strategických palivoenergetických surovin s</w:t>
      </w:r>
      <w:r w:rsidR="00491BAB" w:rsidRPr="0092047B">
        <w:rPr>
          <w:rFonts w:cstheme="minorHAnsi"/>
          <w:szCs w:val="28"/>
        </w:rPr>
        <w:t> </w:t>
      </w:r>
      <w:r w:rsidRPr="0092047B">
        <w:rPr>
          <w:rFonts w:cstheme="minorHAnsi"/>
          <w:szCs w:val="28"/>
        </w:rPr>
        <w:t>důrazem na uch</w:t>
      </w:r>
      <w:r w:rsidR="001A6FFB" w:rsidRPr="0092047B">
        <w:rPr>
          <w:rFonts w:cstheme="minorHAnsi"/>
          <w:szCs w:val="28"/>
        </w:rPr>
        <w:t>ování tranzitního postavení ČR</w:t>
      </w:r>
      <w:r w:rsidR="00BB6F6C" w:rsidRPr="0092047B">
        <w:rPr>
          <w:rFonts w:cstheme="minorHAnsi"/>
          <w:szCs w:val="28"/>
        </w:rPr>
        <w:t xml:space="preserve"> a </w:t>
      </w:r>
      <w:r w:rsidR="00BB6F6C" w:rsidRPr="0092047B">
        <w:t>udržet dovozní závislost ČR v oblasti plynných a kapalných paliv nejvýše na stávající úrovn</w:t>
      </w:r>
      <w:r w:rsidR="00DC46B0">
        <w:t>i</w:t>
      </w:r>
      <w:r w:rsidR="001A6FFB" w:rsidRPr="0092047B">
        <w:rPr>
          <w:rFonts w:cstheme="minorHAnsi"/>
          <w:szCs w:val="28"/>
        </w:rPr>
        <w:t xml:space="preserve">. </w:t>
      </w:r>
      <w:r w:rsidRPr="0092047B">
        <w:rPr>
          <w:rFonts w:cstheme="minorHAnsi"/>
          <w:szCs w:val="28"/>
        </w:rPr>
        <w:t>Přednostně a</w:t>
      </w:r>
      <w:r w:rsidR="00491BAB" w:rsidRPr="0092047B">
        <w:rPr>
          <w:rFonts w:cstheme="minorHAnsi"/>
          <w:szCs w:val="28"/>
        </w:rPr>
        <w:t> </w:t>
      </w:r>
      <w:r w:rsidRPr="0092047B">
        <w:rPr>
          <w:rFonts w:cstheme="minorHAnsi"/>
          <w:szCs w:val="28"/>
        </w:rPr>
        <w:t>efektivně využívat domácí palivoenergetické zdroje, včetně vytváření prostoru pro jejich vyhledávání</w:t>
      </w:r>
      <w:r w:rsidR="002E43FA" w:rsidRPr="0092047B">
        <w:rPr>
          <w:rFonts w:cstheme="minorHAnsi"/>
          <w:szCs w:val="28"/>
        </w:rPr>
        <w:t>, legislativní</w:t>
      </w:r>
      <w:r w:rsidRPr="0092047B">
        <w:rPr>
          <w:rFonts w:cstheme="minorHAnsi"/>
          <w:szCs w:val="28"/>
        </w:rPr>
        <w:t xml:space="preserve"> a</w:t>
      </w:r>
      <w:r w:rsidR="00491BAB" w:rsidRPr="0092047B">
        <w:rPr>
          <w:rFonts w:cstheme="minorHAnsi"/>
          <w:szCs w:val="28"/>
        </w:rPr>
        <w:t> </w:t>
      </w:r>
      <w:r w:rsidRPr="0092047B">
        <w:rPr>
          <w:rFonts w:cstheme="minorHAnsi"/>
          <w:szCs w:val="28"/>
        </w:rPr>
        <w:t>územní ochranu, s</w:t>
      </w:r>
      <w:r w:rsidR="00491BAB" w:rsidRPr="0092047B">
        <w:rPr>
          <w:rFonts w:cstheme="minorHAnsi"/>
          <w:szCs w:val="28"/>
        </w:rPr>
        <w:t> </w:t>
      </w:r>
      <w:r w:rsidRPr="0092047B">
        <w:rPr>
          <w:rFonts w:cstheme="minorHAnsi"/>
          <w:szCs w:val="28"/>
        </w:rPr>
        <w:t>cílem nepřipustit nepříznivé vychýlení domácího energetického mixu ve prospěch surovin, na jejichž dovozu je ČR závislá nebo jejichž využívání je neek</w:t>
      </w:r>
      <w:r w:rsidR="001A6FFB" w:rsidRPr="0092047B">
        <w:rPr>
          <w:rFonts w:cstheme="minorHAnsi"/>
          <w:szCs w:val="28"/>
        </w:rPr>
        <w:t>onomické a</w:t>
      </w:r>
      <w:r w:rsidR="00491BAB" w:rsidRPr="0092047B">
        <w:rPr>
          <w:rFonts w:cstheme="minorHAnsi"/>
          <w:szCs w:val="28"/>
        </w:rPr>
        <w:t> </w:t>
      </w:r>
      <w:r w:rsidR="001A6FFB" w:rsidRPr="0092047B">
        <w:rPr>
          <w:rFonts w:cstheme="minorHAnsi"/>
          <w:szCs w:val="28"/>
        </w:rPr>
        <w:t xml:space="preserve">nekonkurenceschopné. </w:t>
      </w:r>
      <w:r w:rsidRPr="0092047B">
        <w:rPr>
          <w:rFonts w:cstheme="minorHAnsi"/>
          <w:szCs w:val="28"/>
        </w:rPr>
        <w:t>Udržovat rezervy strategických palivoenergetických komodit, jejichž primárními zdroji ČR nedisponuje nebo disponuje v</w:t>
      </w:r>
      <w:r w:rsidR="00491BAB" w:rsidRPr="0092047B">
        <w:rPr>
          <w:rFonts w:cstheme="minorHAnsi"/>
          <w:szCs w:val="28"/>
        </w:rPr>
        <w:t> </w:t>
      </w:r>
      <w:r w:rsidRPr="0092047B">
        <w:rPr>
          <w:rFonts w:cstheme="minorHAnsi"/>
          <w:szCs w:val="28"/>
        </w:rPr>
        <w:t xml:space="preserve">omezené míře, včetně vytváření systému </w:t>
      </w:r>
      <w:r w:rsidR="002E43FA" w:rsidRPr="0092047B">
        <w:rPr>
          <w:rFonts w:cstheme="minorHAnsi"/>
          <w:szCs w:val="28"/>
        </w:rPr>
        <w:t xml:space="preserve">dlouhodobých </w:t>
      </w:r>
      <w:r w:rsidRPr="0092047B">
        <w:rPr>
          <w:rFonts w:cstheme="minorHAnsi"/>
          <w:szCs w:val="28"/>
        </w:rPr>
        <w:t>zásob jaderného paliva drženého provozovatelem</w:t>
      </w:r>
      <w:r w:rsidR="00F35CBE" w:rsidRPr="0092047B">
        <w:rPr>
          <w:rFonts w:cstheme="minorHAnsi"/>
          <w:szCs w:val="28"/>
        </w:rPr>
        <w:t>, případně též rezervace kapacit pro záložní dodávky či vlastní fabrikace</w:t>
      </w:r>
      <w:r w:rsidR="001A6FFB" w:rsidRPr="0092047B">
        <w:rPr>
          <w:rFonts w:cstheme="minorHAnsi"/>
          <w:szCs w:val="28"/>
        </w:rPr>
        <w:t xml:space="preserve">. </w:t>
      </w:r>
      <w:r w:rsidRPr="0092047B">
        <w:rPr>
          <w:rFonts w:cstheme="minorHAnsi"/>
          <w:szCs w:val="28"/>
        </w:rPr>
        <w:t>Zajišťovat ochranu energetické infrastruktury, tuto infrastrukturu budovat s</w:t>
      </w:r>
      <w:r w:rsidR="00491BAB" w:rsidRPr="0092047B">
        <w:rPr>
          <w:rFonts w:cstheme="minorHAnsi"/>
          <w:szCs w:val="28"/>
        </w:rPr>
        <w:t> </w:t>
      </w:r>
      <w:r w:rsidRPr="0092047B">
        <w:rPr>
          <w:rFonts w:cstheme="minorHAnsi"/>
          <w:szCs w:val="28"/>
        </w:rPr>
        <w:t>předvídavostí a</w:t>
      </w:r>
      <w:r w:rsidR="00491BAB" w:rsidRPr="0092047B">
        <w:rPr>
          <w:rFonts w:cstheme="minorHAnsi"/>
          <w:szCs w:val="28"/>
        </w:rPr>
        <w:t> </w:t>
      </w:r>
      <w:r w:rsidRPr="0092047B">
        <w:rPr>
          <w:rFonts w:cstheme="minorHAnsi"/>
          <w:szCs w:val="28"/>
        </w:rPr>
        <w:t>dostatečným časovým předstihem.</w:t>
      </w:r>
    </w:p>
    <w:p w:rsidR="001A6FFB" w:rsidRPr="0092047B" w:rsidRDefault="006E3CE4" w:rsidP="00CC5C30">
      <w:pPr>
        <w:spacing w:before="120" w:after="120"/>
        <w:rPr>
          <w:rFonts w:cstheme="minorHAnsi"/>
          <w:szCs w:val="28"/>
        </w:rPr>
      </w:pPr>
      <w:r w:rsidRPr="0092047B">
        <w:rPr>
          <w:rFonts w:cstheme="minorHAnsi"/>
          <w:szCs w:val="28"/>
        </w:rPr>
        <w:t>V oblasti elektroenergetiky zajišťovat stabilitu z</w:t>
      </w:r>
      <w:r w:rsidR="00491BAB" w:rsidRPr="0092047B">
        <w:rPr>
          <w:rFonts w:cstheme="minorHAnsi"/>
          <w:szCs w:val="28"/>
        </w:rPr>
        <w:t> </w:t>
      </w:r>
      <w:r w:rsidRPr="0092047B">
        <w:rPr>
          <w:rFonts w:cstheme="minorHAnsi"/>
          <w:szCs w:val="28"/>
        </w:rPr>
        <w:t>hlediska zdrojového (robustní</w:t>
      </w:r>
      <w:r w:rsidR="00D37C48">
        <w:rPr>
          <w:rFonts w:cstheme="minorHAnsi"/>
          <w:szCs w:val="28"/>
        </w:rPr>
        <w:t>, výkonově přebytková soustava)</w:t>
      </w:r>
      <w:r w:rsidRPr="0092047B">
        <w:rPr>
          <w:rFonts w:cstheme="minorHAnsi"/>
          <w:szCs w:val="28"/>
        </w:rPr>
        <w:t xml:space="preserve"> tak i</w:t>
      </w:r>
      <w:r w:rsidR="00491BAB" w:rsidRPr="0092047B">
        <w:rPr>
          <w:rFonts w:cstheme="minorHAnsi"/>
          <w:szCs w:val="28"/>
        </w:rPr>
        <w:t> </w:t>
      </w:r>
      <w:r w:rsidRPr="0092047B">
        <w:rPr>
          <w:rFonts w:cstheme="minorHAnsi"/>
          <w:szCs w:val="28"/>
        </w:rPr>
        <w:t>přenosového s</w:t>
      </w:r>
      <w:r w:rsidR="00491BAB" w:rsidRPr="0092047B">
        <w:rPr>
          <w:rFonts w:cstheme="minorHAnsi"/>
          <w:szCs w:val="28"/>
        </w:rPr>
        <w:t> </w:t>
      </w:r>
      <w:r w:rsidRPr="0092047B">
        <w:rPr>
          <w:rFonts w:cstheme="minorHAnsi"/>
          <w:szCs w:val="28"/>
        </w:rPr>
        <w:t>důrazem na zajištění dostatečné a</w:t>
      </w:r>
      <w:r w:rsidR="00491BAB" w:rsidRPr="0092047B">
        <w:rPr>
          <w:rFonts w:cstheme="minorHAnsi"/>
          <w:szCs w:val="28"/>
        </w:rPr>
        <w:t> </w:t>
      </w:r>
      <w:r w:rsidRPr="0092047B">
        <w:rPr>
          <w:rFonts w:cstheme="minorHAnsi"/>
          <w:szCs w:val="28"/>
        </w:rPr>
        <w:t>udržitelné domácí produkce s</w:t>
      </w:r>
      <w:r w:rsidR="003C2805">
        <w:rPr>
          <w:rFonts w:cstheme="minorHAnsi"/>
          <w:szCs w:val="28"/>
        </w:rPr>
        <w:t> </w:t>
      </w:r>
      <w:r w:rsidR="003C2805" w:rsidDel="003C2805">
        <w:rPr>
          <w:rFonts w:cstheme="minorHAnsi"/>
          <w:szCs w:val="28"/>
        </w:rPr>
        <w:t xml:space="preserve"> </w:t>
      </w:r>
      <w:r w:rsidR="003C2805">
        <w:rPr>
          <w:rFonts w:cstheme="minorHAnsi"/>
          <w:szCs w:val="28"/>
        </w:rPr>
        <w:t>ohledem na velikost spotřeby</w:t>
      </w:r>
      <w:r w:rsidR="008B341A" w:rsidRPr="0092047B">
        <w:rPr>
          <w:rFonts w:cstheme="minorHAnsi"/>
          <w:szCs w:val="28"/>
        </w:rPr>
        <w:t>. D</w:t>
      </w:r>
      <w:r w:rsidRPr="0092047B">
        <w:rPr>
          <w:rFonts w:cstheme="minorHAnsi"/>
          <w:szCs w:val="28"/>
        </w:rPr>
        <w:t xml:space="preserve">ále soustřeďovat pozornost na </w:t>
      </w:r>
      <w:r w:rsidR="00680DB8" w:rsidRPr="0092047B">
        <w:rPr>
          <w:rFonts w:cstheme="minorHAnsi"/>
          <w:szCs w:val="28"/>
        </w:rPr>
        <w:t xml:space="preserve">přípravu </w:t>
      </w:r>
      <w:r w:rsidRPr="0092047B">
        <w:rPr>
          <w:rFonts w:cstheme="minorHAnsi"/>
          <w:szCs w:val="28"/>
        </w:rPr>
        <w:t>ostrovních provozů</w:t>
      </w:r>
      <w:r w:rsidR="00680DB8" w:rsidRPr="0092047B">
        <w:rPr>
          <w:rFonts w:cstheme="minorHAnsi"/>
          <w:szCs w:val="28"/>
        </w:rPr>
        <w:t xml:space="preserve"> pro řešení nouzových stavů</w:t>
      </w:r>
      <w:r w:rsidRPr="0092047B">
        <w:rPr>
          <w:rFonts w:cstheme="minorHAnsi"/>
          <w:szCs w:val="28"/>
        </w:rPr>
        <w:t>, udržení dostatečné výše regulačního výkonu a</w:t>
      </w:r>
      <w:r w:rsidR="00491BAB" w:rsidRPr="0092047B">
        <w:rPr>
          <w:rFonts w:cstheme="minorHAnsi"/>
          <w:szCs w:val="28"/>
        </w:rPr>
        <w:t> </w:t>
      </w:r>
      <w:r w:rsidRPr="0092047B">
        <w:rPr>
          <w:rFonts w:cstheme="minorHAnsi"/>
          <w:szCs w:val="28"/>
        </w:rPr>
        <w:t>zkvalitnění právního rámce pro zajištění bezpečnosti a</w:t>
      </w:r>
      <w:r w:rsidR="00491BAB" w:rsidRPr="0092047B">
        <w:rPr>
          <w:rFonts w:cstheme="minorHAnsi"/>
          <w:szCs w:val="28"/>
        </w:rPr>
        <w:t> </w:t>
      </w:r>
      <w:r w:rsidRPr="0092047B">
        <w:rPr>
          <w:rFonts w:cstheme="minorHAnsi"/>
          <w:szCs w:val="28"/>
        </w:rPr>
        <w:t>kontinuity provozu pr</w:t>
      </w:r>
      <w:r w:rsidR="001A6FFB" w:rsidRPr="0092047B">
        <w:rPr>
          <w:rFonts w:cstheme="minorHAnsi"/>
          <w:szCs w:val="28"/>
        </w:rPr>
        <w:t xml:space="preserve">vků energetické infrastruktury. </w:t>
      </w:r>
      <w:r w:rsidRPr="0092047B">
        <w:rPr>
          <w:rFonts w:cstheme="minorHAnsi"/>
          <w:szCs w:val="28"/>
        </w:rPr>
        <w:t>Zvyšovat odolnost elektrizační a</w:t>
      </w:r>
      <w:r w:rsidR="00491BAB" w:rsidRPr="0092047B">
        <w:rPr>
          <w:rFonts w:cstheme="minorHAnsi"/>
          <w:szCs w:val="28"/>
        </w:rPr>
        <w:t> </w:t>
      </w:r>
      <w:r w:rsidRPr="0092047B">
        <w:rPr>
          <w:rFonts w:cstheme="minorHAnsi"/>
          <w:szCs w:val="28"/>
        </w:rPr>
        <w:t>plynárenské soustavy proti poruchám a</w:t>
      </w:r>
      <w:r w:rsidR="00491BAB" w:rsidRPr="0092047B">
        <w:rPr>
          <w:rFonts w:cstheme="minorHAnsi"/>
          <w:szCs w:val="28"/>
        </w:rPr>
        <w:t> </w:t>
      </w:r>
      <w:r w:rsidRPr="0092047B">
        <w:rPr>
          <w:rFonts w:cstheme="minorHAnsi"/>
          <w:szCs w:val="28"/>
        </w:rPr>
        <w:t>výpadkům a</w:t>
      </w:r>
      <w:r w:rsidR="00491BAB" w:rsidRPr="0092047B">
        <w:rPr>
          <w:rFonts w:cstheme="minorHAnsi"/>
          <w:szCs w:val="28"/>
        </w:rPr>
        <w:t> </w:t>
      </w:r>
      <w:r w:rsidRPr="0092047B">
        <w:rPr>
          <w:rFonts w:cstheme="minorHAnsi"/>
          <w:szCs w:val="28"/>
        </w:rPr>
        <w:t>jejich schopnost</w:t>
      </w:r>
      <w:r w:rsidR="00680DB8" w:rsidRPr="0092047B">
        <w:rPr>
          <w:rFonts w:cstheme="minorHAnsi"/>
          <w:szCs w:val="28"/>
        </w:rPr>
        <w:t>, v případě nouze,</w:t>
      </w:r>
      <w:r w:rsidRPr="0092047B">
        <w:rPr>
          <w:rFonts w:cstheme="minorHAnsi"/>
          <w:szCs w:val="28"/>
        </w:rPr>
        <w:t xml:space="preserve"> pracovat v</w:t>
      </w:r>
      <w:r w:rsidR="00491BAB" w:rsidRPr="0092047B">
        <w:rPr>
          <w:rFonts w:cstheme="minorHAnsi"/>
          <w:szCs w:val="28"/>
        </w:rPr>
        <w:t> </w:t>
      </w:r>
      <w:r w:rsidRPr="0092047B">
        <w:rPr>
          <w:rFonts w:cstheme="minorHAnsi"/>
          <w:szCs w:val="28"/>
        </w:rPr>
        <w:t>ostrovních provozech. Trvale zajišťovat dostatečné havarijní zásoby všech základních primárních zdrojů. Zajistit integraci havarijních procedur v</w:t>
      </w:r>
      <w:r w:rsidR="00491BAB" w:rsidRPr="0092047B">
        <w:rPr>
          <w:rFonts w:cstheme="minorHAnsi"/>
          <w:szCs w:val="28"/>
        </w:rPr>
        <w:t> </w:t>
      </w:r>
      <w:r w:rsidRPr="0092047B">
        <w:rPr>
          <w:rFonts w:cstheme="minorHAnsi"/>
          <w:szCs w:val="28"/>
        </w:rPr>
        <w:t>dodávkách všech druhů energie a</w:t>
      </w:r>
      <w:r w:rsidR="00491BAB" w:rsidRPr="0092047B">
        <w:rPr>
          <w:rFonts w:cstheme="minorHAnsi"/>
          <w:szCs w:val="28"/>
        </w:rPr>
        <w:t> </w:t>
      </w:r>
      <w:r w:rsidRPr="0092047B">
        <w:rPr>
          <w:rFonts w:cstheme="minorHAnsi"/>
          <w:szCs w:val="28"/>
        </w:rPr>
        <w:t>jejich pravidelnou kontrolu a</w:t>
      </w:r>
      <w:r w:rsidR="00491BAB" w:rsidRPr="0092047B">
        <w:rPr>
          <w:rFonts w:cstheme="minorHAnsi"/>
          <w:szCs w:val="28"/>
        </w:rPr>
        <w:t> </w:t>
      </w:r>
      <w:r w:rsidRPr="0092047B">
        <w:rPr>
          <w:rFonts w:cstheme="minorHAnsi"/>
          <w:szCs w:val="28"/>
        </w:rPr>
        <w:t>testování. V</w:t>
      </w:r>
      <w:r w:rsidR="00491BAB" w:rsidRPr="0092047B">
        <w:rPr>
          <w:rFonts w:cstheme="minorHAnsi"/>
          <w:szCs w:val="28"/>
        </w:rPr>
        <w:t> </w:t>
      </w:r>
      <w:r w:rsidRPr="0092047B">
        <w:rPr>
          <w:rFonts w:cstheme="minorHAnsi"/>
          <w:szCs w:val="28"/>
        </w:rPr>
        <w:t>oblasti zásobování obyvatelstva teplem zaměřit úsilí na zajištění dostatečné surovinové základny a</w:t>
      </w:r>
      <w:r w:rsidR="00491BAB" w:rsidRPr="0092047B">
        <w:rPr>
          <w:rFonts w:cstheme="minorHAnsi"/>
          <w:szCs w:val="28"/>
        </w:rPr>
        <w:t> </w:t>
      </w:r>
      <w:r w:rsidRPr="0092047B">
        <w:rPr>
          <w:rFonts w:cstheme="minorHAnsi"/>
          <w:szCs w:val="28"/>
        </w:rPr>
        <w:t>podporovat možnost krizového přechodu na alternativní</w:t>
      </w:r>
      <w:r w:rsidR="001A6FFB" w:rsidRPr="0092047B">
        <w:rPr>
          <w:rFonts w:cstheme="minorHAnsi"/>
          <w:szCs w:val="28"/>
        </w:rPr>
        <w:t xml:space="preserve"> druhy paliva u</w:t>
      </w:r>
      <w:r w:rsidR="00491BAB" w:rsidRPr="0092047B">
        <w:rPr>
          <w:rFonts w:cstheme="minorHAnsi"/>
          <w:szCs w:val="28"/>
        </w:rPr>
        <w:t> </w:t>
      </w:r>
      <w:r w:rsidR="001A6FFB" w:rsidRPr="0092047B">
        <w:rPr>
          <w:rFonts w:cstheme="minorHAnsi"/>
          <w:szCs w:val="28"/>
        </w:rPr>
        <w:t xml:space="preserve">těchto provozů. </w:t>
      </w:r>
      <w:r w:rsidRPr="0092047B">
        <w:rPr>
          <w:rFonts w:cstheme="minorHAnsi"/>
          <w:szCs w:val="28"/>
        </w:rPr>
        <w:t>Nesnižovat vliv a</w:t>
      </w:r>
      <w:r w:rsidR="00491BAB" w:rsidRPr="0092047B">
        <w:rPr>
          <w:rFonts w:cstheme="minorHAnsi"/>
          <w:szCs w:val="28"/>
        </w:rPr>
        <w:t> </w:t>
      </w:r>
      <w:r w:rsidRPr="0092047B">
        <w:rPr>
          <w:rFonts w:cstheme="minorHAnsi"/>
          <w:szCs w:val="28"/>
        </w:rPr>
        <w:t>kontrolu státu ve strategických společnostech</w:t>
      </w:r>
      <w:r w:rsidR="00CE1748" w:rsidRPr="0092047B">
        <w:rPr>
          <w:rFonts w:cstheme="minorHAnsi"/>
          <w:szCs w:val="28"/>
        </w:rPr>
        <w:t>,</w:t>
      </w:r>
      <w:r w:rsidRPr="0092047B">
        <w:rPr>
          <w:rFonts w:cstheme="minorHAnsi"/>
          <w:szCs w:val="28"/>
        </w:rPr>
        <w:t xml:space="preserve"> působících v</w:t>
      </w:r>
      <w:r w:rsidR="00491BAB" w:rsidRPr="0092047B">
        <w:rPr>
          <w:rFonts w:cstheme="minorHAnsi"/>
          <w:szCs w:val="28"/>
        </w:rPr>
        <w:t> </w:t>
      </w:r>
      <w:r w:rsidRPr="0092047B">
        <w:rPr>
          <w:rFonts w:cstheme="minorHAnsi"/>
          <w:szCs w:val="28"/>
        </w:rPr>
        <w:t>oblasti energetiky</w:t>
      </w:r>
      <w:r w:rsidR="00D37C48">
        <w:rPr>
          <w:rFonts w:cstheme="minorHAnsi"/>
          <w:szCs w:val="28"/>
        </w:rPr>
        <w:t>,</w:t>
      </w:r>
      <w:r w:rsidRPr="0092047B">
        <w:rPr>
          <w:rFonts w:cstheme="minorHAnsi"/>
          <w:szCs w:val="28"/>
        </w:rPr>
        <w:t xml:space="preserve"> a</w:t>
      </w:r>
      <w:r w:rsidR="00491BAB" w:rsidRPr="0092047B">
        <w:rPr>
          <w:rFonts w:cstheme="minorHAnsi"/>
          <w:szCs w:val="28"/>
        </w:rPr>
        <w:t> </w:t>
      </w:r>
      <w:r w:rsidRPr="0092047B">
        <w:rPr>
          <w:rFonts w:cstheme="minorHAnsi"/>
          <w:szCs w:val="28"/>
        </w:rPr>
        <w:t>dále neposilovat v</w:t>
      </w:r>
      <w:r w:rsidR="00491BAB" w:rsidRPr="0092047B">
        <w:rPr>
          <w:rFonts w:cstheme="minorHAnsi"/>
          <w:szCs w:val="28"/>
        </w:rPr>
        <w:t> </w:t>
      </w:r>
      <w:r w:rsidRPr="0092047B">
        <w:rPr>
          <w:rFonts w:cstheme="minorHAnsi"/>
          <w:szCs w:val="28"/>
        </w:rPr>
        <w:t>celém energetickém sektoru vliv těch subjektů, zemí či regionů, na nichž je ČR v</w:t>
      </w:r>
      <w:r w:rsidR="00491BAB" w:rsidRPr="0092047B">
        <w:rPr>
          <w:rFonts w:cstheme="minorHAnsi"/>
          <w:szCs w:val="28"/>
        </w:rPr>
        <w:t> </w:t>
      </w:r>
      <w:r w:rsidRPr="0092047B">
        <w:rPr>
          <w:rFonts w:cstheme="minorHAnsi"/>
          <w:szCs w:val="28"/>
        </w:rPr>
        <w:t>energetické oblas</w:t>
      </w:r>
      <w:r w:rsidR="001A6FFB" w:rsidRPr="0092047B">
        <w:rPr>
          <w:rFonts w:cstheme="minorHAnsi"/>
          <w:szCs w:val="28"/>
        </w:rPr>
        <w:t>ti již nyní dominantně závislá.</w:t>
      </w:r>
    </w:p>
    <w:p w:rsidR="004A7C68" w:rsidRPr="0092047B" w:rsidRDefault="006E3CE4" w:rsidP="00184DC1">
      <w:pPr>
        <w:rPr>
          <w:rFonts w:cstheme="minorHAnsi"/>
          <w:szCs w:val="28"/>
        </w:rPr>
      </w:pPr>
      <w:r w:rsidRPr="0092047B">
        <w:rPr>
          <w:rFonts w:cstheme="minorHAnsi"/>
          <w:szCs w:val="28"/>
        </w:rPr>
        <w:t>V oblasti energetické bezpečnosti efektivně spolupracovat s</w:t>
      </w:r>
      <w:r w:rsidR="00491BAB" w:rsidRPr="0092047B">
        <w:rPr>
          <w:rFonts w:cstheme="minorHAnsi"/>
          <w:szCs w:val="28"/>
        </w:rPr>
        <w:t> </w:t>
      </w:r>
      <w:r w:rsidRPr="0092047B">
        <w:rPr>
          <w:rFonts w:cstheme="minorHAnsi"/>
          <w:szCs w:val="28"/>
        </w:rPr>
        <w:t>energetickými a</w:t>
      </w:r>
      <w:r w:rsidR="00491BAB" w:rsidRPr="0092047B">
        <w:rPr>
          <w:rFonts w:cstheme="minorHAnsi"/>
          <w:szCs w:val="28"/>
        </w:rPr>
        <w:t> </w:t>
      </w:r>
      <w:r w:rsidRPr="0092047B">
        <w:rPr>
          <w:rFonts w:cstheme="minorHAnsi"/>
          <w:szCs w:val="28"/>
        </w:rPr>
        <w:t xml:space="preserve">těžebními společnostmi, </w:t>
      </w:r>
      <w:r w:rsidR="00CC5C30">
        <w:rPr>
          <w:rFonts w:cstheme="minorHAnsi"/>
          <w:szCs w:val="28"/>
        </w:rPr>
        <w:t xml:space="preserve">ať </w:t>
      </w:r>
      <w:r w:rsidRPr="0092047B">
        <w:rPr>
          <w:rFonts w:cstheme="minorHAnsi"/>
          <w:szCs w:val="28"/>
        </w:rPr>
        <w:t>soukromými</w:t>
      </w:r>
      <w:r w:rsidR="001A6FFB" w:rsidRPr="0092047B">
        <w:rPr>
          <w:rFonts w:cstheme="minorHAnsi"/>
          <w:szCs w:val="28"/>
        </w:rPr>
        <w:t xml:space="preserve"> či s</w:t>
      </w:r>
      <w:r w:rsidR="00491BAB" w:rsidRPr="0092047B">
        <w:rPr>
          <w:rFonts w:cstheme="minorHAnsi"/>
          <w:szCs w:val="28"/>
        </w:rPr>
        <w:t> </w:t>
      </w:r>
      <w:r w:rsidR="001A6FFB" w:rsidRPr="0092047B">
        <w:rPr>
          <w:rFonts w:cstheme="minorHAnsi"/>
          <w:szCs w:val="28"/>
        </w:rPr>
        <w:t xml:space="preserve">majetkovým podílem státu. </w:t>
      </w:r>
      <w:r w:rsidR="004A7C68" w:rsidRPr="0092047B">
        <w:rPr>
          <w:rFonts w:cstheme="minorHAnsi"/>
          <w:szCs w:val="28"/>
        </w:rPr>
        <w:t>Zajistit odolnost a</w:t>
      </w:r>
      <w:r w:rsidR="00491BAB" w:rsidRPr="0092047B">
        <w:rPr>
          <w:rFonts w:cstheme="minorHAnsi"/>
          <w:szCs w:val="28"/>
        </w:rPr>
        <w:t> </w:t>
      </w:r>
      <w:r w:rsidR="004A7C68" w:rsidRPr="0092047B">
        <w:rPr>
          <w:rFonts w:cstheme="minorHAnsi"/>
          <w:szCs w:val="28"/>
        </w:rPr>
        <w:t>kybernetickou bezpečnost energetických systémů</w:t>
      </w:r>
      <w:r w:rsidR="002E43FA" w:rsidRPr="0092047B">
        <w:rPr>
          <w:rFonts w:cstheme="minorHAnsi"/>
          <w:szCs w:val="28"/>
        </w:rPr>
        <w:t>,</w:t>
      </w:r>
      <w:r w:rsidR="004A7C68" w:rsidRPr="0092047B">
        <w:rPr>
          <w:rFonts w:cstheme="minorHAnsi"/>
          <w:szCs w:val="28"/>
        </w:rPr>
        <w:t xml:space="preserve"> a</w:t>
      </w:r>
      <w:r w:rsidR="00491BAB" w:rsidRPr="0092047B">
        <w:rPr>
          <w:rFonts w:cstheme="minorHAnsi"/>
          <w:szCs w:val="28"/>
        </w:rPr>
        <w:t> </w:t>
      </w:r>
      <w:r w:rsidR="004A7C68" w:rsidRPr="0092047B">
        <w:rPr>
          <w:rFonts w:cstheme="minorHAnsi"/>
          <w:szCs w:val="28"/>
        </w:rPr>
        <w:t>to jak na úrovni klíčových zdrojů a</w:t>
      </w:r>
      <w:r w:rsidR="00491BAB" w:rsidRPr="0092047B">
        <w:rPr>
          <w:rFonts w:cstheme="minorHAnsi"/>
          <w:szCs w:val="28"/>
        </w:rPr>
        <w:t> </w:t>
      </w:r>
      <w:r w:rsidR="004A7C68" w:rsidRPr="0092047B">
        <w:rPr>
          <w:rFonts w:cstheme="minorHAnsi"/>
          <w:szCs w:val="28"/>
        </w:rPr>
        <w:t>řízení soustavy, tak v</w:t>
      </w:r>
      <w:r w:rsidR="00491BAB" w:rsidRPr="0092047B">
        <w:rPr>
          <w:rFonts w:cstheme="minorHAnsi"/>
          <w:szCs w:val="28"/>
        </w:rPr>
        <w:t> </w:t>
      </w:r>
      <w:r w:rsidR="004A7C68" w:rsidRPr="0092047B">
        <w:rPr>
          <w:rFonts w:cstheme="minorHAnsi"/>
          <w:szCs w:val="28"/>
        </w:rPr>
        <w:t xml:space="preserve">budoucnu zejména </w:t>
      </w:r>
      <w:r w:rsidR="008B341A" w:rsidRPr="0092047B">
        <w:rPr>
          <w:rFonts w:cstheme="minorHAnsi"/>
          <w:szCs w:val="28"/>
        </w:rPr>
        <w:t>ochranou</w:t>
      </w:r>
      <w:r w:rsidR="004A7C68" w:rsidRPr="0092047B">
        <w:rPr>
          <w:rFonts w:cstheme="minorHAnsi"/>
          <w:szCs w:val="28"/>
        </w:rPr>
        <w:t xml:space="preserve"> inteligentních sítí před kybernetickými útoky, včetně ochrany osobních dat.</w:t>
      </w:r>
    </w:p>
    <w:p w:rsidR="006574BF" w:rsidRPr="0092047B" w:rsidRDefault="006574BF" w:rsidP="00184DC1">
      <w:pPr>
        <w:pStyle w:val="Zkladntext"/>
        <w:spacing w:after="120"/>
        <w:rPr>
          <w:rFonts w:cstheme="minorHAnsi"/>
          <w:b/>
          <w:bCs/>
        </w:rPr>
      </w:pPr>
      <w:r w:rsidRPr="0092047B">
        <w:rPr>
          <w:rFonts w:cstheme="minorHAnsi"/>
          <w:b/>
          <w:bCs/>
        </w:rPr>
        <w:t>Strategie do roku 2040</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Vytvářet v rámci zahraniční politiky ČR předpoklady pro rozvoj vzájemně výhodných ekonomických vztahů se zeměmi ze zájmových teritorií.</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Podporovat projekty dalšího vzájemného propojování kritické infrastruktury s</w:t>
      </w:r>
      <w:r w:rsidR="00603D18" w:rsidRPr="0092047B">
        <w:rPr>
          <w:rFonts w:cstheme="minorHAnsi"/>
        </w:rPr>
        <w:t> </w:t>
      </w:r>
      <w:r w:rsidRPr="0092047B">
        <w:rPr>
          <w:rFonts w:cstheme="minorHAnsi"/>
        </w:rPr>
        <w:t>důrazem na severojižní propojení. Detailní specifikace jednotlivých projektů jsou uvedeny v příslušných kapitolách (elektroenergetika, plyn, ropa).</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Zajistit dlouhodobě nezbytný objem dodávek uhlí pro teplárenství v situaci snižujících se těžitelných zásob</w:t>
      </w:r>
      <w:r w:rsidR="00F132E8" w:rsidRPr="0092047B">
        <w:rPr>
          <w:rFonts w:cstheme="minorHAnsi"/>
        </w:rPr>
        <w:t xml:space="preserve"> s využitím legislativně-regulatorních opatření, při respektování pravidel hospodářské soutěže</w:t>
      </w:r>
      <w:r w:rsidR="00132161" w:rsidRPr="0092047B">
        <w:rPr>
          <w:rFonts w:cstheme="minorHAnsi"/>
        </w:rPr>
        <w:t xml:space="preserve"> s prioritou zvyšování efektivity a</w:t>
      </w:r>
      <w:r w:rsidR="00237CB0" w:rsidRPr="0092047B">
        <w:rPr>
          <w:rFonts w:cstheme="minorHAnsi"/>
        </w:rPr>
        <w:t> </w:t>
      </w:r>
      <w:r w:rsidR="00132161" w:rsidRPr="0092047B">
        <w:rPr>
          <w:rFonts w:cstheme="minorHAnsi"/>
        </w:rPr>
        <w:t>úspor.</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Zvýšit podíl soustav zásobování teplem využívajících vícepalivových</w:t>
      </w:r>
      <w:r w:rsidR="00603D18" w:rsidRPr="0092047B">
        <w:rPr>
          <w:rFonts w:cstheme="minorHAnsi"/>
        </w:rPr>
        <w:t xml:space="preserve"> systémů a </w:t>
      </w:r>
      <w:r w:rsidRPr="0092047B">
        <w:rPr>
          <w:rFonts w:cstheme="minorHAnsi"/>
        </w:rPr>
        <w:t>schopných rychlé změny paliva na alespoň 30</w:t>
      </w:r>
      <w:r w:rsidR="00237CB0" w:rsidRPr="0092047B">
        <w:rPr>
          <w:rFonts w:cstheme="minorHAnsi"/>
        </w:rPr>
        <w:t> </w:t>
      </w:r>
      <w:r w:rsidRPr="0092047B">
        <w:rPr>
          <w:rFonts w:cstheme="minorHAnsi"/>
        </w:rPr>
        <w:t>% pro případ krátkodobého záskoku.</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Udržovat nouzové zásoby ropy a ropných produktů v souladu s novou metodikou výpočtu dle směrnice Rady 2009/119/ES, na úrovni minimálně 90 dnů čistých dovozů a ověřovat jejich faktickou disponibilitu pro využití v krizových situacích. S</w:t>
      </w:r>
      <w:r w:rsidR="00603D18" w:rsidRPr="0092047B">
        <w:rPr>
          <w:rFonts w:cstheme="minorHAnsi"/>
        </w:rPr>
        <w:t> </w:t>
      </w:r>
      <w:r w:rsidRPr="0092047B">
        <w:rPr>
          <w:rFonts w:cstheme="minorHAnsi"/>
        </w:rPr>
        <w:t>cílem zvýšení energetické bezpečnosti nad 90 dnů čistých dovozů s</w:t>
      </w:r>
      <w:r w:rsidR="00237CB0" w:rsidRPr="0092047B">
        <w:rPr>
          <w:rFonts w:cstheme="minorHAnsi"/>
        </w:rPr>
        <w:t> </w:t>
      </w:r>
      <w:r w:rsidRPr="0092047B">
        <w:rPr>
          <w:rFonts w:cstheme="minorHAnsi"/>
        </w:rPr>
        <w:t>perspektivním výhledem zvyšování úrovně těchto zásob až na 120 dnů čistých dovozů v závislosti na ekonomických možnostech státu a zároveň hledat nové cesty jak tyto zásoby financovat.</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 xml:space="preserve">Podporovat projekty </w:t>
      </w:r>
      <w:r w:rsidR="0019350F" w:rsidRPr="0092047B">
        <w:rPr>
          <w:rFonts w:cstheme="minorHAnsi"/>
        </w:rPr>
        <w:t xml:space="preserve">zajišťující kapacitu </w:t>
      </w:r>
      <w:r w:rsidR="00F132E8" w:rsidRPr="0092047B">
        <w:rPr>
          <w:rFonts w:cstheme="minorHAnsi"/>
        </w:rPr>
        <w:t xml:space="preserve">zásobníků plynu na území ČR ve výši </w:t>
      </w:r>
      <w:r w:rsidR="00724CFF" w:rsidRPr="0092047B">
        <w:rPr>
          <w:rFonts w:cstheme="minorHAnsi"/>
        </w:rPr>
        <w:t xml:space="preserve">35 </w:t>
      </w:r>
      <w:r w:rsidR="00556946" w:rsidRPr="0092047B">
        <w:rPr>
          <w:rFonts w:cstheme="minorHAnsi"/>
        </w:rPr>
        <w:t>–</w:t>
      </w:r>
      <w:r w:rsidR="00724CFF" w:rsidRPr="0092047B">
        <w:rPr>
          <w:rFonts w:cstheme="minorHAnsi"/>
        </w:rPr>
        <w:t xml:space="preserve"> </w:t>
      </w:r>
      <w:r w:rsidR="00F132E8" w:rsidRPr="0092047B">
        <w:rPr>
          <w:rFonts w:cstheme="minorHAnsi"/>
        </w:rPr>
        <w:t>40</w:t>
      </w:r>
      <w:r w:rsidR="00556946" w:rsidRPr="0092047B">
        <w:rPr>
          <w:rFonts w:cstheme="minorHAnsi"/>
        </w:rPr>
        <w:t> </w:t>
      </w:r>
      <w:r w:rsidR="00F132E8" w:rsidRPr="0092047B">
        <w:rPr>
          <w:rFonts w:cstheme="minorHAnsi"/>
        </w:rPr>
        <w:t xml:space="preserve">% roční spotřeby plynu a těžebního výkonu garantovaného po dobu </w:t>
      </w:r>
      <w:r w:rsidR="001E7F95">
        <w:rPr>
          <w:rFonts w:cstheme="minorHAnsi"/>
        </w:rPr>
        <w:t>dvou</w:t>
      </w:r>
      <w:r w:rsidR="00F132E8" w:rsidRPr="0092047B">
        <w:rPr>
          <w:rFonts w:cstheme="minorHAnsi"/>
        </w:rPr>
        <w:t xml:space="preserve"> měsíc</w:t>
      </w:r>
      <w:r w:rsidR="001E7F95">
        <w:rPr>
          <w:rFonts w:cstheme="minorHAnsi"/>
        </w:rPr>
        <w:t>ů</w:t>
      </w:r>
      <w:r w:rsidR="00F132E8" w:rsidRPr="0092047B">
        <w:rPr>
          <w:rFonts w:cstheme="minorHAnsi"/>
        </w:rPr>
        <w:t xml:space="preserve"> alespoň 70</w:t>
      </w:r>
      <w:r w:rsidR="00556946" w:rsidRPr="0092047B">
        <w:rPr>
          <w:rFonts w:cstheme="minorHAnsi"/>
        </w:rPr>
        <w:t> </w:t>
      </w:r>
      <w:r w:rsidR="00F132E8" w:rsidRPr="0092047B">
        <w:rPr>
          <w:rFonts w:cstheme="minorHAnsi"/>
        </w:rPr>
        <w:t xml:space="preserve">% </w:t>
      </w:r>
      <w:r w:rsidR="00F7215E">
        <w:rPr>
          <w:rFonts w:cstheme="minorHAnsi"/>
        </w:rPr>
        <w:t>špičkové</w:t>
      </w:r>
      <w:r w:rsidR="00F7215E" w:rsidRPr="0092047B">
        <w:rPr>
          <w:rFonts w:cstheme="minorHAnsi"/>
        </w:rPr>
        <w:t xml:space="preserve"> </w:t>
      </w:r>
      <w:r w:rsidR="00F132E8" w:rsidRPr="0092047B">
        <w:rPr>
          <w:rFonts w:cstheme="minorHAnsi"/>
        </w:rPr>
        <w:t>denní spotřeby v zimním období</w:t>
      </w:r>
      <w:r w:rsidR="00132161" w:rsidRPr="0092047B">
        <w:rPr>
          <w:rFonts w:cstheme="minorHAnsi"/>
        </w:rPr>
        <w:t>.</w:t>
      </w:r>
      <w:r w:rsidRPr="0092047B">
        <w:rPr>
          <w:rFonts w:cstheme="minorHAnsi"/>
        </w:rPr>
        <w:t xml:space="preserve"> Zajistit podmínky pro chod přepravní soustavy v reverzním směru a kapacity pro dodávky plynu ze severu či západu na úrovni alespoň 40 mil. m</w:t>
      </w:r>
      <w:r w:rsidRPr="0092047B">
        <w:rPr>
          <w:rFonts w:cstheme="minorHAnsi"/>
          <w:vertAlign w:val="superscript"/>
        </w:rPr>
        <w:t>3</w:t>
      </w:r>
      <w:r w:rsidRPr="0092047B">
        <w:rPr>
          <w:rFonts w:cstheme="minorHAnsi"/>
        </w:rPr>
        <w:t>/den.</w:t>
      </w:r>
    </w:p>
    <w:p w:rsidR="008F1AF2" w:rsidRPr="0092047B" w:rsidRDefault="008F1AF2" w:rsidP="00184DC1">
      <w:pPr>
        <w:numPr>
          <w:ilvl w:val="2"/>
          <w:numId w:val="39"/>
        </w:numPr>
        <w:tabs>
          <w:tab w:val="left" w:pos="1276"/>
          <w:tab w:val="left" w:pos="1418"/>
        </w:tabs>
        <w:spacing w:before="120"/>
        <w:ind w:left="1134" w:hanging="283"/>
        <w:contextualSpacing/>
        <w:rPr>
          <w:rFonts w:cstheme="minorHAnsi"/>
        </w:rPr>
      </w:pPr>
      <w:r w:rsidRPr="0092047B">
        <w:t>Zajistit dokončení severojižního koridoru pro tranzit zemního plynu do r. 2020 na území ČR a v rámci zahraničních vztahů podporovat kompletní dokončení spojení Balt</w:t>
      </w:r>
      <w:r w:rsidR="00D37C48">
        <w:t xml:space="preserve"> -</w:t>
      </w:r>
      <w:r w:rsidRPr="0092047B">
        <w:t xml:space="preserve"> Jadran do roku 2025.</w:t>
      </w:r>
    </w:p>
    <w:p w:rsidR="008F1AF2" w:rsidRPr="0092047B" w:rsidRDefault="008F1AF2" w:rsidP="00184DC1">
      <w:pPr>
        <w:numPr>
          <w:ilvl w:val="2"/>
          <w:numId w:val="39"/>
        </w:numPr>
        <w:tabs>
          <w:tab w:val="left" w:pos="1276"/>
          <w:tab w:val="left" w:pos="1418"/>
        </w:tabs>
        <w:spacing w:before="120"/>
        <w:ind w:left="1134" w:hanging="283"/>
        <w:contextualSpacing/>
        <w:rPr>
          <w:rFonts w:cstheme="minorHAnsi"/>
        </w:rPr>
      </w:pPr>
      <w:r w:rsidRPr="0092047B">
        <w:t>Zajistit efektivní přístup k tranzitním kapacitám pro dodávky zemního plynu pro české spotřebitele.</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 xml:space="preserve">Udržování zásob palivových článků provozovateli jaderných elektráren, garantující plný provoz zařízení na dobu </w:t>
      </w:r>
      <w:r w:rsidR="0089461D">
        <w:rPr>
          <w:rFonts w:cstheme="minorHAnsi"/>
        </w:rPr>
        <w:t>čtyř</w:t>
      </w:r>
      <w:r w:rsidR="008B0F22" w:rsidRPr="0092047B">
        <w:rPr>
          <w:rFonts w:cstheme="minorHAnsi"/>
        </w:rPr>
        <w:t xml:space="preserve"> </w:t>
      </w:r>
      <w:r w:rsidRPr="0092047B">
        <w:rPr>
          <w:rFonts w:cstheme="minorHAnsi"/>
        </w:rPr>
        <w:t>let, případně též zálohovými kontrakty na rezervaci kapacity pro dodávku paliva nebo udržováním odpovídajících zásob obohaceného uranu a vlastní fabrikací paliva na území ČR. Dosažení tohoto cíle časově sladit s</w:t>
      </w:r>
      <w:r w:rsidR="00603D18" w:rsidRPr="0092047B">
        <w:rPr>
          <w:rFonts w:cstheme="minorHAnsi"/>
        </w:rPr>
        <w:t> </w:t>
      </w:r>
      <w:r w:rsidRPr="0092047B">
        <w:rPr>
          <w:rFonts w:cstheme="minorHAnsi"/>
        </w:rPr>
        <w:t>navyšováním podílu jaderné energetiky na cílovou úroveň 50-60</w:t>
      </w:r>
      <w:r w:rsidR="00556946" w:rsidRPr="0092047B">
        <w:rPr>
          <w:rFonts w:cstheme="minorHAnsi"/>
        </w:rPr>
        <w:t> </w:t>
      </w:r>
      <w:r w:rsidRPr="0092047B">
        <w:rPr>
          <w:rFonts w:cstheme="minorHAnsi"/>
        </w:rPr>
        <w:t>% konečné spotřeby.</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 xml:space="preserve">Dopracovat územní energetické koncepce tak, aby zajišťovaly alespoň pro větší města nezbytné dodávky energie v ostrovních provozech </w:t>
      </w:r>
      <w:r w:rsidR="00D81B10">
        <w:rPr>
          <w:rFonts w:cstheme="minorHAnsi"/>
        </w:rPr>
        <w:t>pro případy nouzových stavů</w:t>
      </w:r>
      <w:r w:rsidR="00D81B10" w:rsidRPr="0092047B">
        <w:rPr>
          <w:rFonts w:cstheme="minorHAnsi"/>
        </w:rPr>
        <w:t xml:space="preserve"> </w:t>
      </w:r>
      <w:r w:rsidRPr="0092047B">
        <w:rPr>
          <w:rFonts w:cstheme="minorHAnsi"/>
        </w:rPr>
        <w:t>a rychlou a účinnou reakci v případech rozsáhlých poruch nebo přírodních katastrof.</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Zajistit a pravidelně prověřovat nástroje účinné koordinace stavů nouze v</w:t>
      </w:r>
      <w:r w:rsidR="00603D18" w:rsidRPr="0092047B">
        <w:rPr>
          <w:rFonts w:cstheme="minorHAnsi"/>
        </w:rPr>
        <w:t> </w:t>
      </w:r>
      <w:r w:rsidRPr="0092047B">
        <w:rPr>
          <w:rFonts w:cstheme="minorHAnsi"/>
        </w:rPr>
        <w:t>elektroenergetice, teplárenství a plynárenství na centrální i krajské úrovni. Zajistit plný a neomezený rozsah dodávek energií v případě krátkodobých a</w:t>
      </w:r>
      <w:r w:rsidR="00237CB0" w:rsidRPr="0092047B">
        <w:rPr>
          <w:rFonts w:cstheme="minorHAnsi"/>
        </w:rPr>
        <w:t> </w:t>
      </w:r>
      <w:r w:rsidRPr="0092047B">
        <w:rPr>
          <w:rFonts w:cstheme="minorHAnsi"/>
        </w:rPr>
        <w:t>střednědobých výpadků jednoho dodavatele nebo ztráty (poruchy) jednoho přeshraničního propojení.</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Zajistit pokrytí minimálních technologických potřeb hospodářství a pokrytí nezbytné spotřeby obyvatelstva v případě střednědobých a dlouhodobých výpadků jednoho dodavatele nebo jednoho přeshraničního propojení, a</w:t>
      </w:r>
      <w:r w:rsidR="00237CB0" w:rsidRPr="0092047B">
        <w:rPr>
          <w:rFonts w:cstheme="minorHAnsi"/>
        </w:rPr>
        <w:t> </w:t>
      </w:r>
      <w:r w:rsidRPr="0092047B">
        <w:rPr>
          <w:rFonts w:cstheme="minorHAnsi"/>
        </w:rPr>
        <w:t>v</w:t>
      </w:r>
      <w:r w:rsidR="00237CB0" w:rsidRPr="0092047B">
        <w:rPr>
          <w:rFonts w:cstheme="minorHAnsi"/>
        </w:rPr>
        <w:t> </w:t>
      </w:r>
      <w:r w:rsidRPr="0092047B">
        <w:rPr>
          <w:rFonts w:cstheme="minorHAnsi"/>
        </w:rPr>
        <w:t>případech krátkodobých a</w:t>
      </w:r>
      <w:r w:rsidR="00603D18" w:rsidRPr="0092047B">
        <w:rPr>
          <w:rFonts w:cstheme="minorHAnsi"/>
        </w:rPr>
        <w:t> </w:t>
      </w:r>
      <w:r w:rsidRPr="0092047B">
        <w:rPr>
          <w:rFonts w:cstheme="minorHAnsi"/>
        </w:rPr>
        <w:t>střednědobých výpadků v rozsahu úplného zastavení dodávek energetických komodit ze zahraničí nebo v případě provozu příslušného síťového systému ČR v</w:t>
      </w:r>
      <w:r w:rsidR="00603D18" w:rsidRPr="0092047B">
        <w:rPr>
          <w:rFonts w:cstheme="minorHAnsi"/>
        </w:rPr>
        <w:t> </w:t>
      </w:r>
      <w:r w:rsidRPr="0092047B">
        <w:rPr>
          <w:rFonts w:cstheme="minorHAnsi"/>
        </w:rPr>
        <w:t>ostrovním provozu.</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 xml:space="preserve">Podporovat a rozvíjet schopnost dodávek energií v lokálních (ostrovních) subsystémech v případě rozpadu systému vlivem rozsáhlých poruch způsobených živelními událostmi nebo teroristickým či kybernetickým útokem v rozsahu nezbytném pro minimální zásobování obyvatelstva a udržení funkčnosti </w:t>
      </w:r>
      <w:r w:rsidR="005667D0" w:rsidRPr="0092047B">
        <w:rPr>
          <w:rFonts w:cstheme="minorHAnsi"/>
        </w:rPr>
        <w:t xml:space="preserve">kritické </w:t>
      </w:r>
      <w:r w:rsidRPr="0092047B">
        <w:rPr>
          <w:rFonts w:cstheme="minorHAnsi"/>
        </w:rPr>
        <w:t>infrastruktury.</w:t>
      </w:r>
    </w:p>
    <w:p w:rsidR="00100C3E" w:rsidRPr="0092047B" w:rsidRDefault="00756EAC" w:rsidP="00184DC1">
      <w:pPr>
        <w:numPr>
          <w:ilvl w:val="2"/>
          <w:numId w:val="39"/>
        </w:numPr>
        <w:tabs>
          <w:tab w:val="left" w:pos="1276"/>
          <w:tab w:val="left" w:pos="1418"/>
        </w:tabs>
        <w:spacing w:before="120"/>
        <w:ind w:left="1134" w:hanging="283"/>
        <w:contextualSpacing/>
        <w:rPr>
          <w:rFonts w:cstheme="minorHAnsi"/>
        </w:rPr>
      </w:pPr>
      <w:r w:rsidRPr="0092047B">
        <w:rPr>
          <w:rFonts w:cstheme="minorHAnsi"/>
        </w:rPr>
        <w:t>Zajistit dodávky základních energií a jejich substitutů na minimální technologické úrovni a úrovni zajišťující chod společnosti pro dlouhotrvající výpadky dodávek ze zahraničí.</w:t>
      </w:r>
    </w:p>
    <w:p w:rsidR="00CB0100" w:rsidRPr="001A148B" w:rsidRDefault="00756EAC" w:rsidP="00B445C6">
      <w:pPr>
        <w:numPr>
          <w:ilvl w:val="2"/>
          <w:numId w:val="39"/>
        </w:numPr>
        <w:tabs>
          <w:tab w:val="left" w:pos="1276"/>
          <w:tab w:val="left" w:pos="1418"/>
        </w:tabs>
        <w:spacing w:before="120" w:after="0"/>
        <w:ind w:left="1134" w:hanging="283"/>
        <w:contextualSpacing/>
        <w:rPr>
          <w:rFonts w:cstheme="minorHAnsi"/>
        </w:rPr>
      </w:pPr>
      <w:r w:rsidRPr="001A148B">
        <w:rPr>
          <w:rFonts w:cstheme="minorHAnsi"/>
        </w:rPr>
        <w:t xml:space="preserve">Ve všech oblastech energetiky sledovat zahraniční investice zejména do určených prvků (subjektů) kritické infrastruktury, aby nepředstavovaly hrozbu, která by </w:t>
      </w:r>
      <w:r w:rsidRPr="0089461D">
        <w:rPr>
          <w:rFonts w:cstheme="minorHAnsi"/>
        </w:rPr>
        <w:t>mohla vzniknout jejich zneužitím při prosazování hospodářských nebo politických zájmů na úkor ČR a současně nesnižovat vliv a kontrolu státu ve strategických společnostech</w:t>
      </w:r>
      <w:r w:rsidR="0089461D" w:rsidRPr="0089461D">
        <w:rPr>
          <w:rFonts w:cstheme="minorHAnsi"/>
        </w:rPr>
        <w:t xml:space="preserve"> (zachovat majetkové podíly státu v těchto společnostech alespoň na úrovni nesnižující současnou schopnost státu prosazovat své zájmy prostřednictvím výkonu akcionářských práv)</w:t>
      </w:r>
      <w:r w:rsidR="00FB34E7" w:rsidRPr="0089461D">
        <w:rPr>
          <w:rFonts w:cstheme="minorHAnsi"/>
        </w:rPr>
        <w:t>.</w:t>
      </w:r>
      <w:r w:rsidR="00CB0100" w:rsidRPr="001A148B">
        <w:rPr>
          <w:rFonts w:cstheme="minorHAnsi"/>
        </w:rPr>
        <w:br w:type="page"/>
      </w:r>
    </w:p>
    <w:p w:rsidR="00897AF9" w:rsidRPr="0092047B" w:rsidRDefault="00897AF9" w:rsidP="00184DC1">
      <w:pPr>
        <w:pStyle w:val="Nadpis1"/>
      </w:pPr>
      <w:bookmarkStart w:id="786" w:name="_Ref367886243"/>
      <w:bookmarkStart w:id="787" w:name="_Ref367886251"/>
      <w:bookmarkStart w:id="788" w:name="_Toc396923393"/>
      <w:bookmarkStart w:id="789" w:name="_Ref367885812"/>
      <w:bookmarkStart w:id="790" w:name="_Ref367885822"/>
      <w:bookmarkStart w:id="791" w:name="_Ref367886210"/>
      <w:bookmarkStart w:id="792" w:name="_Toc36728534"/>
      <w:r w:rsidRPr="0092047B">
        <w:t>Koncepce rozvoje významných oblastí energetiky a oblastí s energetikou souvisejících</w:t>
      </w:r>
      <w:bookmarkEnd w:id="786"/>
      <w:bookmarkEnd w:id="787"/>
      <w:bookmarkEnd w:id="788"/>
    </w:p>
    <w:p w:rsidR="00897AF9" w:rsidRPr="0092047B" w:rsidRDefault="00897AF9" w:rsidP="00184DC1">
      <w:pPr>
        <w:pStyle w:val="Nadpis2"/>
      </w:pPr>
      <w:bookmarkStart w:id="793" w:name="_Toc362276654"/>
      <w:bookmarkStart w:id="794" w:name="_Toc362281698"/>
      <w:bookmarkStart w:id="795" w:name="_Toc362775804"/>
      <w:bookmarkStart w:id="796" w:name="_Toc362775888"/>
      <w:bookmarkStart w:id="797" w:name="_Toc366046041"/>
      <w:bookmarkStart w:id="798" w:name="_Toc396923394"/>
      <w:bookmarkEnd w:id="793"/>
      <w:bookmarkEnd w:id="794"/>
      <w:bookmarkEnd w:id="795"/>
      <w:bookmarkEnd w:id="796"/>
      <w:bookmarkEnd w:id="797"/>
      <w:r w:rsidRPr="0092047B">
        <w:t>Elektroenergetika</w:t>
      </w:r>
      <w:bookmarkEnd w:id="798"/>
    </w:p>
    <w:p w:rsidR="00897AF9" w:rsidRPr="0092047B" w:rsidRDefault="00897AF9" w:rsidP="00CC5C30">
      <w:pPr>
        <w:pStyle w:val="Zkladntext"/>
        <w:spacing w:before="240" w:after="120"/>
        <w:rPr>
          <w:rFonts w:cstheme="minorHAnsi"/>
          <w:b/>
          <w:bCs/>
        </w:rPr>
      </w:pPr>
      <w:r w:rsidRPr="0092047B">
        <w:rPr>
          <w:rFonts w:cstheme="minorHAnsi"/>
          <w:b/>
          <w:bCs/>
        </w:rPr>
        <w:t>Vize</w:t>
      </w:r>
    </w:p>
    <w:p w:rsidR="00897AF9" w:rsidRPr="0092047B" w:rsidRDefault="00897AF9" w:rsidP="00CC5C30">
      <w:pPr>
        <w:pStyle w:val="BodyText21"/>
        <w:spacing w:after="120"/>
        <w:rPr>
          <w:rFonts w:asciiTheme="minorHAnsi" w:hAnsiTheme="minorHAnsi" w:cstheme="minorHAnsi"/>
          <w:bCs/>
          <w:szCs w:val="24"/>
        </w:rPr>
      </w:pPr>
      <w:r w:rsidRPr="0092047B">
        <w:rPr>
          <w:rFonts w:asciiTheme="minorHAnsi" w:hAnsiTheme="minorHAnsi" w:cstheme="minorHAnsi"/>
          <w:bCs/>
          <w:szCs w:val="24"/>
        </w:rPr>
        <w:t>V oblasti výroby a dodávky elektřiny je nezbytné provést do roku 2040 transformaci zajišťující změnu struktury výroby a obnovu dožitých výroben s výrazně vyšší účinností, částečným odchodem od uhlí směrem k jádru, zemnímu plynu a OZE</w:t>
      </w:r>
      <w:r w:rsidR="00D37C48">
        <w:rPr>
          <w:rFonts w:asciiTheme="minorHAnsi" w:hAnsiTheme="minorHAnsi" w:cstheme="minorHAnsi"/>
          <w:bCs/>
          <w:szCs w:val="24"/>
        </w:rPr>
        <w:t>,</w:t>
      </w:r>
      <w:r w:rsidRPr="0092047B">
        <w:rPr>
          <w:rFonts w:asciiTheme="minorHAnsi" w:hAnsiTheme="minorHAnsi" w:cstheme="minorHAnsi"/>
          <w:bCs/>
          <w:szCs w:val="24"/>
        </w:rPr>
        <w:t xml:space="preserve"> a zajistit rostoucí potřeby související s vyšším využitím elektřiny v dopravě a účinném vytápění.</w:t>
      </w:r>
    </w:p>
    <w:p w:rsidR="00897AF9" w:rsidRPr="0092047B" w:rsidRDefault="00897AF9" w:rsidP="00184DC1">
      <w:pPr>
        <w:pStyle w:val="BodyText21"/>
        <w:rPr>
          <w:rFonts w:asciiTheme="minorHAnsi" w:hAnsiTheme="minorHAnsi" w:cstheme="minorHAnsi"/>
          <w:bCs/>
          <w:szCs w:val="24"/>
        </w:rPr>
      </w:pPr>
      <w:r w:rsidRPr="0092047B">
        <w:rPr>
          <w:rFonts w:asciiTheme="minorHAnsi" w:hAnsiTheme="minorHAnsi" w:cstheme="minorHAnsi"/>
          <w:bCs/>
          <w:szCs w:val="24"/>
        </w:rPr>
        <w:t>Zajistit mírně přebytkovou</w:t>
      </w:r>
      <w:r w:rsidR="00731EF3" w:rsidRPr="0092047B">
        <w:rPr>
          <w:rFonts w:asciiTheme="minorHAnsi" w:hAnsiTheme="minorHAnsi" w:cstheme="minorHAnsi"/>
          <w:bCs/>
          <w:szCs w:val="24"/>
        </w:rPr>
        <w:t xml:space="preserve"> výkonovou</w:t>
      </w:r>
      <w:r w:rsidRPr="0092047B">
        <w:rPr>
          <w:rFonts w:asciiTheme="minorHAnsi" w:hAnsiTheme="minorHAnsi" w:cstheme="minorHAnsi"/>
          <w:bCs/>
          <w:szCs w:val="24"/>
        </w:rPr>
        <w:t xml:space="preserve"> bilanci elektrické energie </w:t>
      </w:r>
      <w:r w:rsidR="00731EF3" w:rsidRPr="0092047B">
        <w:rPr>
          <w:rFonts w:asciiTheme="minorHAnsi" w:hAnsiTheme="minorHAnsi" w:cstheme="minorHAnsi"/>
          <w:bCs/>
          <w:szCs w:val="24"/>
        </w:rPr>
        <w:t>(v souladu s parametry přiměřenosti</w:t>
      </w:r>
      <w:r w:rsidR="002C1D30">
        <w:rPr>
          <w:rFonts w:asciiTheme="minorHAnsi" w:hAnsiTheme="minorHAnsi" w:cstheme="minorHAnsi"/>
          <w:bCs/>
          <w:szCs w:val="24"/>
        </w:rPr>
        <w:t xml:space="preserve"> výrobních kapacit</w:t>
      </w:r>
      <w:r w:rsidR="00731EF3" w:rsidRPr="0092047B">
        <w:rPr>
          <w:rFonts w:asciiTheme="minorHAnsi" w:hAnsiTheme="minorHAnsi" w:cstheme="minorHAnsi"/>
          <w:bCs/>
          <w:szCs w:val="24"/>
        </w:rPr>
        <w:t xml:space="preserve">) </w:t>
      </w:r>
      <w:r w:rsidRPr="0092047B">
        <w:rPr>
          <w:rFonts w:asciiTheme="minorHAnsi" w:hAnsiTheme="minorHAnsi" w:cstheme="minorHAnsi"/>
          <w:bCs/>
          <w:szCs w:val="24"/>
        </w:rPr>
        <w:t xml:space="preserve">na následujících 20 až 30 let pro budoucí generaci, a to všemi rozumnými zdroji. Situace v Evropě je z pohledu dostupnosti dodávek nejistá, dovoz z okolních zemí pravděpodobně nebude </w:t>
      </w:r>
      <w:r w:rsidR="00DD2D82" w:rsidRPr="0092047B">
        <w:rPr>
          <w:rFonts w:asciiTheme="minorHAnsi" w:hAnsiTheme="minorHAnsi" w:cstheme="minorHAnsi"/>
          <w:bCs/>
          <w:szCs w:val="24"/>
        </w:rPr>
        <w:t>ve velkém rozsahu a stabilitě</w:t>
      </w:r>
      <w:r w:rsidR="00E56201" w:rsidRPr="0092047B">
        <w:rPr>
          <w:rFonts w:asciiTheme="minorHAnsi" w:hAnsiTheme="minorHAnsi" w:cstheme="minorHAnsi"/>
          <w:bCs/>
          <w:szCs w:val="24"/>
        </w:rPr>
        <w:t xml:space="preserve"> </w:t>
      </w:r>
      <w:r w:rsidRPr="0092047B">
        <w:rPr>
          <w:rFonts w:asciiTheme="minorHAnsi" w:hAnsiTheme="minorHAnsi" w:cstheme="minorHAnsi"/>
          <w:bCs/>
          <w:szCs w:val="24"/>
        </w:rPr>
        <w:t>možný vzhledem k předpokládanému deficitu bilance okolních států. Zajistíme-li bilanci mírně přebytkovou, nemusí se jednat o export, ale o zajištění nezbytné rezervy. Elektřina se dá v době nouze využít například na topení nebo převoz nákladů po železnici v době, kdy nastane problém s ropou. Je to strategická záležitost. Současně nelze přesně předvídat akceleraci technologického pokroku v některých oblastech vedoucí ke zvýšené poptávce po elektřině i nad rozsah očekávaných trendů (např. v oblasti dopravy rozvoj elektromobility).</w:t>
      </w:r>
    </w:p>
    <w:p w:rsidR="00897AF9" w:rsidRPr="0092047B" w:rsidRDefault="00897AF9" w:rsidP="00CC5C30">
      <w:pPr>
        <w:pStyle w:val="Zkladntext"/>
        <w:spacing w:before="240" w:after="120"/>
        <w:rPr>
          <w:rFonts w:cstheme="minorHAnsi"/>
          <w:b/>
          <w:bCs/>
        </w:rPr>
      </w:pPr>
      <w:r w:rsidRPr="0092047B">
        <w:rPr>
          <w:rFonts w:cstheme="minorHAnsi"/>
          <w:b/>
          <w:bCs/>
        </w:rPr>
        <w:t>Hlavní cíle</w:t>
      </w:r>
    </w:p>
    <w:p w:rsidR="00897AF9" w:rsidRPr="0092047B" w:rsidRDefault="00897AF9" w:rsidP="00184DC1">
      <w:pPr>
        <w:numPr>
          <w:ilvl w:val="0"/>
          <w:numId w:val="35"/>
        </w:numPr>
        <w:spacing w:before="120"/>
        <w:ind w:left="1134" w:hanging="774"/>
        <w:contextualSpacing/>
        <w:rPr>
          <w:rFonts w:ascii="Calibri" w:hAnsi="Calibri" w:cs="Calibri"/>
        </w:rPr>
      </w:pPr>
      <w:r w:rsidRPr="0092047B">
        <w:rPr>
          <w:rFonts w:ascii="Calibri" w:hAnsi="Calibri" w:cs="Calibri"/>
        </w:rPr>
        <w:t xml:space="preserve">Zabezpečit výkonově přebytkovou výrobní bilanci založenou na diverzifikovaném palivovém mixu a </w:t>
      </w:r>
      <w:r w:rsidR="003C28F3">
        <w:rPr>
          <w:rFonts w:ascii="Calibri" w:hAnsi="Calibri" w:cs="Calibri"/>
        </w:rPr>
        <w:t>efektivním</w:t>
      </w:r>
      <w:r w:rsidR="003C28F3" w:rsidRPr="0092047B">
        <w:rPr>
          <w:rFonts w:ascii="Calibri" w:hAnsi="Calibri" w:cs="Calibri"/>
        </w:rPr>
        <w:t xml:space="preserve"> </w:t>
      </w:r>
      <w:r w:rsidRPr="0092047B">
        <w:rPr>
          <w:rFonts w:ascii="Calibri" w:hAnsi="Calibri" w:cs="Calibri"/>
        </w:rPr>
        <w:t>využití disponibilních tuzemských primárních zdrojů.</w:t>
      </w:r>
    </w:p>
    <w:p w:rsidR="00897AF9" w:rsidRPr="0092047B" w:rsidRDefault="00897AF9" w:rsidP="00184DC1">
      <w:pPr>
        <w:numPr>
          <w:ilvl w:val="0"/>
          <w:numId w:val="35"/>
        </w:numPr>
        <w:spacing w:before="120"/>
        <w:ind w:left="1134" w:hanging="774"/>
        <w:contextualSpacing/>
        <w:rPr>
          <w:rFonts w:ascii="Calibri" w:hAnsi="Calibri" w:cs="Calibri"/>
        </w:rPr>
      </w:pPr>
      <w:r w:rsidRPr="0092047B">
        <w:rPr>
          <w:rFonts w:ascii="Calibri" w:hAnsi="Calibri" w:cs="Calibri"/>
        </w:rPr>
        <w:t xml:space="preserve">Zabezpečit vysokou bezpečnost, spolehlivost a energetickou odolnost prostřednictvím vhodné velikosti a struktury rezervních kapacit, </w:t>
      </w:r>
      <w:r w:rsidR="00731EF3" w:rsidRPr="0092047B">
        <w:t>disponibilních regulatorních výkonů pro potřeby České republiky,</w:t>
      </w:r>
      <w:r w:rsidR="00731EF3" w:rsidRPr="0092047B">
        <w:rPr>
          <w:rFonts w:ascii="Calibri" w:hAnsi="Calibri" w:cs="Calibri"/>
        </w:rPr>
        <w:t xml:space="preserve"> </w:t>
      </w:r>
      <w:r w:rsidRPr="0092047B">
        <w:rPr>
          <w:rFonts w:ascii="Calibri" w:hAnsi="Calibri" w:cs="Calibri"/>
        </w:rPr>
        <w:t>zásobníků energie a kapacit přenosové a distribučních sítí</w:t>
      </w:r>
      <w:r w:rsidR="00DD2D82" w:rsidRPr="0092047B">
        <w:rPr>
          <w:rFonts w:ascii="Calibri" w:hAnsi="Calibri" w:cs="Calibri"/>
        </w:rPr>
        <w:t xml:space="preserve"> včetně řídících prvků a ochran</w:t>
      </w:r>
      <w:r w:rsidRPr="0092047B">
        <w:rPr>
          <w:rFonts w:ascii="Calibri" w:hAnsi="Calibri" w:cs="Calibri"/>
        </w:rPr>
        <w:t>.</w:t>
      </w:r>
    </w:p>
    <w:p w:rsidR="00897AF9" w:rsidRPr="0092047B" w:rsidRDefault="00897AF9" w:rsidP="00184DC1">
      <w:pPr>
        <w:numPr>
          <w:ilvl w:val="0"/>
          <w:numId w:val="35"/>
        </w:numPr>
        <w:spacing w:before="120"/>
        <w:ind w:left="1134" w:hanging="774"/>
        <w:contextualSpacing/>
        <w:rPr>
          <w:rFonts w:ascii="Calibri" w:hAnsi="Calibri" w:cs="Calibri"/>
        </w:rPr>
      </w:pPr>
      <w:r w:rsidRPr="0092047B">
        <w:rPr>
          <w:rFonts w:ascii="Calibri" w:hAnsi="Calibri" w:cs="Calibri"/>
        </w:rPr>
        <w:t>Zabezpečit rozvoj systémů a nástrojů řízení elektrizační soustavy účinně využívající jak nové technologie (inteligentní sítě), tak i rozšiřující se regionální spolupráci v oblasti řízení soustav a posílení rezerv. Podporovat rozvoj distribuovaných i centralizovaných systémů akumulace.</w:t>
      </w:r>
    </w:p>
    <w:p w:rsidR="00897AF9" w:rsidRPr="0092047B" w:rsidRDefault="00897AF9" w:rsidP="00184DC1">
      <w:pPr>
        <w:numPr>
          <w:ilvl w:val="0"/>
          <w:numId w:val="35"/>
        </w:numPr>
        <w:spacing w:before="120"/>
        <w:ind w:left="1134" w:hanging="774"/>
        <w:contextualSpacing/>
        <w:rPr>
          <w:rFonts w:ascii="Calibri" w:hAnsi="Calibri" w:cs="Calibri"/>
        </w:rPr>
      </w:pPr>
      <w:r w:rsidRPr="0092047B">
        <w:rPr>
          <w:rFonts w:ascii="Calibri" w:hAnsi="Calibri" w:cs="Calibri"/>
        </w:rPr>
        <w:t>Udržet a dále posilovat vysokou tranzitní schopnost sítí a otevřenost energetiky ČR, zajistit trvalé plnění spolehlivostních kritérií a přiměřenost budoucím potřebám přenosu.</w:t>
      </w:r>
    </w:p>
    <w:p w:rsidR="00897AF9" w:rsidRPr="0092047B" w:rsidRDefault="00897AF9" w:rsidP="00184DC1">
      <w:pPr>
        <w:numPr>
          <w:ilvl w:val="0"/>
          <w:numId w:val="35"/>
        </w:numPr>
        <w:spacing w:before="120"/>
        <w:ind w:left="1134" w:hanging="774"/>
        <w:contextualSpacing/>
        <w:rPr>
          <w:rFonts w:ascii="Calibri" w:hAnsi="Calibri" w:cs="Calibri"/>
        </w:rPr>
      </w:pPr>
      <w:r w:rsidRPr="0092047B">
        <w:rPr>
          <w:rFonts w:ascii="Calibri" w:hAnsi="Calibri" w:cs="Calibri"/>
        </w:rPr>
        <w:t>S ohledem na strategický význam energetického sektoru ponechat nadále společnost ČEPS, a.s. ve výhradním vlastnictví státu a zachovat dominantní vliv státu ve společnosti ČEZ, a.s.</w:t>
      </w:r>
    </w:p>
    <w:p w:rsidR="00897AF9" w:rsidRPr="0092047B" w:rsidRDefault="00897AF9" w:rsidP="00184DC1">
      <w:pPr>
        <w:numPr>
          <w:ilvl w:val="0"/>
          <w:numId w:val="35"/>
        </w:numPr>
        <w:spacing w:before="120"/>
        <w:ind w:left="1134" w:hanging="774"/>
        <w:contextualSpacing/>
        <w:rPr>
          <w:rFonts w:ascii="Calibri" w:hAnsi="Calibri" w:cs="Calibri"/>
        </w:rPr>
      </w:pPr>
      <w:r w:rsidRPr="0092047B">
        <w:rPr>
          <w:rFonts w:ascii="Calibri" w:hAnsi="Calibri" w:cs="Calibri"/>
        </w:rPr>
        <w:t>Zajistit územní ochranu ploch a koridorů veřejné infrastruktury a souvisejících rozvojových záměrů prostřednictvím nástrojů územního plánování.</w:t>
      </w:r>
    </w:p>
    <w:p w:rsidR="00731EF3" w:rsidRPr="0092047B" w:rsidRDefault="00731EF3" w:rsidP="00184DC1">
      <w:pPr>
        <w:numPr>
          <w:ilvl w:val="0"/>
          <w:numId w:val="35"/>
        </w:numPr>
        <w:spacing w:before="120"/>
        <w:ind w:left="1134" w:hanging="774"/>
        <w:contextualSpacing/>
        <w:rPr>
          <w:rFonts w:ascii="Calibri" w:hAnsi="Calibri" w:cs="Calibri"/>
        </w:rPr>
      </w:pPr>
      <w:r w:rsidRPr="0092047B">
        <w:rPr>
          <w:rFonts w:ascii="Calibri" w:hAnsi="Calibri" w:cs="Calibri"/>
        </w:rPr>
        <w:t xml:space="preserve">Prosazovat rychlou a plnou integraci energetických trhů ve střední Evropě a rozvoj tržních mechanismů usnadňujících přístupy na trh i změny dodavatele při současné přiměřené kontrole tržních rizik. Zajistit otevřené a vysoce konkurenční prostředí s účinnou kontrolou tržní dominance a zneužívání trhu. </w:t>
      </w:r>
      <w:r w:rsidR="00D37C48">
        <w:rPr>
          <w:rFonts w:ascii="Calibri" w:hAnsi="Calibri" w:cs="Calibri"/>
        </w:rPr>
        <w:t>Podporovat úsilí o zajištění t</w:t>
      </w:r>
      <w:r w:rsidRPr="0092047B">
        <w:rPr>
          <w:rFonts w:ascii="Calibri" w:hAnsi="Calibri" w:cs="Calibri"/>
        </w:rPr>
        <w:t>ržní</w:t>
      </w:r>
      <w:r w:rsidR="00D37C48">
        <w:rPr>
          <w:rFonts w:ascii="Calibri" w:hAnsi="Calibri" w:cs="Calibri"/>
        </w:rPr>
        <w:t>ho</w:t>
      </w:r>
      <w:r w:rsidRPr="0092047B">
        <w:rPr>
          <w:rFonts w:ascii="Calibri" w:hAnsi="Calibri" w:cs="Calibri"/>
        </w:rPr>
        <w:t xml:space="preserve"> prostředí na evropském trhu s elektřinou s minimálním rozsahem tržních deformací. </w:t>
      </w:r>
      <w:r w:rsidRPr="0092047B">
        <w:t xml:space="preserve">V případě, </w:t>
      </w:r>
      <w:r w:rsidR="001A2909">
        <w:t xml:space="preserve">že </w:t>
      </w:r>
      <w:r w:rsidRPr="0092047B">
        <w:t>se nepodaří</w:t>
      </w:r>
      <w:r w:rsidR="001A2909">
        <w:t xml:space="preserve"> </w:t>
      </w:r>
      <w:r w:rsidRPr="0092047B">
        <w:t>navrátit vývoj na vnitřním trhu</w:t>
      </w:r>
      <w:r w:rsidR="001A2909">
        <w:t xml:space="preserve"> </w:t>
      </w:r>
      <w:r w:rsidRPr="0092047B">
        <w:t xml:space="preserve">s elektřinou k plně liberalizovanému prostředí bez tržních </w:t>
      </w:r>
      <w:r w:rsidR="001A2909" w:rsidRPr="0092047B">
        <w:t>distorzí</w:t>
      </w:r>
      <w:r w:rsidRPr="0092047B">
        <w:t>, pak prosazovat celoevropskou harmonizaci kapacitních mechanismů</w:t>
      </w:r>
      <w:r w:rsidR="002C2F31" w:rsidRPr="0092047B">
        <w:t xml:space="preserve"> na bázi technologické neutrality</w:t>
      </w:r>
      <w:r w:rsidR="00697BE8">
        <w:rPr>
          <w:rStyle w:val="Znakapoznpodarou"/>
        </w:rPr>
        <w:footnoteReference w:id="21"/>
      </w:r>
      <w:r w:rsidRPr="0092047B">
        <w:t>. V krajním případě, kdyby se nepodařilo prosadit ani toto harmonizované řešení, tak bude zájmem ČR implementovat takové regionální</w:t>
      </w:r>
      <w:r w:rsidR="00F90462">
        <w:t xml:space="preserve"> (případně národní)</w:t>
      </w:r>
      <w:r w:rsidRPr="0092047B">
        <w:t xml:space="preserve"> řešení, které umožní naplnit požadavky ČR na výrobní a systémovou přiměřenost.</w:t>
      </w:r>
    </w:p>
    <w:p w:rsidR="00897AF9" w:rsidRPr="0092047B" w:rsidRDefault="00897AF9" w:rsidP="00CC5C30">
      <w:pPr>
        <w:pStyle w:val="Zkladntext"/>
        <w:spacing w:before="240" w:after="120"/>
        <w:rPr>
          <w:rFonts w:cstheme="minorHAnsi"/>
          <w:bCs/>
          <w:u w:val="single"/>
        </w:rPr>
      </w:pPr>
      <w:r w:rsidRPr="0092047B">
        <w:rPr>
          <w:rFonts w:cstheme="minorHAnsi"/>
          <w:bCs/>
          <w:u w:val="single"/>
        </w:rPr>
        <w:t>Dílčí cíle a jejich specifikace v jednotlivých oblastech</w:t>
      </w:r>
    </w:p>
    <w:p w:rsidR="00897AF9" w:rsidRPr="0092047B" w:rsidRDefault="00897AF9" w:rsidP="00CC5C30">
      <w:pPr>
        <w:pStyle w:val="Zkladntext"/>
        <w:spacing w:before="240" w:after="120"/>
        <w:rPr>
          <w:b/>
        </w:rPr>
      </w:pPr>
      <w:r w:rsidRPr="0092047B">
        <w:rPr>
          <w:b/>
        </w:rPr>
        <w:t>Liberalizace a integrace trhu s elektřinou</w:t>
      </w:r>
    </w:p>
    <w:p w:rsidR="00897AF9" w:rsidRPr="0092047B" w:rsidRDefault="00897AF9" w:rsidP="00184DC1">
      <w:pPr>
        <w:numPr>
          <w:ilvl w:val="1"/>
          <w:numId w:val="40"/>
        </w:numPr>
        <w:spacing w:before="120"/>
        <w:ind w:left="1134" w:hanging="850"/>
        <w:contextualSpacing/>
        <w:rPr>
          <w:rFonts w:ascii="Calibri" w:hAnsi="Calibri" w:cs="Calibri"/>
        </w:rPr>
      </w:pPr>
      <w:r w:rsidRPr="0092047B">
        <w:rPr>
          <w:rFonts w:ascii="Calibri" w:hAnsi="Calibri" w:cs="Calibri"/>
        </w:rPr>
        <w:t>Prosazovat vysoce konkurenční prostředí trhu s elektřinou, regionální integrac</w:t>
      </w:r>
      <w:r w:rsidR="009E40F9">
        <w:rPr>
          <w:rFonts w:ascii="Calibri" w:hAnsi="Calibri" w:cs="Calibri"/>
        </w:rPr>
        <w:t>i</w:t>
      </w:r>
      <w:r w:rsidRPr="0092047B">
        <w:rPr>
          <w:rFonts w:ascii="Calibri" w:hAnsi="Calibri" w:cs="Calibri"/>
        </w:rPr>
        <w:t xml:space="preserve"> trhu s elektřinou i regulačními výkony a energií, harmonizac</w:t>
      </w:r>
      <w:r w:rsidR="00DC46B0">
        <w:rPr>
          <w:rFonts w:ascii="Calibri" w:hAnsi="Calibri" w:cs="Calibri"/>
        </w:rPr>
        <w:t>i</w:t>
      </w:r>
      <w:r w:rsidRPr="0092047B">
        <w:rPr>
          <w:rFonts w:ascii="Calibri" w:hAnsi="Calibri" w:cs="Calibri"/>
        </w:rPr>
        <w:t xml:space="preserve"> pravidel trhu, cenotvorných a tarifních mechanismů a zjednodušení přístupu na trh.</w:t>
      </w:r>
    </w:p>
    <w:p w:rsidR="00897AF9" w:rsidRPr="0092047B" w:rsidRDefault="00897AF9" w:rsidP="00184DC1">
      <w:pPr>
        <w:numPr>
          <w:ilvl w:val="1"/>
          <w:numId w:val="40"/>
        </w:numPr>
        <w:spacing w:before="120"/>
        <w:ind w:left="1134" w:hanging="850"/>
        <w:contextualSpacing/>
        <w:rPr>
          <w:rFonts w:ascii="Calibri" w:hAnsi="Calibri" w:cs="Calibri"/>
        </w:rPr>
      </w:pPr>
      <w:r w:rsidRPr="0092047B">
        <w:rPr>
          <w:rFonts w:ascii="Calibri" w:hAnsi="Calibri" w:cs="Calibri"/>
        </w:rPr>
        <w:t>Prosazování tržních mechanismů vylučujících významný vliv tržních deformací (subvencí, administrativních omezení a bariér) na cenu elektřiny. V případě zavádění nějaké z forem kapacitních mechanismů v Evropě prosazovat koordinovaný přístup, který minimalizuje konečnou zátěž pro spotřebitele a neznevýhodní českou energetiku v rámci vnitřního trhu s elektřinou.</w:t>
      </w:r>
    </w:p>
    <w:p w:rsidR="00731EF3" w:rsidRPr="00785977" w:rsidRDefault="00731EF3" w:rsidP="00184DC1">
      <w:pPr>
        <w:numPr>
          <w:ilvl w:val="1"/>
          <w:numId w:val="40"/>
        </w:numPr>
        <w:spacing w:before="120"/>
        <w:ind w:left="1134" w:hanging="850"/>
        <w:contextualSpacing/>
        <w:rPr>
          <w:rFonts w:ascii="Calibri" w:hAnsi="Calibri" w:cs="Calibri"/>
        </w:rPr>
      </w:pPr>
      <w:r w:rsidRPr="00785977">
        <w:t>Udržet konečné ceny elektrické energie dlouhodobě pod průměr</w:t>
      </w:r>
      <w:r w:rsidR="0089461D">
        <w:t>em</w:t>
      </w:r>
      <w:r w:rsidRPr="00785977">
        <w:t xml:space="preserve"> EU28</w:t>
      </w:r>
      <w:r w:rsidR="00B40D93" w:rsidRPr="00785977">
        <w:t>, tj. na úrovni slučitelné s</w:t>
      </w:r>
      <w:r w:rsidR="00953643" w:rsidRPr="00785977">
        <w:t xml:space="preserve"> </w:t>
      </w:r>
      <w:r w:rsidR="00B40D93" w:rsidRPr="00785977">
        <w:t>konkurenceschopností české ekonomiky a sociální udržitelností.</w:t>
      </w:r>
    </w:p>
    <w:p w:rsidR="00731EF3" w:rsidRPr="0092047B" w:rsidRDefault="00731EF3" w:rsidP="00184DC1">
      <w:pPr>
        <w:numPr>
          <w:ilvl w:val="1"/>
          <w:numId w:val="40"/>
        </w:numPr>
        <w:spacing w:before="120"/>
        <w:ind w:left="1134" w:hanging="850"/>
        <w:contextualSpacing/>
        <w:rPr>
          <w:rFonts w:ascii="Calibri" w:hAnsi="Calibri" w:cs="Calibri"/>
        </w:rPr>
      </w:pPr>
      <w:r w:rsidRPr="0092047B">
        <w:t xml:space="preserve">Revidovat </w:t>
      </w:r>
      <w:r w:rsidR="00106D36" w:rsidRPr="0092047B">
        <w:t>systém</w:t>
      </w:r>
      <w:r w:rsidR="00106D36">
        <w:t>y</w:t>
      </w:r>
      <w:r w:rsidR="00106D36" w:rsidRPr="0092047B">
        <w:t xml:space="preserve"> </w:t>
      </w:r>
      <w:r w:rsidRPr="0092047B">
        <w:t>síťových tarifů s cílem reflektovat strukturu síťových nákladů a posí</w:t>
      </w:r>
      <w:r w:rsidR="00E56201" w:rsidRPr="0092047B">
        <w:t>li</w:t>
      </w:r>
      <w:r w:rsidR="00DD2D82" w:rsidRPr="0092047B">
        <w:t>t</w:t>
      </w:r>
      <w:r w:rsidRPr="0092047B">
        <w:t xml:space="preserve"> prvky adresnosti.</w:t>
      </w:r>
    </w:p>
    <w:p w:rsidR="00897AF9" w:rsidRPr="0092047B" w:rsidRDefault="00897AF9" w:rsidP="00CC5C30">
      <w:pPr>
        <w:pStyle w:val="Zkladntext"/>
        <w:spacing w:before="240" w:after="120"/>
        <w:rPr>
          <w:b/>
        </w:rPr>
      </w:pPr>
      <w:r w:rsidRPr="0092047B">
        <w:rPr>
          <w:b/>
        </w:rPr>
        <w:t>Obnovitelné zdroje energie</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Podporovat rozvoj a využití obnovitelných zdrojů v souladu s ekonomickými možnostmi a přírodními geograficko-geologicko-klimatickými podmínkami ČR.</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 xml:space="preserve">Do roku 2040 využít potenciál biomasy (v udržitelném rozsahu potravinové bezpečnosti a ochrany půdního fondu a krajiny), větrné </w:t>
      </w:r>
      <w:r w:rsidR="00D37C48">
        <w:rPr>
          <w:rFonts w:ascii="Calibri" w:hAnsi="Calibri" w:cs="Calibri"/>
        </w:rPr>
        <w:t>energie</w:t>
      </w:r>
      <w:r w:rsidRPr="0092047B">
        <w:rPr>
          <w:rFonts w:ascii="Calibri" w:hAnsi="Calibri" w:cs="Calibri"/>
        </w:rPr>
        <w:t xml:space="preserve"> (s respektováním ochrany ŽP a krajiny) a solární energie na střechách a konstrukcích budov (s respektováním ochrany památek a měst).</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Ve spolupráci s Ministerstvem zemědělství spolupracovat na tvorbě mechanismu zajištění přednostního využití cíleně pěstované biomasy pro domácí subjekty.</w:t>
      </w:r>
    </w:p>
    <w:p w:rsidR="00897AF9" w:rsidRPr="0092047B" w:rsidRDefault="00731EF3" w:rsidP="00184DC1">
      <w:pPr>
        <w:numPr>
          <w:ilvl w:val="1"/>
          <w:numId w:val="41"/>
        </w:numPr>
        <w:spacing w:before="120"/>
        <w:ind w:left="1134" w:hanging="283"/>
        <w:contextualSpacing/>
        <w:rPr>
          <w:rFonts w:ascii="Calibri" w:hAnsi="Calibri" w:cs="Calibri"/>
        </w:rPr>
      </w:pPr>
      <w:r w:rsidRPr="0092047B">
        <w:rPr>
          <w:rFonts w:ascii="Calibri" w:hAnsi="Calibri" w:cs="Calibri"/>
        </w:rPr>
        <w:t>Případnou další podporu OZE v odůvodněných případech zajistit mechanismy,</w:t>
      </w:r>
      <w:r w:rsidR="00897AF9" w:rsidRPr="0092047B">
        <w:rPr>
          <w:rFonts w:ascii="Calibri" w:hAnsi="Calibri" w:cs="Calibri"/>
        </w:rPr>
        <w:t xml:space="preserve"> které umožní dosáhnout strategického cíle s minimálním nákladem, tj. např. inverzní aukce, daňové úlevy investorům</w:t>
      </w:r>
      <w:r w:rsidR="0089461D" w:rsidRPr="0092047B">
        <w:rPr>
          <w:rFonts w:ascii="Calibri" w:hAnsi="Calibri" w:cs="Calibri"/>
        </w:rPr>
        <w:t>,</w:t>
      </w:r>
      <w:r w:rsidR="0089461D">
        <w:rPr>
          <w:rFonts w:ascii="Calibri" w:hAnsi="Calibri" w:cs="Calibri"/>
        </w:rPr>
        <w:t xml:space="preserve"> případně net metering,</w:t>
      </w:r>
      <w:r w:rsidRPr="0092047B">
        <w:rPr>
          <w:rFonts w:ascii="Calibri" w:hAnsi="Calibri" w:cs="Calibri"/>
        </w:rPr>
        <w:t xml:space="preserve"> a které budou slučitelné s pravidly veřejné podpory EU</w:t>
      </w:r>
      <w:r w:rsidR="00897AF9" w:rsidRPr="0092047B">
        <w:rPr>
          <w:rFonts w:ascii="Calibri" w:hAnsi="Calibri" w:cs="Calibri"/>
        </w:rPr>
        <w:t>. Zajistit technické standardy pro nové OZE na úrovni BAT.</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Zdroje pro ekonomickou podporu OZE i jejich dalšího rozvoje zajišťovat zejména z energetických daní a poplatků a povinných plateb za externality (povolenky CO</w:t>
      </w:r>
      <w:r w:rsidRPr="00D37C48">
        <w:rPr>
          <w:rFonts w:ascii="Calibri" w:hAnsi="Calibri" w:cs="Calibri"/>
          <w:vertAlign w:val="subscript"/>
        </w:rPr>
        <w:t>2</w:t>
      </w:r>
      <w:r w:rsidRPr="0092047B">
        <w:rPr>
          <w:rFonts w:ascii="Calibri" w:hAnsi="Calibri" w:cs="Calibri"/>
        </w:rPr>
        <w:t xml:space="preserve">, uhlíkové daně) a postupně minimalizovat/odstranit přímé zatížení cen elektřiny pro podnikatelský sektor a domácnosti. </w:t>
      </w:r>
      <w:r w:rsidR="00D37C48">
        <w:rPr>
          <w:rFonts w:ascii="Calibri" w:hAnsi="Calibri" w:cs="Calibri"/>
        </w:rPr>
        <w:t>V</w:t>
      </w:r>
      <w:r w:rsidRPr="0092047B">
        <w:rPr>
          <w:rFonts w:ascii="Calibri" w:hAnsi="Calibri" w:cs="Calibri"/>
        </w:rPr>
        <w:t xml:space="preserve"> dlouhodob</w:t>
      </w:r>
      <w:r w:rsidR="00D37C48">
        <w:rPr>
          <w:rFonts w:ascii="Calibri" w:hAnsi="Calibri" w:cs="Calibri"/>
        </w:rPr>
        <w:t>ém</w:t>
      </w:r>
      <w:r w:rsidRPr="0092047B">
        <w:rPr>
          <w:rFonts w:ascii="Calibri" w:hAnsi="Calibri" w:cs="Calibri"/>
        </w:rPr>
        <w:t xml:space="preserve"> horizont</w:t>
      </w:r>
      <w:r w:rsidR="00D37C48">
        <w:rPr>
          <w:rFonts w:ascii="Calibri" w:hAnsi="Calibri" w:cs="Calibri"/>
        </w:rPr>
        <w:t>u</w:t>
      </w:r>
      <w:r w:rsidRPr="0092047B">
        <w:rPr>
          <w:rFonts w:ascii="Calibri" w:hAnsi="Calibri" w:cs="Calibri"/>
        </w:rPr>
        <w:t xml:space="preserve"> nastavit proporce směřující k využití specifických energetických daní (netýká se spotřebních daní) zpět do energetiky na podporu programů úspor a zvyšování energetické účinnosti přeměn a dopravy energie.</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 xml:space="preserve">Zajistit </w:t>
      </w:r>
      <w:r w:rsidR="00731EF3" w:rsidRPr="0092047B">
        <w:rPr>
          <w:rFonts w:ascii="Calibri" w:hAnsi="Calibri" w:cs="Calibri"/>
        </w:rPr>
        <w:t>do roku 2025</w:t>
      </w:r>
      <w:r w:rsidRPr="0092047B">
        <w:rPr>
          <w:rFonts w:ascii="Calibri" w:hAnsi="Calibri" w:cs="Calibri"/>
        </w:rPr>
        <w:t xml:space="preserve"> dostatečnou kapacitu </w:t>
      </w:r>
      <w:r w:rsidR="00DD2D82" w:rsidRPr="0092047B">
        <w:rPr>
          <w:rFonts w:ascii="Calibri" w:hAnsi="Calibri" w:cs="Calibri"/>
        </w:rPr>
        <w:t xml:space="preserve">a flexibilitu </w:t>
      </w:r>
      <w:r w:rsidRPr="0092047B">
        <w:rPr>
          <w:rFonts w:ascii="Calibri" w:hAnsi="Calibri" w:cs="Calibri"/>
        </w:rPr>
        <w:t xml:space="preserve">v distribučních soustavách pro splnění požadavků na připojení obnovitelných zdrojů v souladu s cílovým podílem OZE na PEZ a struktuře výroby elektřiny dle kap. </w:t>
      </w:r>
      <w:r w:rsidR="00D119DD" w:rsidRPr="0092047B">
        <w:rPr>
          <w:rFonts w:ascii="Calibri" w:hAnsi="Calibri" w:cs="Calibri"/>
        </w:rPr>
        <w:t>4.2</w:t>
      </w:r>
      <w:r w:rsidRPr="0092047B">
        <w:rPr>
          <w:rFonts w:ascii="Calibri" w:hAnsi="Calibri" w:cs="Calibri"/>
        </w:rPr>
        <w:t>, a to jak prostřednictvím rozvoje kapacit DS, tak zejména efektivním řízením existujících sítí a stanovením a plněním technických podmínek zdrojů i sítí. Dlouhodobě garantovat co nejrychlejší nárokové připojení OZE do DS.</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Maximálně zjednodušit administrativní procesy při připojování OZE. Pro malé zdroje zajistit jejich nárokové připojení do sítí ve lhůtách a za technických podmínek stanovených legislativou.</w:t>
      </w:r>
    </w:p>
    <w:p w:rsidR="00897AF9" w:rsidRPr="0092047B" w:rsidRDefault="00897AF9" w:rsidP="00184DC1">
      <w:pPr>
        <w:numPr>
          <w:ilvl w:val="1"/>
          <w:numId w:val="41"/>
        </w:numPr>
        <w:spacing w:before="120"/>
        <w:ind w:left="1134" w:hanging="283"/>
        <w:contextualSpacing/>
        <w:rPr>
          <w:rFonts w:ascii="Calibri" w:hAnsi="Calibri" w:cs="Calibri"/>
        </w:rPr>
      </w:pPr>
      <w:r w:rsidRPr="0092047B">
        <w:rPr>
          <w:rFonts w:ascii="Calibri" w:hAnsi="Calibri" w:cs="Calibri"/>
        </w:rPr>
        <w:t xml:space="preserve">Zajistit v maximální možné míře integraci OZE do mechanismů řízení rovnováhy ES, zejména </w:t>
      </w:r>
      <w:r w:rsidR="00E56201" w:rsidRPr="0092047B">
        <w:rPr>
          <w:rFonts w:ascii="Calibri" w:hAnsi="Calibri" w:cs="Calibri"/>
        </w:rPr>
        <w:t>prostřednictvím inteligentních d</w:t>
      </w:r>
      <w:r w:rsidR="00DD2D82" w:rsidRPr="0092047B">
        <w:rPr>
          <w:rFonts w:ascii="Calibri" w:hAnsi="Calibri" w:cs="Calibri"/>
        </w:rPr>
        <w:t xml:space="preserve">istribučních </w:t>
      </w:r>
      <w:r w:rsidR="00E56201" w:rsidRPr="0092047B">
        <w:rPr>
          <w:rFonts w:ascii="Calibri" w:hAnsi="Calibri" w:cs="Calibri"/>
        </w:rPr>
        <w:t>s</w:t>
      </w:r>
      <w:r w:rsidR="00DD2D82" w:rsidRPr="0092047B">
        <w:rPr>
          <w:rFonts w:ascii="Calibri" w:hAnsi="Calibri" w:cs="Calibri"/>
        </w:rPr>
        <w:t>ítí</w:t>
      </w:r>
      <w:r w:rsidRPr="0092047B">
        <w:rPr>
          <w:rFonts w:ascii="Calibri" w:hAnsi="Calibri" w:cs="Calibri"/>
        </w:rPr>
        <w:t xml:space="preserve"> a řízením OZE připojených do DS.</w:t>
      </w:r>
    </w:p>
    <w:p w:rsidR="00897AF9" w:rsidRPr="0092047B" w:rsidRDefault="00897AF9" w:rsidP="00CC5C30">
      <w:pPr>
        <w:pStyle w:val="Zkladntext"/>
        <w:spacing w:before="240" w:after="120"/>
        <w:rPr>
          <w:rFonts w:ascii="Calibri" w:hAnsi="Calibri"/>
          <w:b/>
        </w:rPr>
      </w:pPr>
      <w:r w:rsidRPr="0092047B">
        <w:rPr>
          <w:rFonts w:ascii="Calibri" w:hAnsi="Calibri"/>
          <w:b/>
        </w:rPr>
        <w:t>Jaderná energetika</w:t>
      </w:r>
    </w:p>
    <w:p w:rsidR="00897AF9" w:rsidRPr="0092047B" w:rsidRDefault="00897AF9" w:rsidP="00184DC1">
      <w:pPr>
        <w:numPr>
          <w:ilvl w:val="1"/>
          <w:numId w:val="42"/>
        </w:numPr>
        <w:spacing w:before="120"/>
        <w:ind w:left="1134" w:hanging="283"/>
        <w:contextualSpacing/>
        <w:rPr>
          <w:rFonts w:ascii="Calibri" w:hAnsi="Calibri" w:cs="Calibri"/>
        </w:rPr>
      </w:pPr>
      <w:r w:rsidRPr="0092047B">
        <w:rPr>
          <w:rFonts w:ascii="Calibri" w:hAnsi="Calibri" w:cs="Calibri"/>
        </w:rPr>
        <w:t xml:space="preserve">Podporovat rozvoj jaderné energetiky jako jednoho z pilířů výroby elektřiny. S cílovým podílem jaderné energetiky na výrobě elektřiny </w:t>
      </w:r>
      <w:r w:rsidR="00DD2D82" w:rsidRPr="0092047B">
        <w:rPr>
          <w:rFonts w:ascii="Calibri" w:hAnsi="Calibri" w:cs="Calibri"/>
        </w:rPr>
        <w:t xml:space="preserve">okolo </w:t>
      </w:r>
      <w:r w:rsidRPr="0092047B">
        <w:rPr>
          <w:rFonts w:ascii="Calibri" w:hAnsi="Calibri" w:cs="Calibri"/>
        </w:rPr>
        <w:t>50 % a s maximalizací dodávek tepla z jaderných elektráren.</w:t>
      </w:r>
    </w:p>
    <w:p w:rsidR="00897AF9" w:rsidRPr="0092047B" w:rsidRDefault="00897AF9" w:rsidP="00184DC1">
      <w:pPr>
        <w:numPr>
          <w:ilvl w:val="1"/>
          <w:numId w:val="42"/>
        </w:numPr>
        <w:spacing w:before="120"/>
        <w:ind w:left="1134" w:hanging="283"/>
        <w:contextualSpacing/>
        <w:rPr>
          <w:rFonts w:ascii="Calibri" w:hAnsi="Calibri" w:cs="Calibri"/>
        </w:rPr>
      </w:pPr>
      <w:r w:rsidRPr="0092047B">
        <w:rPr>
          <w:rFonts w:ascii="Calibri" w:hAnsi="Calibri" w:cs="Calibri"/>
        </w:rPr>
        <w:t xml:space="preserve">Podpořit a urychlit proces projednávání, přípravy a realizace nových jaderných bloků </w:t>
      </w:r>
      <w:r w:rsidRPr="0092047B">
        <w:t xml:space="preserve">ve stávajících lokalitách jaderných elektráren </w:t>
      </w:r>
      <w:r w:rsidRPr="0092047B">
        <w:rPr>
          <w:rFonts w:ascii="Calibri" w:hAnsi="Calibri" w:cs="Calibri"/>
        </w:rPr>
        <w:t xml:space="preserve">o celkovém výkonu do 2 500 MW, respektive roční </w:t>
      </w:r>
      <w:r w:rsidR="00CF577D" w:rsidRPr="0092047B">
        <w:rPr>
          <w:rFonts w:ascii="Calibri" w:hAnsi="Calibri" w:cs="Calibri"/>
        </w:rPr>
        <w:t>výrob</w:t>
      </w:r>
      <w:r w:rsidR="00CF577D">
        <w:rPr>
          <w:rFonts w:ascii="Calibri" w:hAnsi="Calibri" w:cs="Calibri"/>
        </w:rPr>
        <w:t>ě</w:t>
      </w:r>
      <w:r w:rsidR="00CF577D" w:rsidRPr="0092047B">
        <w:rPr>
          <w:rFonts w:ascii="Calibri" w:hAnsi="Calibri" w:cs="Calibri"/>
        </w:rPr>
        <w:t xml:space="preserve"> </w:t>
      </w:r>
      <w:r w:rsidRPr="0092047B">
        <w:rPr>
          <w:rFonts w:ascii="Calibri" w:hAnsi="Calibri" w:cs="Calibri"/>
        </w:rPr>
        <w:t>ve výši cca 20 TWh v horizontu let 20</w:t>
      </w:r>
      <w:r w:rsidR="00056B5E" w:rsidRPr="0092047B">
        <w:rPr>
          <w:rFonts w:ascii="Calibri" w:hAnsi="Calibri" w:cs="Calibri"/>
        </w:rPr>
        <w:t>30</w:t>
      </w:r>
      <w:r w:rsidRPr="0092047B">
        <w:rPr>
          <w:rFonts w:ascii="Calibri" w:hAnsi="Calibri" w:cs="Calibri"/>
        </w:rPr>
        <w:t xml:space="preserve"> – 203</w:t>
      </w:r>
      <w:r w:rsidR="00056B5E" w:rsidRPr="0092047B">
        <w:rPr>
          <w:rFonts w:ascii="Calibri" w:hAnsi="Calibri" w:cs="Calibri"/>
        </w:rPr>
        <w:t>5</w:t>
      </w:r>
      <w:r w:rsidRPr="0092047B">
        <w:rPr>
          <w:rFonts w:ascii="Calibri" w:hAnsi="Calibri" w:cs="Calibri"/>
        </w:rPr>
        <w:t xml:space="preserve"> včetně nezbytných kroků mezinárodního projednávání.</w:t>
      </w:r>
    </w:p>
    <w:p w:rsidR="00897AF9" w:rsidRPr="0092047B" w:rsidRDefault="00897AF9" w:rsidP="00184DC1">
      <w:pPr>
        <w:numPr>
          <w:ilvl w:val="1"/>
          <w:numId w:val="42"/>
        </w:numPr>
        <w:spacing w:before="120"/>
        <w:ind w:left="1134" w:hanging="283"/>
        <w:contextualSpacing/>
        <w:rPr>
          <w:rFonts w:ascii="Calibri" w:hAnsi="Calibri" w:cs="Calibri"/>
        </w:rPr>
      </w:pPr>
      <w:r w:rsidRPr="0092047B">
        <w:rPr>
          <w:rFonts w:ascii="Calibri" w:hAnsi="Calibri" w:cs="Calibri"/>
        </w:rPr>
        <w:t>Vytvořit podmínky pro prodloužení životnosti elektrárny Dukovany na</w:t>
      </w:r>
      <w:r w:rsidR="00731EF3" w:rsidRPr="0092047B">
        <w:rPr>
          <w:rFonts w:ascii="Calibri" w:hAnsi="Calibri" w:cs="Calibri"/>
        </w:rPr>
        <w:t xml:space="preserve"> 50</w:t>
      </w:r>
      <w:r w:rsidRPr="0092047B">
        <w:rPr>
          <w:rFonts w:ascii="Calibri" w:hAnsi="Calibri" w:cs="Calibri"/>
        </w:rPr>
        <w:t xml:space="preserve"> let</w:t>
      </w:r>
      <w:r w:rsidR="00731EF3" w:rsidRPr="0092047B">
        <w:rPr>
          <w:rFonts w:ascii="Calibri" w:hAnsi="Calibri" w:cs="Calibri"/>
        </w:rPr>
        <w:t xml:space="preserve"> </w:t>
      </w:r>
      <w:r w:rsidR="00731EF3" w:rsidRPr="0092047B">
        <w:t>a bude-li to možné, až na 60 let (s ohledem na technologie, bezpečnost, ekonomiku a pravidla EU)</w:t>
      </w:r>
      <w:r w:rsidRPr="0092047B">
        <w:rPr>
          <w:rFonts w:ascii="Calibri" w:hAnsi="Calibri" w:cs="Calibri"/>
        </w:rPr>
        <w:t>.</w:t>
      </w:r>
    </w:p>
    <w:p w:rsidR="00897AF9" w:rsidRPr="0092047B" w:rsidRDefault="00CF577D" w:rsidP="00184DC1">
      <w:pPr>
        <w:numPr>
          <w:ilvl w:val="1"/>
          <w:numId w:val="42"/>
        </w:numPr>
        <w:spacing w:before="120"/>
        <w:ind w:left="1134" w:hanging="283"/>
        <w:contextualSpacing/>
        <w:rPr>
          <w:rFonts w:ascii="Calibri" w:hAnsi="Calibri" w:cs="Calibri"/>
        </w:rPr>
      </w:pPr>
      <w:r>
        <w:rPr>
          <w:rFonts w:ascii="Calibri" w:hAnsi="Calibri" w:cs="Calibri"/>
        </w:rPr>
        <w:t>Případnou v</w:t>
      </w:r>
      <w:r w:rsidR="00897AF9" w:rsidRPr="0092047B">
        <w:rPr>
          <w:rFonts w:ascii="Calibri" w:hAnsi="Calibri" w:cs="Calibri"/>
        </w:rPr>
        <w:t>ýstavbu dalšího nového bloku</w:t>
      </w:r>
      <w:r w:rsidR="00897AF9" w:rsidRPr="0092047B">
        <w:t xml:space="preserve"> ve stávajících lokalitách jaderných elektráren</w:t>
      </w:r>
      <w:r w:rsidR="00897AF9" w:rsidRPr="0092047B">
        <w:rPr>
          <w:rFonts w:ascii="Calibri" w:hAnsi="Calibri" w:cs="Calibri"/>
        </w:rPr>
        <w:t xml:space="preserve"> cílit kolem předpokládaného odstavení EDU, tj. po roce 2035</w:t>
      </w:r>
      <w:r>
        <w:rPr>
          <w:rFonts w:ascii="Calibri" w:hAnsi="Calibri" w:cs="Calibri"/>
        </w:rPr>
        <w:t xml:space="preserve"> v závislosti na predikci bilance výroby a spotřeby</w:t>
      </w:r>
      <w:r w:rsidR="00897AF9" w:rsidRPr="0092047B">
        <w:rPr>
          <w:rFonts w:ascii="Calibri" w:hAnsi="Calibri" w:cs="Calibri"/>
        </w:rPr>
        <w:t>.</w:t>
      </w:r>
    </w:p>
    <w:p w:rsidR="00897AF9" w:rsidRPr="0092047B" w:rsidRDefault="00897AF9" w:rsidP="00184DC1">
      <w:pPr>
        <w:numPr>
          <w:ilvl w:val="1"/>
          <w:numId w:val="42"/>
        </w:numPr>
        <w:spacing w:before="120"/>
        <w:ind w:left="1134" w:hanging="283"/>
        <w:contextualSpacing/>
        <w:rPr>
          <w:rFonts w:ascii="Calibri" w:hAnsi="Calibri" w:cs="Calibri"/>
        </w:rPr>
      </w:pPr>
      <w:r w:rsidRPr="0092047B">
        <w:rPr>
          <w:rFonts w:ascii="Calibri" w:hAnsi="Calibri" w:cs="Calibri"/>
        </w:rPr>
        <w:t>Zajistit legislativní, administrativní a společenské podmínky pro vybudování a bezpečný a dlouhodobý provoz úložišť radioaktivního odpadu a pravidla pro nakládání s vyhořelým palivem jako s potenciálně cennou druhotnou surovinou.</w:t>
      </w:r>
    </w:p>
    <w:p w:rsidR="00897AF9" w:rsidRPr="0092047B" w:rsidRDefault="00897AF9" w:rsidP="00184DC1">
      <w:pPr>
        <w:numPr>
          <w:ilvl w:val="1"/>
          <w:numId w:val="42"/>
        </w:numPr>
        <w:spacing w:before="120"/>
        <w:ind w:left="1134" w:hanging="283"/>
        <w:contextualSpacing/>
        <w:rPr>
          <w:rFonts w:ascii="Calibri" w:hAnsi="Calibri" w:cs="Calibri"/>
        </w:rPr>
      </w:pPr>
      <w:r w:rsidRPr="0092047B">
        <w:rPr>
          <w:rFonts w:ascii="Calibri" w:hAnsi="Calibri" w:cs="Calibri"/>
        </w:rPr>
        <w:t>Vyhledání a zajištění územní ochrany další vhodné lokality pro rozvoj jaderné energetiky.</w:t>
      </w:r>
    </w:p>
    <w:p w:rsidR="00897AF9" w:rsidRPr="0092047B" w:rsidRDefault="00897AF9" w:rsidP="00184DC1">
      <w:pPr>
        <w:numPr>
          <w:ilvl w:val="1"/>
          <w:numId w:val="42"/>
        </w:numPr>
        <w:spacing w:before="120"/>
        <w:ind w:left="1135" w:hanging="284"/>
        <w:rPr>
          <w:rFonts w:ascii="Calibri" w:hAnsi="Calibri" w:cs="Calibri"/>
        </w:rPr>
      </w:pPr>
      <w:r w:rsidRPr="0092047B">
        <w:rPr>
          <w:rFonts w:ascii="Calibri" w:hAnsi="Calibri" w:cs="Calibri"/>
        </w:rPr>
        <w:t>Rozhodnutí o úložišti jaderného odpadu do roku 2025.</w:t>
      </w:r>
    </w:p>
    <w:p w:rsidR="00897AF9" w:rsidRPr="0092047B" w:rsidRDefault="00897AF9" w:rsidP="00CC5C30">
      <w:pPr>
        <w:keepNext/>
        <w:spacing w:before="240" w:after="120"/>
        <w:rPr>
          <w:b/>
        </w:rPr>
      </w:pPr>
      <w:r w:rsidRPr="0092047B">
        <w:rPr>
          <w:b/>
        </w:rPr>
        <w:t>Uhelná energetika (kondenzační výroba)</w:t>
      </w:r>
    </w:p>
    <w:p w:rsidR="00897AF9" w:rsidRPr="0092047B" w:rsidRDefault="00897AF9" w:rsidP="00CC5C30">
      <w:pPr>
        <w:keepLines/>
        <w:numPr>
          <w:ilvl w:val="1"/>
          <w:numId w:val="43"/>
        </w:numPr>
        <w:spacing w:before="120"/>
        <w:ind w:left="1135" w:hanging="284"/>
        <w:contextualSpacing/>
        <w:rPr>
          <w:rFonts w:cstheme="minorHAnsi"/>
        </w:rPr>
      </w:pPr>
      <w:r w:rsidRPr="0092047B">
        <w:rPr>
          <w:rFonts w:cstheme="minorHAnsi"/>
        </w:rPr>
        <w:t xml:space="preserve">Zajistit podmínky umožňující rekonstrukci existujících velkých kondenzačních uhelných zdrojů výhradně na vysoce účinné zdroje podle standardů BAT a jejich provoz v horizontu SEK s ohledem na dostupnost hnědého uhlí a bez negativního vlivu na dodávky uhlí pro energeticky efektivní systémy </w:t>
      </w:r>
      <w:r w:rsidR="006059D3">
        <w:rPr>
          <w:rFonts w:cstheme="minorHAnsi"/>
        </w:rPr>
        <w:t>SZT</w:t>
      </w:r>
      <w:r w:rsidRPr="0092047B">
        <w:rPr>
          <w:rFonts w:cstheme="minorHAnsi"/>
        </w:rPr>
        <w:t>.</w:t>
      </w:r>
    </w:p>
    <w:p w:rsidR="00897AF9" w:rsidRPr="0092047B" w:rsidRDefault="00897AF9" w:rsidP="00184DC1">
      <w:pPr>
        <w:numPr>
          <w:ilvl w:val="1"/>
          <w:numId w:val="43"/>
        </w:numPr>
        <w:spacing w:before="120"/>
        <w:ind w:left="1134" w:hanging="283"/>
        <w:contextualSpacing/>
        <w:rPr>
          <w:rFonts w:cstheme="minorHAnsi"/>
        </w:rPr>
      </w:pPr>
      <w:r w:rsidRPr="0092047B">
        <w:rPr>
          <w:rFonts w:cstheme="minorHAnsi"/>
        </w:rPr>
        <w:t xml:space="preserve">Případné nové uhelné zdroje orientovat na vysokoúčinnou či kogenerační výrobu s minimální roční účinností přeměny energie 60 % nebo účinnost dle BAT je-li vyšší, v celkovém rozsahu uhelné energetiky odpovídající cílovému rozsahu pevných paliv v souladu s kapitolou </w:t>
      </w:r>
      <w:r w:rsidR="00D119DD" w:rsidRPr="0092047B">
        <w:rPr>
          <w:rFonts w:cstheme="minorHAnsi"/>
        </w:rPr>
        <w:t>4.2</w:t>
      </w:r>
      <w:r w:rsidRPr="0092047B">
        <w:rPr>
          <w:rFonts w:cstheme="minorHAnsi"/>
        </w:rPr>
        <w:t>.</w:t>
      </w:r>
    </w:p>
    <w:p w:rsidR="00731EF3" w:rsidRPr="0092047B" w:rsidRDefault="00731EF3" w:rsidP="00184DC1">
      <w:pPr>
        <w:numPr>
          <w:ilvl w:val="1"/>
          <w:numId w:val="43"/>
        </w:numPr>
        <w:spacing w:before="120"/>
        <w:ind w:left="1134" w:hanging="283"/>
        <w:contextualSpacing/>
        <w:rPr>
          <w:rFonts w:cstheme="minorHAnsi"/>
        </w:rPr>
      </w:pPr>
      <w:r w:rsidRPr="0092047B">
        <w:rPr>
          <w:rFonts w:cstheme="minorHAnsi"/>
        </w:rPr>
        <w:t xml:space="preserve">Zavést </w:t>
      </w:r>
      <w:r w:rsidRPr="0092047B">
        <w:t xml:space="preserve">účinnou penalizaci </w:t>
      </w:r>
      <w:r w:rsidR="00C57D63" w:rsidRPr="0092047B">
        <w:t>nízko</w:t>
      </w:r>
      <w:r w:rsidR="00F13E24">
        <w:t>-</w:t>
      </w:r>
      <w:r w:rsidR="00C57D63" w:rsidRPr="0092047B">
        <w:t>účinn</w:t>
      </w:r>
      <w:r w:rsidR="00C57D63">
        <w:t>ě</w:t>
      </w:r>
      <w:r w:rsidR="00C57D63" w:rsidRPr="0092047B">
        <w:t xml:space="preserve"> kondenzačn</w:t>
      </w:r>
      <w:r w:rsidR="00C57D63">
        <w:t>ě</w:t>
      </w:r>
      <w:r w:rsidR="00C57D63" w:rsidRPr="0092047B">
        <w:t xml:space="preserve"> </w:t>
      </w:r>
      <w:r w:rsidR="00C57D63">
        <w:t>vyrobené elektřiny</w:t>
      </w:r>
      <w:r w:rsidRPr="0092047B">
        <w:t xml:space="preserve"> od roku 2015 s narůstající progresí.</w:t>
      </w:r>
    </w:p>
    <w:p w:rsidR="00DD2D82" w:rsidRPr="0089461D" w:rsidRDefault="00DD2D82" w:rsidP="00184DC1">
      <w:pPr>
        <w:numPr>
          <w:ilvl w:val="1"/>
          <w:numId w:val="43"/>
        </w:numPr>
        <w:spacing w:before="120"/>
        <w:ind w:left="1134" w:hanging="283"/>
        <w:contextualSpacing/>
        <w:rPr>
          <w:rFonts w:cstheme="minorHAnsi"/>
        </w:rPr>
      </w:pPr>
      <w:r w:rsidRPr="0089461D">
        <w:rPr>
          <w:rFonts w:cstheme="minorHAnsi"/>
        </w:rPr>
        <w:t>V rámci surovinové politiky ČR zajistit dostatečnou dodávku hnědého uhlí pro potřeby teplárenských zdrojů s přednostním přístupem k</w:t>
      </w:r>
      <w:r w:rsidR="006B73AE" w:rsidRPr="0089461D">
        <w:rPr>
          <w:rFonts w:cstheme="minorHAnsi"/>
        </w:rPr>
        <w:t> </w:t>
      </w:r>
      <w:r w:rsidRPr="0089461D">
        <w:rPr>
          <w:rFonts w:cstheme="minorHAnsi"/>
        </w:rPr>
        <w:t>palivu</w:t>
      </w:r>
      <w:r w:rsidR="0089461D" w:rsidRPr="0089461D">
        <w:rPr>
          <w:rFonts w:cstheme="minorHAnsi"/>
        </w:rPr>
        <w:t xml:space="preserve"> pouze v rozsahu vysokoúčinné kogenerační výroby</w:t>
      </w:r>
      <w:r w:rsidRPr="0089461D">
        <w:rPr>
          <w:rFonts w:cstheme="minorHAnsi"/>
        </w:rPr>
        <w:t xml:space="preserve"> oproti kondenzačním zdrojům.</w:t>
      </w:r>
    </w:p>
    <w:p w:rsidR="00897AF9" w:rsidRPr="0092047B" w:rsidRDefault="00897AF9" w:rsidP="00CC5C30">
      <w:pPr>
        <w:pStyle w:val="Zkladntext"/>
        <w:spacing w:before="240" w:after="120"/>
        <w:rPr>
          <w:b/>
        </w:rPr>
      </w:pPr>
      <w:r w:rsidRPr="0092047B">
        <w:rPr>
          <w:b/>
        </w:rPr>
        <w:t>Zdroje na zemní plyn</w:t>
      </w:r>
    </w:p>
    <w:p w:rsidR="00897AF9" w:rsidRPr="0092047B" w:rsidRDefault="00897AF9" w:rsidP="00184DC1">
      <w:pPr>
        <w:numPr>
          <w:ilvl w:val="1"/>
          <w:numId w:val="44"/>
        </w:numPr>
        <w:spacing w:before="120"/>
        <w:ind w:left="1134" w:hanging="283"/>
        <w:contextualSpacing/>
        <w:rPr>
          <w:rFonts w:cstheme="minorHAnsi"/>
        </w:rPr>
      </w:pPr>
      <w:r w:rsidRPr="0092047B">
        <w:rPr>
          <w:rFonts w:cstheme="minorHAnsi"/>
        </w:rPr>
        <w:t>Zajistit podmínky umožňující rozšíření podílu zdrojů na zemní plyn ve zdrojovém mixu; podíl plynových zdrojů v rozsahu do 15 % celkového instalovaného výkonu zdrojů a s parametry BAT; podmínky umožňující výstavbu plynových turbín jako rychle dosažitelné regulační a záložní kapacity.</w:t>
      </w:r>
    </w:p>
    <w:p w:rsidR="00DD2D82" w:rsidRPr="0092047B" w:rsidRDefault="00DD2D82" w:rsidP="00184DC1">
      <w:pPr>
        <w:numPr>
          <w:ilvl w:val="1"/>
          <w:numId w:val="44"/>
        </w:numPr>
        <w:spacing w:before="120"/>
        <w:ind w:left="1134" w:hanging="283"/>
        <w:contextualSpacing/>
        <w:rPr>
          <w:rFonts w:cstheme="minorHAnsi"/>
        </w:rPr>
      </w:pPr>
      <w:r w:rsidRPr="0092047B">
        <w:rPr>
          <w:rFonts w:cstheme="minorHAnsi"/>
        </w:rPr>
        <w:t>Vytvořit podmínky pro rozvoj mikrokogeneračních zdrojů a jejich rozumnou integraci do sítí s přednostním užitím elektřiny pro vlastní spotřebu.</w:t>
      </w:r>
    </w:p>
    <w:p w:rsidR="00897AF9" w:rsidRPr="0092047B" w:rsidRDefault="00897AF9" w:rsidP="00CC5C30">
      <w:pPr>
        <w:pStyle w:val="Zkladntext"/>
        <w:spacing w:before="240" w:after="120"/>
        <w:rPr>
          <w:b/>
        </w:rPr>
      </w:pPr>
      <w:r w:rsidRPr="0092047B">
        <w:rPr>
          <w:b/>
        </w:rPr>
        <w:t>Energetické zásobníky</w:t>
      </w:r>
    </w:p>
    <w:p w:rsidR="00897AF9" w:rsidRPr="0092047B" w:rsidRDefault="00897AF9" w:rsidP="00184DC1">
      <w:pPr>
        <w:numPr>
          <w:ilvl w:val="1"/>
          <w:numId w:val="45"/>
        </w:numPr>
        <w:spacing w:before="120"/>
        <w:ind w:left="1134" w:hanging="283"/>
        <w:contextualSpacing/>
        <w:rPr>
          <w:rFonts w:cstheme="minorHAnsi"/>
        </w:rPr>
      </w:pPr>
      <w:r w:rsidRPr="0092047B">
        <w:rPr>
          <w:rFonts w:cstheme="minorHAnsi"/>
        </w:rPr>
        <w:t>Rozvoj efektivních mechanismů řízení energetických sítí a vyrovnání lokálních a časových disbalancí, včetně energetických zásobníků, přiměřený velikosti a struktuře výrobních zdrojů, zejména s ohledem na velké jednotkové výkony jaderných a uhelných bloků a rozsah a strukturu obnovitelných zdrojů s kolísavou a obtížně predikovatelnou dodávkou.</w:t>
      </w:r>
    </w:p>
    <w:p w:rsidR="00897AF9" w:rsidRPr="0092047B" w:rsidRDefault="00897AF9" w:rsidP="00184DC1">
      <w:pPr>
        <w:numPr>
          <w:ilvl w:val="1"/>
          <w:numId w:val="45"/>
        </w:numPr>
        <w:spacing w:before="120"/>
        <w:ind w:left="1134" w:hanging="283"/>
        <w:contextualSpacing/>
        <w:rPr>
          <w:rFonts w:cstheme="minorHAnsi"/>
        </w:rPr>
      </w:pPr>
      <w:r w:rsidRPr="0092047B">
        <w:rPr>
          <w:rFonts w:cstheme="minorHAnsi"/>
        </w:rPr>
        <w:t>Rozvoj centralizované (PS i DS) i decentralizované (elektromobily, lokální akumulace) elektroakumulace pro potřeby regulačních výkonů i využití v řízení distribučních sítí</w:t>
      </w:r>
      <w:r w:rsidR="00731EF3" w:rsidRPr="0092047B">
        <w:t xml:space="preserve"> zejména na komerční bázi; při intermitentních zdrojích přesahujících </w:t>
      </w:r>
      <w:r w:rsidR="00E56201" w:rsidRPr="0092047B">
        <w:t>celkový</w:t>
      </w:r>
      <w:r w:rsidR="00DD2D82" w:rsidRPr="0092047B">
        <w:t xml:space="preserve"> </w:t>
      </w:r>
      <w:r w:rsidR="00731EF3" w:rsidRPr="0092047B">
        <w:t>instalovan</w:t>
      </w:r>
      <w:r w:rsidR="00DD2D82" w:rsidRPr="0092047B">
        <w:t>ý</w:t>
      </w:r>
      <w:r w:rsidR="00731EF3" w:rsidRPr="0092047B">
        <w:t xml:space="preserve"> výkon nad </w:t>
      </w:r>
      <w:r w:rsidR="00DD2D82" w:rsidRPr="0092047B">
        <w:t>4</w:t>
      </w:r>
      <w:r w:rsidR="00731EF3" w:rsidRPr="0092047B">
        <w:t>000</w:t>
      </w:r>
      <w:r w:rsidR="00E56201" w:rsidRPr="0092047B">
        <w:t xml:space="preserve"> </w:t>
      </w:r>
      <w:r w:rsidR="00731EF3" w:rsidRPr="0092047B">
        <w:t xml:space="preserve">MW </w:t>
      </w:r>
      <w:r w:rsidR="00DD2D82" w:rsidRPr="0092047B">
        <w:t xml:space="preserve">zavést v případě nezbytnosti i prvky </w:t>
      </w:r>
      <w:r w:rsidR="00731EF3" w:rsidRPr="0092047B">
        <w:t>povinné akumulace</w:t>
      </w:r>
      <w:r w:rsidR="00DD2D82" w:rsidRPr="0092047B">
        <w:t xml:space="preserve"> jako součásti některých typů zdrojů</w:t>
      </w:r>
      <w:r w:rsidRPr="0092047B">
        <w:rPr>
          <w:rFonts w:cstheme="minorHAnsi"/>
        </w:rPr>
        <w:t>.</w:t>
      </w:r>
    </w:p>
    <w:p w:rsidR="00897AF9" w:rsidRPr="0092047B" w:rsidRDefault="00897AF9" w:rsidP="00CC5C30">
      <w:pPr>
        <w:pStyle w:val="Zkladntext"/>
        <w:keepNext/>
        <w:spacing w:before="240" w:after="120"/>
        <w:rPr>
          <w:b/>
        </w:rPr>
      </w:pPr>
      <w:r w:rsidRPr="0092047B">
        <w:rPr>
          <w:b/>
        </w:rPr>
        <w:t>Druhotné zdroje energie a odpady</w:t>
      </w:r>
    </w:p>
    <w:p w:rsidR="00897AF9" w:rsidRPr="0092047B" w:rsidRDefault="00897AF9" w:rsidP="00184DC1">
      <w:pPr>
        <w:numPr>
          <w:ilvl w:val="1"/>
          <w:numId w:val="46"/>
        </w:numPr>
        <w:spacing w:before="120"/>
        <w:ind w:left="1134" w:hanging="283"/>
        <w:contextualSpacing/>
        <w:rPr>
          <w:rFonts w:ascii="Calibri" w:hAnsi="Calibri" w:cs="Calibri"/>
        </w:rPr>
      </w:pPr>
      <w:r w:rsidRPr="0092047B">
        <w:rPr>
          <w:rFonts w:ascii="Calibri" w:hAnsi="Calibri" w:cs="Calibri"/>
        </w:rPr>
        <w:t xml:space="preserve">Dosáhnout maximalizace energetického využití druhotných zdrojů energie včetně vhodných průmyslových a komunálních odpadů </w:t>
      </w:r>
      <w:r w:rsidR="00731EF3" w:rsidRPr="0092047B">
        <w:t>s respektováním hierarchie nakládání s odpady po vytřídění recyklovatelné složky</w:t>
      </w:r>
      <w:r w:rsidRPr="0092047B">
        <w:rPr>
          <w:rFonts w:ascii="Calibri" w:hAnsi="Calibri" w:cs="Calibri"/>
        </w:rPr>
        <w:t>.</w:t>
      </w:r>
    </w:p>
    <w:p w:rsidR="00897AF9" w:rsidRPr="0092047B" w:rsidRDefault="00897AF9" w:rsidP="00184DC1">
      <w:pPr>
        <w:numPr>
          <w:ilvl w:val="1"/>
          <w:numId w:val="46"/>
        </w:numPr>
        <w:spacing w:before="120"/>
        <w:ind w:left="1134" w:hanging="283"/>
        <w:contextualSpacing/>
        <w:rPr>
          <w:rFonts w:ascii="Calibri" w:hAnsi="Calibri" w:cs="Calibri"/>
        </w:rPr>
      </w:pPr>
      <w:r w:rsidRPr="0092047B">
        <w:rPr>
          <w:rFonts w:ascii="Calibri" w:hAnsi="Calibri" w:cs="Calibri"/>
        </w:rPr>
        <w:t xml:space="preserve">Prioritně podporovat přímé (termické) využití </w:t>
      </w:r>
      <w:r w:rsidR="000025A6">
        <w:rPr>
          <w:rFonts w:ascii="Calibri" w:hAnsi="Calibri" w:cs="Calibri"/>
        </w:rPr>
        <w:t xml:space="preserve">nerecyklovatelných </w:t>
      </w:r>
      <w:r w:rsidRPr="0092047B">
        <w:rPr>
          <w:rFonts w:ascii="Calibri" w:hAnsi="Calibri" w:cs="Calibri"/>
        </w:rPr>
        <w:t>odpadů bez předchozí úpravy pro kogenerační systémy zásobování teplem v souladu s ochranou životního prostředí</w:t>
      </w:r>
      <w:r w:rsidR="00343C92">
        <w:rPr>
          <w:rFonts w:ascii="Calibri" w:hAnsi="Calibri" w:cs="Calibri"/>
        </w:rPr>
        <w:t>,</w:t>
      </w:r>
      <w:r w:rsidRPr="0092047B">
        <w:rPr>
          <w:rFonts w:ascii="Calibri" w:hAnsi="Calibri" w:cs="Calibri"/>
        </w:rPr>
        <w:t xml:space="preserve"> zejména ochranou ovzduší.</w:t>
      </w:r>
    </w:p>
    <w:p w:rsidR="00897AF9" w:rsidRPr="0092047B" w:rsidRDefault="00897AF9" w:rsidP="00184DC1">
      <w:pPr>
        <w:numPr>
          <w:ilvl w:val="1"/>
          <w:numId w:val="46"/>
        </w:numPr>
        <w:spacing w:before="120"/>
        <w:ind w:left="1134" w:hanging="283"/>
        <w:contextualSpacing/>
        <w:rPr>
          <w:rFonts w:ascii="Calibri" w:hAnsi="Calibri" w:cs="Calibri"/>
        </w:rPr>
      </w:pPr>
      <w:r w:rsidRPr="0092047B">
        <w:rPr>
          <w:rFonts w:ascii="Calibri" w:hAnsi="Calibri" w:cs="Calibri"/>
        </w:rPr>
        <w:t xml:space="preserve">Snížit ukládání biologicky rozložitelných komunálních odpadů v souladu s požadavky EU a zvýšit poplatky za skládkování. Výnosy ze zvýšených poplatků směřovat do </w:t>
      </w:r>
      <w:r w:rsidR="00BB6F6C" w:rsidRPr="0092047B">
        <w:rPr>
          <w:rFonts w:ascii="Calibri" w:hAnsi="Calibri" w:cs="Calibri"/>
        </w:rPr>
        <w:t xml:space="preserve">recyklace a </w:t>
      </w:r>
      <w:r w:rsidRPr="0092047B">
        <w:rPr>
          <w:rFonts w:ascii="Calibri" w:hAnsi="Calibri" w:cs="Calibri"/>
        </w:rPr>
        <w:t>podpory energetického využití odpadů, zejména na podporu hierarchie nakládání s odpady.</w:t>
      </w:r>
      <w:r w:rsidR="00BB6F6C" w:rsidRPr="0092047B">
        <w:rPr>
          <w:rFonts w:ascii="Calibri" w:hAnsi="Calibri" w:cs="Calibri"/>
        </w:rPr>
        <w:t xml:space="preserve"> </w:t>
      </w:r>
    </w:p>
    <w:p w:rsidR="00897AF9" w:rsidRPr="0092047B" w:rsidRDefault="00897AF9" w:rsidP="00184DC1">
      <w:pPr>
        <w:numPr>
          <w:ilvl w:val="1"/>
          <w:numId w:val="46"/>
        </w:numPr>
        <w:spacing w:before="120"/>
        <w:ind w:left="1134" w:hanging="283"/>
        <w:contextualSpacing/>
        <w:rPr>
          <w:rFonts w:ascii="Calibri" w:hAnsi="Calibri" w:cs="Calibri"/>
        </w:rPr>
      </w:pPr>
      <w:r w:rsidRPr="0092047B">
        <w:rPr>
          <w:rFonts w:ascii="Calibri" w:hAnsi="Calibri" w:cs="Calibri"/>
        </w:rPr>
        <w:t>Podporovat kogenerační výrobu energie z bioplynových stanic, které používají jako palivo biologicky rozložitelný odpad z využitelných částí komunálních a zemědělských odpadů a odpadů z potravinářského průmyslu.</w:t>
      </w:r>
    </w:p>
    <w:p w:rsidR="00897AF9" w:rsidRPr="0092047B" w:rsidRDefault="00897AF9" w:rsidP="00CC5C30">
      <w:pPr>
        <w:pStyle w:val="Zkladntext"/>
        <w:spacing w:before="240" w:after="120"/>
        <w:rPr>
          <w:b/>
        </w:rPr>
      </w:pPr>
      <w:r w:rsidRPr="0092047B">
        <w:rPr>
          <w:b/>
        </w:rPr>
        <w:t>Rozvoj přenosové soustavy</w:t>
      </w:r>
    </w:p>
    <w:p w:rsidR="00897AF9" w:rsidRPr="0092047B" w:rsidRDefault="00897AF9" w:rsidP="00184DC1">
      <w:pPr>
        <w:numPr>
          <w:ilvl w:val="1"/>
          <w:numId w:val="47"/>
        </w:numPr>
        <w:spacing w:before="120"/>
        <w:ind w:left="1134" w:hanging="283"/>
        <w:contextualSpacing/>
        <w:rPr>
          <w:rFonts w:ascii="Calibri" w:hAnsi="Calibri" w:cs="Calibri"/>
        </w:rPr>
      </w:pPr>
      <w:r w:rsidRPr="0092047B">
        <w:rPr>
          <w:rFonts w:ascii="Calibri" w:hAnsi="Calibri" w:cs="Calibri"/>
        </w:rPr>
        <w:t>Zajistit vysokou bezpečnost a spolehlivost přenosové soustavy ČR a její schopnost zajistit uspokojení požadavků zákazníků na připojení nových zdrojů na straně výroby i spotřeby a umožnění přenosu narůstajících transevropských tranzitních toků jak ve směru sever/jih, tak i východ/západ. Obnova a modernizace PS a zvyšování její odolnosti při vzniku krizových situací.</w:t>
      </w:r>
    </w:p>
    <w:p w:rsidR="00897AF9" w:rsidRPr="0092047B" w:rsidRDefault="00897AF9" w:rsidP="00CC5C30">
      <w:pPr>
        <w:pStyle w:val="Zkladntext"/>
        <w:spacing w:before="240" w:after="120"/>
        <w:rPr>
          <w:b/>
        </w:rPr>
      </w:pPr>
      <w:r w:rsidRPr="0092047B">
        <w:rPr>
          <w:b/>
        </w:rPr>
        <w:t>Výstavba nových přenosových prvků (rozvodny, vedení) a obnova stávající PS:</w:t>
      </w:r>
    </w:p>
    <w:p w:rsidR="00897AF9" w:rsidRPr="0092047B" w:rsidRDefault="00E058C4" w:rsidP="00184DC1">
      <w:pPr>
        <w:numPr>
          <w:ilvl w:val="1"/>
          <w:numId w:val="48"/>
        </w:numPr>
        <w:spacing w:before="120"/>
        <w:ind w:left="1134" w:hanging="283"/>
        <w:contextualSpacing/>
        <w:rPr>
          <w:rFonts w:ascii="Calibri" w:hAnsi="Calibri" w:cs="Calibri"/>
        </w:rPr>
      </w:pPr>
      <w:r>
        <w:rPr>
          <w:rFonts w:ascii="Calibri" w:hAnsi="Calibri" w:cs="Calibri"/>
        </w:rPr>
        <w:t xml:space="preserve">Minimalizovat souhrnnou dobu </w:t>
      </w:r>
      <w:r w:rsidR="00897AF9" w:rsidRPr="0092047B">
        <w:rPr>
          <w:rFonts w:ascii="Calibri" w:hAnsi="Calibri" w:cs="Calibri"/>
        </w:rPr>
        <w:t>povolovací</w:t>
      </w:r>
      <w:r>
        <w:rPr>
          <w:rFonts w:ascii="Calibri" w:hAnsi="Calibri" w:cs="Calibri"/>
        </w:rPr>
        <w:t>ch</w:t>
      </w:r>
      <w:r w:rsidR="00897AF9" w:rsidRPr="0092047B">
        <w:rPr>
          <w:rFonts w:ascii="Calibri" w:hAnsi="Calibri" w:cs="Calibri"/>
        </w:rPr>
        <w:t xml:space="preserve"> procedur výstavby liniových staveb, zajistit přístup k pozemkům pro klíčovou infrastrukturu.</w:t>
      </w:r>
    </w:p>
    <w:p w:rsidR="00897AF9" w:rsidRPr="0092047B" w:rsidRDefault="00897AF9" w:rsidP="00184DC1">
      <w:pPr>
        <w:numPr>
          <w:ilvl w:val="1"/>
          <w:numId w:val="48"/>
        </w:numPr>
        <w:spacing w:before="120"/>
        <w:ind w:left="1134" w:hanging="283"/>
        <w:contextualSpacing/>
        <w:rPr>
          <w:rFonts w:ascii="Calibri" w:hAnsi="Calibri" w:cs="Calibri"/>
        </w:rPr>
      </w:pPr>
      <w:r w:rsidRPr="0092047B">
        <w:rPr>
          <w:rFonts w:ascii="Calibri" w:hAnsi="Calibri" w:cs="Calibri"/>
        </w:rPr>
        <w:t xml:space="preserve">Zabezpečit finanční zdroje pro obnovu a rozvoj PS (motivační regulace pro provozovatele v souladu se schváleným </w:t>
      </w:r>
      <w:r w:rsidR="00697BE8">
        <w:rPr>
          <w:rFonts w:ascii="Calibri" w:hAnsi="Calibri" w:cs="Calibri"/>
        </w:rPr>
        <w:t>10</w:t>
      </w:r>
      <w:r w:rsidR="00343C92">
        <w:rPr>
          <w:rFonts w:ascii="Calibri" w:hAnsi="Calibri" w:cs="Calibri"/>
        </w:rPr>
        <w:t>ti</w:t>
      </w:r>
      <w:r w:rsidR="00697BE8">
        <w:rPr>
          <w:rFonts w:ascii="Calibri" w:hAnsi="Calibri" w:cs="Calibri"/>
        </w:rPr>
        <w:t xml:space="preserve">letým </w:t>
      </w:r>
      <w:r w:rsidRPr="0092047B">
        <w:rPr>
          <w:rFonts w:ascii="Calibri" w:hAnsi="Calibri" w:cs="Calibri"/>
        </w:rPr>
        <w:t>plánem</w:t>
      </w:r>
      <w:r w:rsidR="00410BB0">
        <w:rPr>
          <w:rFonts w:ascii="Calibri" w:hAnsi="Calibri" w:cs="Calibri"/>
        </w:rPr>
        <w:t xml:space="preserve"> rozvoje PS</w:t>
      </w:r>
      <w:r w:rsidRPr="0092047B">
        <w:rPr>
          <w:rFonts w:ascii="Calibri" w:hAnsi="Calibri" w:cs="Calibri"/>
        </w:rPr>
        <w:t xml:space="preserve">, stabilní a dlouhodobý regulační rámec, rozšíření financování z prostředků EU (CEF, </w:t>
      </w:r>
      <w:r w:rsidR="00B632B2">
        <w:rPr>
          <w:rFonts w:ascii="Calibri" w:hAnsi="Calibri" w:cs="Calibri"/>
        </w:rPr>
        <w:t>ESIF</w:t>
      </w:r>
      <w:r w:rsidRPr="0092047B">
        <w:rPr>
          <w:rFonts w:ascii="Calibri" w:hAnsi="Calibri" w:cs="Calibri"/>
        </w:rPr>
        <w:t>). Poplatky žadatelů o připojení k PS nastavit jako motivační, které budou plnit roli lokačního signálu k připojování k PS podle jejích potřeb.</w:t>
      </w:r>
    </w:p>
    <w:p w:rsidR="00897AF9" w:rsidRPr="0092047B"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rPr>
        <w:t>Zajistit regionální spolupráci a mechanismy společného plánování a rozvoje sítí v regionu střední Evropy.</w:t>
      </w:r>
    </w:p>
    <w:p w:rsidR="00897AF9" w:rsidRPr="0092047B"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rPr>
        <w:t xml:space="preserve">Zajistit včasnou připravenost přenosové soustavy ke spolehlivému připojení nových </w:t>
      </w:r>
      <w:r w:rsidRPr="0092047B">
        <w:rPr>
          <w:rFonts w:ascii="Calibri" w:hAnsi="Calibri" w:cs="Calibri"/>
          <w:color w:val="000000"/>
        </w:rPr>
        <w:t>velkých zdrojů (JE, PE, PPC, OZE) a k jejich integraci do zdrojové struktury včetně regulačních služeb.</w:t>
      </w:r>
    </w:p>
    <w:p w:rsidR="00897AF9" w:rsidRPr="0092047B"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color w:val="000000"/>
        </w:rPr>
        <w:t>Zajistit včasnou připravenost přenosové soustavy na zvýšení požadavků na transformační výkon pro distribuční soustavy v souvislosti s rozvojem spotřeby v regionech a se změnou struktury zdrojů připojených do DS.</w:t>
      </w:r>
    </w:p>
    <w:p w:rsidR="00897AF9" w:rsidRPr="0092047B"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color w:val="000000"/>
        </w:rPr>
        <w:t>Odstranění úzkých míst při tranzitních tocích ve směru sever-jih, integrace PS ČR do transevropských energetických dálnic (Electricity Highway).</w:t>
      </w:r>
    </w:p>
    <w:p w:rsidR="00897AF9" w:rsidRPr="0092047B"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color w:val="000000"/>
        </w:rPr>
        <w:t xml:space="preserve">Implementace technologií pro efektivní řízení spolehlivosti a využití sítí </w:t>
      </w:r>
      <w:r w:rsidR="00E56201" w:rsidRPr="0092047B">
        <w:rPr>
          <w:rFonts w:ascii="Calibri" w:hAnsi="Calibri" w:cs="Calibri"/>
          <w:color w:val="000000"/>
        </w:rPr>
        <w:t>(</w:t>
      </w:r>
      <w:r w:rsidRPr="0092047B">
        <w:rPr>
          <w:rFonts w:ascii="Calibri" w:hAnsi="Calibri" w:cs="Calibri"/>
          <w:color w:val="000000"/>
        </w:rPr>
        <w:t>FACTS, monitorování a dynamické řízení toků a zatížitelnosti</w:t>
      </w:r>
      <w:r w:rsidR="004A0EAA">
        <w:rPr>
          <w:rFonts w:ascii="Calibri" w:hAnsi="Calibri" w:cs="Calibri"/>
          <w:color w:val="000000"/>
        </w:rPr>
        <w:t xml:space="preserve"> sítí, dynamické řízení údržby). </w:t>
      </w:r>
      <w:r w:rsidR="00E54F94">
        <w:rPr>
          <w:rFonts w:ascii="Calibri" w:hAnsi="Calibri" w:cs="Calibri"/>
          <w:color w:val="000000"/>
        </w:rPr>
        <w:t xml:space="preserve">Implementace výstupů z projektu NAP SG a podpora inteligentních DS </w:t>
      </w:r>
      <w:r w:rsidR="00E92066">
        <w:rPr>
          <w:rFonts w:ascii="Calibri" w:hAnsi="Calibri" w:cs="Calibri"/>
          <w:color w:val="000000"/>
        </w:rPr>
        <w:t>(virtuální elektrárny apod.)</w:t>
      </w:r>
      <w:r w:rsidR="005D1C7F">
        <w:rPr>
          <w:rFonts w:ascii="Calibri" w:hAnsi="Calibri" w:cs="Calibri"/>
          <w:color w:val="000000"/>
        </w:rPr>
        <w:t>.</w:t>
      </w:r>
    </w:p>
    <w:p w:rsidR="00897AF9" w:rsidRPr="0092047B"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color w:val="000000"/>
        </w:rPr>
        <w:t>Implementace zařízení zajištujících efektivní řízení toků a bezpečnost provozu v přenosových soustavách (PST).</w:t>
      </w:r>
    </w:p>
    <w:p w:rsidR="00897AF9" w:rsidRDefault="00897AF9"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sidRPr="0092047B">
        <w:rPr>
          <w:rFonts w:ascii="Calibri" w:hAnsi="Calibri" w:cs="Calibri"/>
          <w:color w:val="000000"/>
        </w:rPr>
        <w:t xml:space="preserve">Zajistit územní ochranu </w:t>
      </w:r>
      <w:r w:rsidR="009764F5" w:rsidRPr="0092047B">
        <w:rPr>
          <w:rFonts w:ascii="Calibri" w:hAnsi="Calibri" w:cs="Calibri"/>
          <w:color w:val="000000"/>
        </w:rPr>
        <w:t xml:space="preserve">ploch a </w:t>
      </w:r>
      <w:r w:rsidRPr="0092047B">
        <w:rPr>
          <w:rFonts w:ascii="Calibri" w:hAnsi="Calibri" w:cs="Calibri"/>
          <w:color w:val="000000"/>
        </w:rPr>
        <w:t xml:space="preserve">koridorů pro rozvoj PS </w:t>
      </w:r>
      <w:r w:rsidR="009764F5" w:rsidRPr="0092047B">
        <w:rPr>
          <w:rFonts w:ascii="Calibri" w:hAnsi="Calibri" w:cs="Calibri"/>
          <w:color w:val="000000"/>
        </w:rPr>
        <w:t>po</w:t>
      </w:r>
      <w:r w:rsidRPr="0092047B">
        <w:rPr>
          <w:rFonts w:ascii="Calibri" w:hAnsi="Calibri" w:cs="Calibri"/>
          <w:color w:val="000000"/>
        </w:rPr>
        <w:t xml:space="preserve">dle schváleného </w:t>
      </w:r>
      <w:r w:rsidR="0068563D">
        <w:rPr>
          <w:rFonts w:ascii="Calibri" w:hAnsi="Calibri" w:cs="Calibri"/>
        </w:rPr>
        <w:t>dese</w:t>
      </w:r>
      <w:r w:rsidR="00343C92">
        <w:rPr>
          <w:rFonts w:ascii="Calibri" w:hAnsi="Calibri" w:cs="Calibri"/>
        </w:rPr>
        <w:t>ti</w:t>
      </w:r>
      <w:r w:rsidR="00410BB0">
        <w:rPr>
          <w:rFonts w:ascii="Calibri" w:hAnsi="Calibri" w:cs="Calibri"/>
        </w:rPr>
        <w:t xml:space="preserve">letého </w:t>
      </w:r>
      <w:r w:rsidR="00410BB0" w:rsidRPr="0092047B">
        <w:rPr>
          <w:rFonts w:ascii="Calibri" w:hAnsi="Calibri" w:cs="Calibri"/>
        </w:rPr>
        <w:t>plán</w:t>
      </w:r>
      <w:r w:rsidR="00410BB0">
        <w:rPr>
          <w:rFonts w:ascii="Calibri" w:hAnsi="Calibri" w:cs="Calibri"/>
        </w:rPr>
        <w:t>u rozvoje PS</w:t>
      </w:r>
      <w:r w:rsidRPr="0092047B">
        <w:rPr>
          <w:rFonts w:ascii="Calibri" w:hAnsi="Calibri" w:cs="Calibri"/>
          <w:color w:val="000000"/>
        </w:rPr>
        <w:t xml:space="preserve"> prostřednictvím Politiky územního rozvoje ČR a Zásad územního rozvoje jednotlivých krajů.</w:t>
      </w:r>
    </w:p>
    <w:p w:rsidR="00880632" w:rsidRDefault="00880632" w:rsidP="00184DC1">
      <w:pPr>
        <w:numPr>
          <w:ilvl w:val="1"/>
          <w:numId w:val="48"/>
        </w:numPr>
        <w:autoSpaceDE w:val="0"/>
        <w:autoSpaceDN w:val="0"/>
        <w:adjustRightInd w:val="0"/>
        <w:spacing w:before="120" w:after="157"/>
        <w:ind w:left="1134" w:hanging="283"/>
        <w:contextualSpacing/>
        <w:rPr>
          <w:rFonts w:ascii="Calibri" w:hAnsi="Calibri" w:cs="Calibri"/>
          <w:color w:val="000000"/>
        </w:rPr>
      </w:pPr>
      <w:r>
        <w:rPr>
          <w:rFonts w:ascii="Calibri" w:hAnsi="Calibri" w:cs="Calibri"/>
          <w:color w:val="000000"/>
        </w:rPr>
        <w:t>Prosazovat vyšší evropskou koordinaci plánování a podpor realizace rozvoje přenosových soustav (nových mezistátních i vybraných vnitrostátních vedení) nutných pro dokončení a efektivní fungování vnitřního trhu s elektřinou, včetně vybavení centrálních orgánů EU</w:t>
      </w:r>
      <w:r w:rsidRPr="00880632">
        <w:rPr>
          <w:rFonts w:ascii="Calibri" w:hAnsi="Calibri" w:cs="Calibri"/>
          <w:color w:val="000000"/>
        </w:rPr>
        <w:t xml:space="preserve"> </w:t>
      </w:r>
      <w:r>
        <w:rPr>
          <w:rFonts w:ascii="Calibri" w:hAnsi="Calibri" w:cs="Calibri"/>
          <w:color w:val="000000"/>
        </w:rPr>
        <w:t>příslušnými pravomocemi.</w:t>
      </w:r>
    </w:p>
    <w:p w:rsidR="001E7F95" w:rsidRPr="0092047B" w:rsidRDefault="001E7F95" w:rsidP="0068563D">
      <w:pPr>
        <w:keepLines/>
        <w:numPr>
          <w:ilvl w:val="1"/>
          <w:numId w:val="48"/>
        </w:numPr>
        <w:autoSpaceDE w:val="0"/>
        <w:autoSpaceDN w:val="0"/>
        <w:adjustRightInd w:val="0"/>
        <w:spacing w:before="120"/>
        <w:ind w:left="1135" w:hanging="284"/>
        <w:rPr>
          <w:rFonts w:ascii="Calibri" w:hAnsi="Calibri" w:cs="Calibri"/>
          <w:color w:val="000000"/>
        </w:rPr>
      </w:pPr>
      <w:r>
        <w:rPr>
          <w:rFonts w:ascii="Calibri" w:hAnsi="Calibri" w:cs="Calibri"/>
          <w:color w:val="000000"/>
        </w:rPr>
        <w:t>Podporovat účast menších zdrojů a skupin spotřeby na poskytování podpůrných služeb.</w:t>
      </w:r>
    </w:p>
    <w:p w:rsidR="00897AF9" w:rsidRPr="0092047B" w:rsidRDefault="00897AF9" w:rsidP="0068563D">
      <w:pPr>
        <w:tabs>
          <w:tab w:val="left" w:pos="1128"/>
        </w:tabs>
        <w:spacing w:before="240" w:after="120"/>
        <w:rPr>
          <w:b/>
        </w:rPr>
      </w:pPr>
      <w:r w:rsidRPr="0092047B">
        <w:rPr>
          <w:b/>
        </w:rPr>
        <w:t>Řízení provozu soustav a mezinárodní spolupráce:</w:t>
      </w:r>
    </w:p>
    <w:p w:rsidR="00897AF9" w:rsidRPr="0092047B" w:rsidRDefault="00897AF9" w:rsidP="00184DC1">
      <w:pPr>
        <w:numPr>
          <w:ilvl w:val="1"/>
          <w:numId w:val="49"/>
        </w:numPr>
        <w:tabs>
          <w:tab w:val="left" w:pos="1560"/>
        </w:tabs>
        <w:autoSpaceDE w:val="0"/>
        <w:autoSpaceDN w:val="0"/>
        <w:adjustRightInd w:val="0"/>
        <w:spacing w:before="120" w:after="157"/>
        <w:ind w:left="1134" w:hanging="283"/>
        <w:contextualSpacing/>
        <w:rPr>
          <w:rFonts w:cstheme="minorHAnsi"/>
          <w:color w:val="000000"/>
        </w:rPr>
      </w:pPr>
      <w:r w:rsidRPr="0092047B">
        <w:rPr>
          <w:rFonts w:cstheme="minorHAnsi"/>
          <w:color w:val="000000"/>
        </w:rPr>
        <w:t>Vysoká míra provozní spolupráce a postupná integrace činností provozovatelů přenosových soustav v regionu střední Evropy (řízení rovnováhy i plánování provozu a řízení toků v sítích). Společné havarijní procedury a plně integrované postupy řešení přetížení na úrovni regionu.</w:t>
      </w:r>
    </w:p>
    <w:p w:rsidR="00897AF9" w:rsidRPr="0092047B" w:rsidRDefault="00897AF9" w:rsidP="00184DC1">
      <w:pPr>
        <w:numPr>
          <w:ilvl w:val="1"/>
          <w:numId w:val="49"/>
        </w:numPr>
        <w:tabs>
          <w:tab w:val="left" w:pos="1560"/>
        </w:tabs>
        <w:autoSpaceDE w:val="0"/>
        <w:autoSpaceDN w:val="0"/>
        <w:adjustRightInd w:val="0"/>
        <w:spacing w:before="120" w:after="157"/>
        <w:ind w:left="1134" w:hanging="283"/>
        <w:contextualSpacing/>
        <w:rPr>
          <w:rFonts w:cstheme="minorHAnsi"/>
          <w:color w:val="000000"/>
        </w:rPr>
      </w:pPr>
      <w:r w:rsidRPr="0092047B">
        <w:rPr>
          <w:rFonts w:cstheme="minorHAnsi"/>
          <w:color w:val="000000"/>
        </w:rPr>
        <w:t>Vybudování přiměřených technických prostředků obrany proti vzniku a šíření síťových poruch</w:t>
      </w:r>
      <w:r w:rsidR="00DC46B0">
        <w:rPr>
          <w:rFonts w:cstheme="minorHAnsi"/>
          <w:color w:val="000000"/>
        </w:rPr>
        <w:t>,</w:t>
      </w:r>
      <w:r w:rsidRPr="0092047B">
        <w:rPr>
          <w:rFonts w:cstheme="minorHAnsi"/>
          <w:color w:val="000000"/>
        </w:rPr>
        <w:t xml:space="preserve"> kontroly přetížení a optimálního provozu sítě.</w:t>
      </w:r>
    </w:p>
    <w:p w:rsidR="00897AF9" w:rsidRPr="0092047B" w:rsidRDefault="00897AF9" w:rsidP="0068563D">
      <w:pPr>
        <w:numPr>
          <w:ilvl w:val="1"/>
          <w:numId w:val="49"/>
        </w:numPr>
        <w:tabs>
          <w:tab w:val="left" w:pos="1560"/>
        </w:tabs>
        <w:autoSpaceDE w:val="0"/>
        <w:autoSpaceDN w:val="0"/>
        <w:adjustRightInd w:val="0"/>
        <w:spacing w:before="120"/>
        <w:ind w:left="1135" w:hanging="284"/>
        <w:contextualSpacing/>
        <w:rPr>
          <w:rFonts w:cstheme="minorHAnsi"/>
          <w:color w:val="000000"/>
        </w:rPr>
      </w:pPr>
      <w:r w:rsidRPr="0092047B">
        <w:rPr>
          <w:rFonts w:cstheme="minorHAnsi"/>
          <w:color w:val="000000"/>
        </w:rPr>
        <w:t>Aktivní účast v definici a projektování nadnárodní přenosové soustavy EU se zaměřením na region střední a východní Evropy (Super Smart Grid).</w:t>
      </w:r>
    </w:p>
    <w:p w:rsidR="00897AF9" w:rsidRPr="0092047B" w:rsidRDefault="00897AF9" w:rsidP="0068563D">
      <w:pPr>
        <w:pStyle w:val="Zkladntext"/>
        <w:spacing w:before="240" w:after="120"/>
        <w:rPr>
          <w:rFonts w:cstheme="minorHAnsi"/>
          <w:b/>
          <w:bCs/>
        </w:rPr>
      </w:pPr>
      <w:r w:rsidRPr="0092047B">
        <w:rPr>
          <w:rFonts w:cstheme="minorHAnsi"/>
          <w:b/>
          <w:bCs/>
        </w:rPr>
        <w:t>Rozvoj distribučních soustav</w:t>
      </w:r>
    </w:p>
    <w:p w:rsidR="00897AF9" w:rsidRPr="0092047B" w:rsidRDefault="00897AF9"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cs="Calibri"/>
          <w:color w:val="000000"/>
          <w:sz w:val="24"/>
          <w:szCs w:val="24"/>
        </w:rPr>
      </w:pPr>
      <w:r w:rsidRPr="0092047B">
        <w:rPr>
          <w:rFonts w:cs="Calibri"/>
          <w:color w:val="000000"/>
          <w:sz w:val="24"/>
          <w:szCs w:val="24"/>
        </w:rPr>
        <w:t>Zajistit vysokou spolehlivost provozu distribučních soustav v souladu s evropskými standardy a energetick</w:t>
      </w:r>
      <w:r w:rsidR="009D1875" w:rsidRPr="0092047B">
        <w:rPr>
          <w:rFonts w:cs="Calibri"/>
          <w:color w:val="000000"/>
          <w:sz w:val="24"/>
          <w:szCs w:val="24"/>
        </w:rPr>
        <w:t>ou</w:t>
      </w:r>
      <w:r w:rsidRPr="0092047B">
        <w:rPr>
          <w:rFonts w:cs="Calibri"/>
          <w:color w:val="000000"/>
          <w:sz w:val="24"/>
          <w:szCs w:val="24"/>
        </w:rPr>
        <w:t xml:space="preserve"> odolnost ČR. Rozvoj DS v souladu s růstem konečné spotřeby elektřiny v domácnostech a rozvoj distribučních soustav v oblasti decentralizovaného řízení lokálních soustav a integrace distribuovaných zdrojů.</w:t>
      </w:r>
    </w:p>
    <w:p w:rsidR="00897AF9" w:rsidRPr="00E058C4" w:rsidRDefault="00E058C4"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asciiTheme="minorHAnsi" w:hAnsiTheme="minorHAnsi" w:cstheme="minorHAnsi"/>
          <w:color w:val="000000"/>
          <w:sz w:val="24"/>
          <w:szCs w:val="24"/>
        </w:rPr>
      </w:pPr>
      <w:r w:rsidRPr="00E058C4">
        <w:rPr>
          <w:rFonts w:asciiTheme="minorHAnsi" w:hAnsiTheme="minorHAnsi" w:cstheme="minorHAnsi"/>
          <w:color w:val="000000"/>
          <w:sz w:val="24"/>
          <w:szCs w:val="24"/>
        </w:rPr>
        <w:t>Minimalizovat souhrnnou dobu</w:t>
      </w:r>
      <w:r w:rsidR="00F971CF" w:rsidRPr="00E058C4">
        <w:rPr>
          <w:rFonts w:asciiTheme="minorHAnsi" w:hAnsiTheme="minorHAnsi" w:cstheme="minorHAnsi"/>
          <w:color w:val="000000"/>
          <w:sz w:val="24"/>
          <w:szCs w:val="24"/>
        </w:rPr>
        <w:t xml:space="preserve"> povolovací</w:t>
      </w:r>
      <w:r w:rsidRPr="00E058C4">
        <w:rPr>
          <w:rFonts w:asciiTheme="minorHAnsi" w:hAnsiTheme="minorHAnsi" w:cstheme="minorHAnsi"/>
          <w:color w:val="000000"/>
          <w:sz w:val="24"/>
          <w:szCs w:val="24"/>
        </w:rPr>
        <w:t>ch</w:t>
      </w:r>
      <w:r w:rsidR="00F971CF" w:rsidRPr="00E058C4">
        <w:rPr>
          <w:rFonts w:asciiTheme="minorHAnsi" w:hAnsiTheme="minorHAnsi" w:cstheme="minorHAnsi"/>
          <w:color w:val="000000"/>
          <w:sz w:val="24"/>
          <w:szCs w:val="24"/>
        </w:rPr>
        <w:t xml:space="preserve"> procedur</w:t>
      </w:r>
      <w:r w:rsidR="00897AF9" w:rsidRPr="00E058C4">
        <w:rPr>
          <w:rFonts w:asciiTheme="minorHAnsi" w:hAnsiTheme="minorHAnsi" w:cstheme="minorHAnsi"/>
          <w:color w:val="000000"/>
          <w:sz w:val="24"/>
          <w:szCs w:val="24"/>
        </w:rPr>
        <w:t xml:space="preserve"> výstavby distribučních sítí a zajistit přístup k pozemkům</w:t>
      </w:r>
      <w:r w:rsidRPr="00E058C4">
        <w:rPr>
          <w:rFonts w:asciiTheme="minorHAnsi" w:hAnsiTheme="minorHAnsi" w:cstheme="minorHAnsi"/>
          <w:sz w:val="24"/>
          <w:szCs w:val="24"/>
        </w:rPr>
        <w:t xml:space="preserve"> při dodržení podmínek ochrany přírody a krajiny</w:t>
      </w:r>
      <w:r w:rsidR="00897AF9" w:rsidRPr="00E058C4">
        <w:rPr>
          <w:rFonts w:asciiTheme="minorHAnsi" w:hAnsiTheme="minorHAnsi" w:cstheme="minorHAnsi"/>
          <w:color w:val="000000"/>
          <w:sz w:val="24"/>
          <w:szCs w:val="24"/>
        </w:rPr>
        <w:t>.</w:t>
      </w:r>
    </w:p>
    <w:p w:rsidR="00897AF9" w:rsidRPr="0092047B" w:rsidRDefault="00897AF9"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cs="Calibri"/>
          <w:color w:val="000000"/>
          <w:sz w:val="24"/>
          <w:szCs w:val="24"/>
        </w:rPr>
      </w:pPr>
      <w:r w:rsidRPr="0092047B">
        <w:rPr>
          <w:rFonts w:cs="Calibri"/>
          <w:color w:val="000000"/>
          <w:sz w:val="24"/>
          <w:szCs w:val="24"/>
        </w:rPr>
        <w:t>Zabezpečit finanční zdroje pro obnovu a rozvoj DS (motivační regulace pro provozovatele, stabilní a dlouhodobý regul</w:t>
      </w:r>
      <w:r w:rsidR="00343C92">
        <w:rPr>
          <w:rFonts w:cs="Calibri"/>
          <w:color w:val="000000"/>
          <w:sz w:val="24"/>
          <w:szCs w:val="24"/>
        </w:rPr>
        <w:t>ační rámec). Poplatky žadatelů o</w:t>
      </w:r>
      <w:r w:rsidRPr="0092047B">
        <w:rPr>
          <w:rFonts w:cs="Calibri"/>
          <w:color w:val="000000"/>
          <w:sz w:val="24"/>
          <w:szCs w:val="24"/>
        </w:rPr>
        <w:t xml:space="preserve"> připojení k DS nastavit jako motivační, které budou plnit roli lokačního signálu k připojování k DS podle jejích potřeb</w:t>
      </w:r>
      <w:r w:rsidR="000B0620" w:rsidRPr="0092047B">
        <w:rPr>
          <w:rFonts w:cs="Calibri"/>
          <w:color w:val="000000"/>
          <w:sz w:val="24"/>
          <w:szCs w:val="24"/>
        </w:rPr>
        <w:t xml:space="preserve"> s pokrytím významné části souvisejících nákladů</w:t>
      </w:r>
      <w:r w:rsidRPr="0092047B">
        <w:rPr>
          <w:rFonts w:cs="Calibri"/>
          <w:color w:val="000000"/>
          <w:sz w:val="24"/>
          <w:szCs w:val="24"/>
        </w:rPr>
        <w:t>.</w:t>
      </w:r>
    </w:p>
    <w:p w:rsidR="00897AF9" w:rsidRPr="0092047B" w:rsidRDefault="00897AF9"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cs="Calibri"/>
          <w:color w:val="000000"/>
          <w:sz w:val="24"/>
          <w:szCs w:val="24"/>
        </w:rPr>
      </w:pPr>
      <w:r w:rsidRPr="0092047B">
        <w:rPr>
          <w:rFonts w:cs="Calibri"/>
          <w:color w:val="000000"/>
          <w:sz w:val="24"/>
          <w:szCs w:val="24"/>
        </w:rPr>
        <w:t>Stimulovat rozvoj distribučních soustav a zajištění dostatku</w:t>
      </w:r>
      <w:r w:rsidR="00106D36">
        <w:rPr>
          <w:rFonts w:cs="Calibri"/>
          <w:color w:val="000000"/>
          <w:sz w:val="24"/>
          <w:szCs w:val="24"/>
        </w:rPr>
        <w:t xml:space="preserve"> jejich</w:t>
      </w:r>
      <w:r w:rsidRPr="0092047B">
        <w:rPr>
          <w:rFonts w:cs="Calibri"/>
          <w:color w:val="000000"/>
          <w:sz w:val="24"/>
          <w:szCs w:val="24"/>
        </w:rPr>
        <w:t xml:space="preserve"> kapacit pro nárůst spotřeby elektřiny v domácnostech a službách i pro požadavky na nové odběry v rámci rozvoje regionů. Do roku 2020 zajistit dostatek kapacit </w:t>
      </w:r>
      <w:r w:rsidR="00106D36">
        <w:rPr>
          <w:rFonts w:cs="Calibri"/>
          <w:color w:val="000000"/>
          <w:sz w:val="24"/>
          <w:szCs w:val="24"/>
        </w:rPr>
        <w:t xml:space="preserve">sítě </w:t>
      </w:r>
      <w:r w:rsidRPr="0092047B">
        <w:rPr>
          <w:rFonts w:cs="Calibri"/>
          <w:color w:val="000000"/>
          <w:sz w:val="24"/>
          <w:szCs w:val="24"/>
        </w:rPr>
        <w:t>a technické podmínky pro připojování nových decentralizovaných zdrojů a zajištění parametrů kvality elektřiny.</w:t>
      </w:r>
    </w:p>
    <w:p w:rsidR="00897AF9" w:rsidRPr="0092047B" w:rsidRDefault="00897AF9"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cs="Calibri"/>
          <w:color w:val="000000"/>
          <w:sz w:val="24"/>
          <w:szCs w:val="24"/>
        </w:rPr>
      </w:pPr>
      <w:r w:rsidRPr="0092047B">
        <w:rPr>
          <w:rFonts w:cs="Calibri"/>
          <w:color w:val="000000"/>
          <w:sz w:val="24"/>
          <w:szCs w:val="24"/>
        </w:rPr>
        <w:t xml:space="preserve">Provést obnovu a rozvoj distribučních sítí zajišťujících udržení bezpečnosti a spolehlivosti DS. Zajistit kapacitní rezervy </w:t>
      </w:r>
      <w:r w:rsidR="00106D36">
        <w:rPr>
          <w:rFonts w:cs="Calibri"/>
          <w:color w:val="000000"/>
          <w:sz w:val="24"/>
          <w:szCs w:val="24"/>
        </w:rPr>
        <w:t xml:space="preserve">sítě </w:t>
      </w:r>
      <w:r w:rsidRPr="0092047B">
        <w:rPr>
          <w:rFonts w:cs="Calibri"/>
          <w:color w:val="000000"/>
          <w:sz w:val="24"/>
          <w:szCs w:val="24"/>
        </w:rPr>
        <w:t>pro situace nárazového využívání elektřiny jako substitučního energetického zdroje v krizových případech.</w:t>
      </w:r>
    </w:p>
    <w:p w:rsidR="00897AF9" w:rsidRPr="0092047B" w:rsidRDefault="00897AF9"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cs="Calibri"/>
          <w:sz w:val="24"/>
          <w:szCs w:val="24"/>
        </w:rPr>
      </w:pPr>
      <w:r w:rsidRPr="0092047B">
        <w:rPr>
          <w:rFonts w:cs="Calibri"/>
          <w:color w:val="000000"/>
          <w:sz w:val="24"/>
          <w:szCs w:val="24"/>
        </w:rPr>
        <w:t>Podporovat a rozvíjet energetickou odolnost a schopnost DS zvládat vícenásobné výpadky kritických prvků infrastruktury, případně rozpad přenosové sítě a zajistit minimální úroveň dodávek elektřiny nezbytnou pro obyvatelstvo a kritickou infrastrukturu (formou posilování infrastruktury a ostrovních provozů u velkých aglomerací). V této souvislosti zajistit aktualizaci územních energetických koncepcí krajů tak, aby směřovaly k zabezpečení ostrovních provozů v havarijních situacích zejména pro velké městské aglomerace, a to především v lokalitách</w:t>
      </w:r>
      <w:r w:rsidRPr="0092047B">
        <w:rPr>
          <w:sz w:val="24"/>
          <w:szCs w:val="24"/>
        </w:rPr>
        <w:t xml:space="preserve"> s vyhovující strukturou zdrojů a spotřeby.</w:t>
      </w:r>
    </w:p>
    <w:p w:rsidR="00897AF9" w:rsidRPr="0092047B" w:rsidRDefault="00BB6F6C" w:rsidP="00184DC1">
      <w:pPr>
        <w:pStyle w:val="Odstavecseseznamem"/>
        <w:numPr>
          <w:ilvl w:val="1"/>
          <w:numId w:val="8"/>
        </w:numPr>
        <w:tabs>
          <w:tab w:val="clear" w:pos="792"/>
          <w:tab w:val="num" w:pos="1134"/>
        </w:tabs>
        <w:overflowPunct/>
        <w:spacing w:after="157" w:line="240" w:lineRule="auto"/>
        <w:ind w:left="1134" w:hanging="283"/>
        <w:contextualSpacing/>
        <w:textAlignment w:val="auto"/>
        <w:rPr>
          <w:rFonts w:cs="Calibri"/>
          <w:sz w:val="24"/>
          <w:szCs w:val="24"/>
        </w:rPr>
      </w:pPr>
      <w:r w:rsidRPr="0092047B">
        <w:rPr>
          <w:rFonts w:cs="Calibri"/>
          <w:color w:val="000000"/>
          <w:sz w:val="24"/>
          <w:szCs w:val="24"/>
        </w:rPr>
        <w:t xml:space="preserve">Realizovat Národní akční plán rozvoje inteligentních sítí. </w:t>
      </w:r>
      <w:r w:rsidR="00897AF9" w:rsidRPr="0092047B">
        <w:rPr>
          <w:rFonts w:cs="Calibri"/>
          <w:color w:val="000000"/>
          <w:sz w:val="24"/>
          <w:szCs w:val="24"/>
        </w:rPr>
        <w:t>Implementovat soubor nástrojů umožňujících zapojení spotřeby i distribuované výroby elektřiny do decentralizovaného řízení a regulace soustavy (řízení malých domácích a lokálních zdrojů, selektivní řízení skupin spotřebičů, řízení akumulačních možností elektromobilů</w:t>
      </w:r>
      <w:r w:rsidR="004A0EAA">
        <w:rPr>
          <w:rFonts w:cs="Calibri"/>
          <w:color w:val="000000"/>
          <w:sz w:val="24"/>
          <w:szCs w:val="24"/>
        </w:rPr>
        <w:t>, virtuální elektrárny</w:t>
      </w:r>
      <w:r w:rsidR="00897AF9" w:rsidRPr="0092047B">
        <w:rPr>
          <w:rFonts w:cs="Calibri"/>
          <w:color w:val="000000"/>
          <w:sz w:val="24"/>
          <w:szCs w:val="24"/>
        </w:rPr>
        <w:t xml:space="preserve"> atd.). V této souvislosti připravit vhodný systém technického řízení, regulace a cenotvorných a tarifních mechanismů stimulující účast decentralizovaných zdrojů výroby a lokální spotřeby na řízení rovnováhy elektrizační soustavy.</w:t>
      </w:r>
    </w:p>
    <w:p w:rsidR="00897AF9" w:rsidRPr="0092047B" w:rsidRDefault="00897AF9" w:rsidP="0068563D">
      <w:pPr>
        <w:pStyle w:val="Odstavecseseznamem"/>
        <w:numPr>
          <w:ilvl w:val="1"/>
          <w:numId w:val="8"/>
        </w:numPr>
        <w:tabs>
          <w:tab w:val="clear" w:pos="792"/>
          <w:tab w:val="num" w:pos="1134"/>
        </w:tabs>
        <w:overflowPunct/>
        <w:spacing w:after="240" w:line="240" w:lineRule="auto"/>
        <w:ind w:left="1135" w:hanging="284"/>
        <w:contextualSpacing/>
        <w:textAlignment w:val="auto"/>
        <w:rPr>
          <w:rFonts w:cs="Calibri"/>
          <w:sz w:val="24"/>
          <w:szCs w:val="24"/>
        </w:rPr>
      </w:pPr>
      <w:r w:rsidRPr="0092047B">
        <w:rPr>
          <w:rFonts w:cs="Calibri"/>
          <w:sz w:val="24"/>
          <w:szCs w:val="24"/>
        </w:rPr>
        <w:t>Zajistit územní ochranu</w:t>
      </w:r>
      <w:r w:rsidR="009764F5" w:rsidRPr="0092047B">
        <w:rPr>
          <w:rFonts w:cs="Calibri"/>
          <w:sz w:val="24"/>
          <w:szCs w:val="24"/>
        </w:rPr>
        <w:t xml:space="preserve"> ploch a</w:t>
      </w:r>
      <w:r w:rsidR="00DC46B0">
        <w:rPr>
          <w:rFonts w:cs="Calibri"/>
          <w:sz w:val="24"/>
          <w:szCs w:val="24"/>
        </w:rPr>
        <w:t xml:space="preserve"> koridorů pro rozvoj </w:t>
      </w:r>
      <w:r w:rsidR="009E40F9">
        <w:rPr>
          <w:rFonts w:cs="Calibri"/>
          <w:sz w:val="24"/>
          <w:szCs w:val="24"/>
        </w:rPr>
        <w:t>D</w:t>
      </w:r>
      <w:r w:rsidRPr="0092047B">
        <w:rPr>
          <w:rFonts w:cs="Calibri"/>
          <w:sz w:val="24"/>
          <w:szCs w:val="24"/>
        </w:rPr>
        <w:t xml:space="preserve">S prostřednictvím Politiky územního rozvoje ČR a Zásad územního rozvoje jednotlivých krajů. </w:t>
      </w:r>
    </w:p>
    <w:p w:rsidR="00897AF9" w:rsidRPr="0092047B" w:rsidRDefault="00897AF9" w:rsidP="00184DC1">
      <w:pPr>
        <w:pStyle w:val="Nadpis2"/>
      </w:pPr>
      <w:bookmarkStart w:id="799" w:name="_Toc396923395"/>
      <w:r w:rsidRPr="0092047B">
        <w:t>Plynárenství</w:t>
      </w:r>
      <w:bookmarkEnd w:id="799"/>
    </w:p>
    <w:p w:rsidR="00897AF9" w:rsidRPr="0092047B" w:rsidRDefault="00897AF9" w:rsidP="0068563D">
      <w:pPr>
        <w:pStyle w:val="Bezmezer"/>
        <w:spacing w:before="240" w:after="120"/>
        <w:rPr>
          <w:b/>
          <w:sz w:val="24"/>
          <w:szCs w:val="24"/>
        </w:rPr>
      </w:pPr>
      <w:r w:rsidRPr="0092047B">
        <w:rPr>
          <w:b/>
          <w:sz w:val="24"/>
          <w:szCs w:val="24"/>
        </w:rPr>
        <w:t xml:space="preserve">Vize </w:t>
      </w:r>
    </w:p>
    <w:p w:rsidR="00897AF9" w:rsidRPr="0092047B" w:rsidRDefault="00897AF9" w:rsidP="0068563D">
      <w:pPr>
        <w:spacing w:before="120" w:after="120"/>
      </w:pPr>
      <w:r w:rsidRPr="0092047B">
        <w:t xml:space="preserve">Zemní plyn je v období do roku 2040 významným zdrojem, který umožní postupný přechod od užití tuhých paliv v konečné spotřebě a malých </w:t>
      </w:r>
      <w:r w:rsidRPr="0092047B">
        <w:rPr>
          <w:rFonts w:ascii="Calibri" w:eastAsia="Calibri" w:hAnsi="Calibri"/>
          <w:color w:val="000000" w:themeColor="text1"/>
        </w:rPr>
        <w:t>soustavách zásobování teplem</w:t>
      </w:r>
      <w:r w:rsidRPr="0092047B">
        <w:t>, částečné vyrovnání výpadku dodávek z dožívající uhelné energetiky a částečný odchod od kapalných paliv v dopravě. Udržení bezpečnosti dodávek bude zajištěno diverzifikací zdrojů a dopravních tras a </w:t>
      </w:r>
      <w:r w:rsidR="00F7215E">
        <w:t>rozvojem</w:t>
      </w:r>
      <w:r w:rsidRPr="0092047B">
        <w:t xml:space="preserve"> kapacit zásobníků</w:t>
      </w:r>
      <w:r w:rsidR="00F7215E">
        <w:t xml:space="preserve"> v souladu s prioritou PV.6</w:t>
      </w:r>
      <w:r w:rsidRPr="0092047B">
        <w:t>. Jeho užití rovněž usnadní dosažení deklarovaných cílů snižování emisního zatížení v ČR.</w:t>
      </w:r>
    </w:p>
    <w:p w:rsidR="00897AF9" w:rsidRPr="0092047B" w:rsidRDefault="000B0620" w:rsidP="0068563D">
      <w:pPr>
        <w:spacing w:before="120" w:after="120"/>
        <w:rPr>
          <w:rFonts w:cstheme="minorHAnsi"/>
          <w:bCs/>
        </w:rPr>
      </w:pPr>
      <w:r w:rsidRPr="0092047B">
        <w:rPr>
          <w:rFonts w:cstheme="minorHAnsi"/>
          <w:bCs/>
        </w:rPr>
        <w:t>V</w:t>
      </w:r>
      <w:r w:rsidR="00897AF9" w:rsidRPr="0092047B">
        <w:rPr>
          <w:rFonts w:cstheme="minorHAnsi"/>
          <w:bCs/>
        </w:rPr>
        <w:t>zhledem k očekávanému většímu využití plynu v energetice a dopravě je možné v budoucnu předpokládat další nárůst</w:t>
      </w:r>
      <w:r w:rsidR="00DC46B0">
        <w:rPr>
          <w:rFonts w:cstheme="minorHAnsi"/>
          <w:bCs/>
        </w:rPr>
        <w:t xml:space="preserve"> jeho spotřeby</w:t>
      </w:r>
      <w:r w:rsidR="00897AF9" w:rsidRPr="0092047B">
        <w:rPr>
          <w:rFonts w:cstheme="minorHAnsi"/>
          <w:bCs/>
        </w:rPr>
        <w:t xml:space="preserve">. Plynové elektrárny s rychlým startem nahradí kolísání výroby elektřiny z OZE. </w:t>
      </w:r>
      <w:r w:rsidR="00343C92" w:rsidRPr="0092047B">
        <w:rPr>
          <w:rFonts w:cstheme="minorHAnsi"/>
          <w:bCs/>
        </w:rPr>
        <w:t xml:space="preserve">V souvislosti s výstavbou plnicích stanic CNG se očekává rozšíření </w:t>
      </w:r>
      <w:r w:rsidR="00343C92">
        <w:rPr>
          <w:rFonts w:cstheme="minorHAnsi"/>
          <w:bCs/>
        </w:rPr>
        <w:t xml:space="preserve">využití </w:t>
      </w:r>
      <w:r w:rsidR="00343C92" w:rsidRPr="0092047B">
        <w:rPr>
          <w:rFonts w:cstheme="minorHAnsi"/>
          <w:bCs/>
        </w:rPr>
        <w:t xml:space="preserve">vozidel s pohonem na stlačený zemní plyn CNG </w:t>
      </w:r>
      <w:r w:rsidR="00343C92">
        <w:rPr>
          <w:rFonts w:cstheme="minorHAnsi"/>
          <w:bCs/>
        </w:rPr>
        <w:t>v</w:t>
      </w:r>
      <w:r w:rsidR="00343C92" w:rsidRPr="0092047B">
        <w:rPr>
          <w:rFonts w:cstheme="minorHAnsi"/>
          <w:bCs/>
        </w:rPr>
        <w:t> městské hromadné doprav</w:t>
      </w:r>
      <w:r w:rsidR="00343C92">
        <w:rPr>
          <w:rFonts w:cstheme="minorHAnsi"/>
          <w:bCs/>
        </w:rPr>
        <w:t>ě</w:t>
      </w:r>
      <w:r w:rsidR="00343C92" w:rsidRPr="0092047B">
        <w:rPr>
          <w:rFonts w:cstheme="minorHAnsi"/>
          <w:bCs/>
        </w:rPr>
        <w:t>, komunálních vozidel pro svoz odpadu a dalších, včetně pořízení vozidel na CNG pro vozový park velkých podniků.</w:t>
      </w:r>
    </w:p>
    <w:p w:rsidR="00897AF9" w:rsidRPr="0092047B" w:rsidRDefault="00897AF9" w:rsidP="0068563D">
      <w:pPr>
        <w:spacing w:before="120"/>
        <w:rPr>
          <w:rFonts w:cstheme="minorHAnsi"/>
          <w:bCs/>
        </w:rPr>
      </w:pPr>
      <w:r w:rsidRPr="0092047B">
        <w:rPr>
          <w:rFonts w:cstheme="minorHAnsi"/>
          <w:bCs/>
        </w:rPr>
        <w:t>Pro zajištění bezpečnosti a spolehlivosti dodávek bude nutné zajistit udržení požadavků na stávající úrovni bezpečnostního standardu infrastruktury (N-1) a požadavky na zajištění bezpečnostních standardů dodávek. Po dostavbě plynovodu Gazela</w:t>
      </w:r>
      <w:r w:rsidR="002A5E94" w:rsidRPr="0092047B">
        <w:rPr>
          <w:rFonts w:cstheme="minorHAnsi"/>
          <w:bCs/>
        </w:rPr>
        <w:t xml:space="preserve"> a následně plynovodů STORK II a BACI</w:t>
      </w:r>
      <w:r w:rsidRPr="0092047B">
        <w:rPr>
          <w:rFonts w:cstheme="minorHAnsi"/>
          <w:bCs/>
        </w:rPr>
        <w:t xml:space="preserve"> se těžiště tranzitní přepravy v České republice přenese ze směru východ-západ do směru sever-jih. Stávající trasa přes Lanžhot bude pravděpodobně využívána především pro zásobování domácího trhu, a proto budeme podporovat realizaci plynovodu propojujícího českou a rakouskou soustavu, kudy by mohl proudit plyn z vybudovaného jižního koridoru. Rovněž budeme podporovat výstavbu severojižního plynárenského koridoru, který by měl spojit budoucí LNG terminály </w:t>
      </w:r>
      <w:r w:rsidRPr="0092047B">
        <w:rPr>
          <w:rStyle w:val="Zvraznn"/>
          <w:rFonts w:cstheme="minorHAnsi"/>
          <w:i w:val="0"/>
        </w:rPr>
        <w:t>Świnoujście</w:t>
      </w:r>
      <w:r w:rsidRPr="0092047B">
        <w:rPr>
          <w:rFonts w:cstheme="minorHAnsi"/>
          <w:bCs/>
        </w:rPr>
        <w:t xml:space="preserve"> v Polsku a LNG na jihu Evropy (např. LNG Adria v Chorvatsku) přes Polsko, Českou republiku, Slovensko, Maďarsko a Chorvatsko. V rámci tohoto projektu by se měla uskutečnit výstavba plynovodu Stork II do Polska, který by měl umožnit zásobování zemním plynem z LNG terminálu </w:t>
      </w:r>
      <w:r w:rsidRPr="0092047B">
        <w:rPr>
          <w:rStyle w:val="Zvraznn"/>
          <w:rFonts w:cstheme="minorHAnsi"/>
          <w:i w:val="0"/>
        </w:rPr>
        <w:t>Świnoujście</w:t>
      </w:r>
      <w:r w:rsidRPr="0092047B">
        <w:rPr>
          <w:rFonts w:cstheme="minorHAnsi"/>
          <w:bCs/>
        </w:rPr>
        <w:t>. Dále by mělo proběhnout posílení přepravní infrastruktury mezi severní a jižní Moravou pomocí projektu Moravia, který reaguje na zvýšené požadavky na bezpečnost dodávek ze  zásobníků plynu a pokrývá i případné vybudování nových a přechod stávajících průmyslových zařízení, elektrárenských a teplárenských z</w:t>
      </w:r>
      <w:r w:rsidR="00343C92">
        <w:rPr>
          <w:rFonts w:cstheme="minorHAnsi"/>
          <w:bCs/>
        </w:rPr>
        <w:t>drojů na zemní plyn, jako nízko-</w:t>
      </w:r>
      <w:r w:rsidRPr="0092047B">
        <w:rPr>
          <w:rFonts w:cstheme="minorHAnsi"/>
          <w:bCs/>
        </w:rPr>
        <w:t>emisní palivo.</w:t>
      </w:r>
      <w:r w:rsidR="00E92066">
        <w:rPr>
          <w:rFonts w:ascii="Calibri" w:hAnsi="Calibri" w:cs="Calibri"/>
        </w:rPr>
        <w:t xml:space="preserve"> Plánován je také p</w:t>
      </w:r>
      <w:r w:rsidR="00E92066" w:rsidRPr="00E92066">
        <w:rPr>
          <w:rFonts w:ascii="Calibri" w:hAnsi="Calibri" w:cs="Calibri"/>
        </w:rPr>
        <w:t>rojekt propoje</w:t>
      </w:r>
      <w:r w:rsidR="00E92066">
        <w:rPr>
          <w:rFonts w:ascii="Calibri" w:hAnsi="Calibri" w:cs="Calibri"/>
        </w:rPr>
        <w:t>ní</w:t>
      </w:r>
      <w:r w:rsidR="00E92066" w:rsidRPr="00E92066">
        <w:rPr>
          <w:rFonts w:ascii="Calibri" w:hAnsi="Calibri" w:cs="Calibri"/>
        </w:rPr>
        <w:t xml:space="preserve"> na Oberkappel</w:t>
      </w:r>
      <w:r w:rsidR="00E92066">
        <w:rPr>
          <w:rFonts w:ascii="Calibri" w:hAnsi="Calibri" w:cs="Calibri"/>
        </w:rPr>
        <w:t>,</w:t>
      </w:r>
      <w:r w:rsidR="00E92066" w:rsidRPr="00E92066">
        <w:rPr>
          <w:rFonts w:ascii="Calibri" w:hAnsi="Calibri" w:cs="Calibri"/>
        </w:rPr>
        <w:t xml:space="preserve"> </w:t>
      </w:r>
      <w:r w:rsidR="00E92066">
        <w:rPr>
          <w:rFonts w:ascii="Calibri" w:hAnsi="Calibri" w:cs="Calibri"/>
        </w:rPr>
        <w:t xml:space="preserve">který by znamenal </w:t>
      </w:r>
      <w:r w:rsidR="00515344">
        <w:rPr>
          <w:rFonts w:ascii="Calibri" w:hAnsi="Calibri" w:cs="Calibri"/>
        </w:rPr>
        <w:t xml:space="preserve">další </w:t>
      </w:r>
      <w:r w:rsidR="00E92066" w:rsidRPr="00E92066">
        <w:rPr>
          <w:rFonts w:ascii="Calibri" w:hAnsi="Calibri" w:cs="Calibri"/>
        </w:rPr>
        <w:t>přímé propojení české a</w:t>
      </w:r>
      <w:r w:rsidR="00E92066">
        <w:rPr>
          <w:rFonts w:ascii="Calibri" w:hAnsi="Calibri" w:cs="Calibri"/>
        </w:rPr>
        <w:t> </w:t>
      </w:r>
      <w:r w:rsidR="00E92066" w:rsidRPr="00E92066">
        <w:rPr>
          <w:rFonts w:ascii="Calibri" w:hAnsi="Calibri" w:cs="Calibri"/>
        </w:rPr>
        <w:t>rakouské přepravní soustavy.</w:t>
      </w:r>
    </w:p>
    <w:p w:rsidR="00897AF9" w:rsidRPr="0092047B" w:rsidRDefault="00897AF9" w:rsidP="0068563D">
      <w:pPr>
        <w:pStyle w:val="Zkladntext"/>
        <w:keepNext/>
        <w:spacing w:before="240" w:after="120"/>
        <w:contextualSpacing/>
        <w:rPr>
          <w:rFonts w:cstheme="minorHAnsi"/>
          <w:b/>
          <w:bCs/>
        </w:rPr>
      </w:pPr>
      <w:r w:rsidRPr="0092047B">
        <w:rPr>
          <w:rFonts w:cstheme="minorHAnsi"/>
          <w:b/>
          <w:bCs/>
        </w:rPr>
        <w:t>Hlavní cíle:</w:t>
      </w:r>
    </w:p>
    <w:p w:rsidR="00897AF9" w:rsidRPr="0092047B" w:rsidRDefault="00897AF9" w:rsidP="0068563D">
      <w:pPr>
        <w:keepLines/>
        <w:numPr>
          <w:ilvl w:val="2"/>
          <w:numId w:val="50"/>
        </w:numPr>
        <w:spacing w:before="120"/>
        <w:ind w:left="1134" w:hanging="709"/>
        <w:contextualSpacing/>
        <w:rPr>
          <w:rFonts w:ascii="Calibri" w:hAnsi="Calibri" w:cs="Calibri"/>
        </w:rPr>
      </w:pPr>
      <w:r w:rsidRPr="0092047B">
        <w:rPr>
          <w:rFonts w:ascii="Calibri" w:hAnsi="Calibri" w:cs="Calibri"/>
        </w:rPr>
        <w:t>Udržet tranzitní roli ČR v oblasti přepravy zemního plynu a posílit přeshraniční propojení plynárenské soustavy v severojižním směru, a to na západě jednak pomocí plynovodu Gazela a dále také s rakouskou soustavou. Na východě pak se soustavami v Polsku a Rakousku prostřednictvím severojižního propojení.</w:t>
      </w:r>
    </w:p>
    <w:p w:rsidR="00897AF9" w:rsidRPr="0092047B" w:rsidRDefault="00897AF9" w:rsidP="00184DC1">
      <w:pPr>
        <w:numPr>
          <w:ilvl w:val="2"/>
          <w:numId w:val="50"/>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Podporovat vyšší diverzifikaci dodávek plynu z různých zdrojů a různými dopravními cestami, která posílí bezpečnost a spolehlivost zásobování i v případě havárií či obchodních a politických krizí. To znamená s pozice státu maximálně využívat legislativní nástroje a ekonomickou diplomacii s cílem zachování míry diverzifikace dodávek na minimálně stejné úrovni jako v současnosti.</w:t>
      </w:r>
    </w:p>
    <w:p w:rsidR="00897AF9" w:rsidRPr="0092047B" w:rsidRDefault="00897AF9" w:rsidP="00184DC1">
      <w:pPr>
        <w:numPr>
          <w:ilvl w:val="2"/>
          <w:numId w:val="50"/>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Podporovat využití současné kapacity zásobníků plynu na území ČR a zvýšení těžebn</w:t>
      </w:r>
      <w:r w:rsidR="001E7F95">
        <w:rPr>
          <w:rFonts w:ascii="Calibri" w:hAnsi="Calibri" w:cs="Calibri"/>
        </w:rPr>
        <w:t xml:space="preserve">í kapacity garantované po dobu dvou </w:t>
      </w:r>
      <w:r w:rsidRPr="0092047B">
        <w:rPr>
          <w:rFonts w:ascii="Calibri" w:hAnsi="Calibri" w:cs="Calibri"/>
        </w:rPr>
        <w:t>měsíc</w:t>
      </w:r>
      <w:r w:rsidR="001E7F95">
        <w:rPr>
          <w:rFonts w:ascii="Calibri" w:hAnsi="Calibri" w:cs="Calibri"/>
        </w:rPr>
        <w:t>ů</w:t>
      </w:r>
      <w:r w:rsidRPr="0092047B">
        <w:rPr>
          <w:rFonts w:ascii="Calibri" w:hAnsi="Calibri" w:cs="Calibri"/>
        </w:rPr>
        <w:t xml:space="preserve"> alespoň na 70 % </w:t>
      </w:r>
      <w:r w:rsidR="00F7215E">
        <w:rPr>
          <w:rFonts w:ascii="Calibri" w:hAnsi="Calibri" w:cs="Calibri"/>
        </w:rPr>
        <w:t>špičkové</w:t>
      </w:r>
      <w:r w:rsidR="00F7215E" w:rsidRPr="0092047B">
        <w:rPr>
          <w:rFonts w:ascii="Calibri" w:hAnsi="Calibri" w:cs="Calibri"/>
        </w:rPr>
        <w:t xml:space="preserve"> </w:t>
      </w:r>
      <w:r w:rsidRPr="0092047B">
        <w:rPr>
          <w:rFonts w:ascii="Calibri" w:hAnsi="Calibri" w:cs="Calibri"/>
        </w:rPr>
        <w:t>denní spotřeby v zimním období.</w:t>
      </w:r>
    </w:p>
    <w:p w:rsidR="00897AF9" w:rsidRPr="0092047B" w:rsidRDefault="00897AF9" w:rsidP="00184DC1">
      <w:pPr>
        <w:numPr>
          <w:ilvl w:val="2"/>
          <w:numId w:val="50"/>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Formou bezpečnostního standardu pro infrastrukturu zajistit další propojování tuzemské soustavy se zahraničními soustavami (včetně možností jejich reverzního toku) a využití zásobníků plynu (a to včetně zvyšování parametru maximálního denního těžebního výkonu). Prostřednictvím stanovení a důsledné kontroly prokazování povinnosti držení nouzových zásob zajistit dostupnost dodávek plynu pro chráněné zákazníky, a to i v nouzových situacích.</w:t>
      </w:r>
    </w:p>
    <w:p w:rsidR="00897AF9" w:rsidRPr="0092047B" w:rsidRDefault="00897AF9" w:rsidP="00184DC1">
      <w:pPr>
        <w:numPr>
          <w:ilvl w:val="2"/>
          <w:numId w:val="50"/>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 xml:space="preserve">Prosazování tržních mechanismů vylučujících významný vliv tržních deformací (subvencí, administrativních </w:t>
      </w:r>
      <w:r w:rsidR="004A0EAA">
        <w:rPr>
          <w:rFonts w:ascii="Calibri" w:hAnsi="Calibri" w:cs="Calibri"/>
        </w:rPr>
        <w:t>omezení a bariér) na cenu plynu, integrace trhu s plynem do roku 2020.</w:t>
      </w:r>
    </w:p>
    <w:p w:rsidR="00897AF9" w:rsidRPr="00E058C4" w:rsidRDefault="00E058C4" w:rsidP="00184DC1">
      <w:pPr>
        <w:numPr>
          <w:ilvl w:val="2"/>
          <w:numId w:val="50"/>
        </w:numPr>
        <w:autoSpaceDE w:val="0"/>
        <w:autoSpaceDN w:val="0"/>
        <w:adjustRightInd w:val="0"/>
        <w:spacing w:before="120" w:after="157"/>
        <w:ind w:left="1134" w:hanging="708"/>
        <w:contextualSpacing/>
        <w:rPr>
          <w:rFonts w:cstheme="minorHAnsi"/>
        </w:rPr>
      </w:pPr>
      <w:r w:rsidRPr="00E058C4">
        <w:rPr>
          <w:rFonts w:cstheme="minorHAnsi"/>
          <w:color w:val="000000"/>
        </w:rPr>
        <w:t>Minimalizovat souhrnnou dobu</w:t>
      </w:r>
      <w:r w:rsidR="00BC50A4" w:rsidRPr="00E058C4">
        <w:rPr>
          <w:rFonts w:cstheme="minorHAnsi"/>
          <w:color w:val="000000"/>
        </w:rPr>
        <w:t xml:space="preserve"> povolovací</w:t>
      </w:r>
      <w:r w:rsidRPr="00E058C4">
        <w:rPr>
          <w:rFonts w:cstheme="minorHAnsi"/>
          <w:color w:val="000000"/>
        </w:rPr>
        <w:t>ch</w:t>
      </w:r>
      <w:r w:rsidR="00BC50A4" w:rsidRPr="00E058C4">
        <w:rPr>
          <w:rFonts w:cstheme="minorHAnsi"/>
          <w:color w:val="000000"/>
        </w:rPr>
        <w:t xml:space="preserve"> procedur</w:t>
      </w:r>
      <w:r w:rsidR="00897AF9" w:rsidRPr="00E058C4">
        <w:rPr>
          <w:rFonts w:cstheme="minorHAnsi"/>
        </w:rPr>
        <w:t xml:space="preserve"> výstavby liniových staveb, zajistit přístup k pozemkům pro klíčovou infrastrukturu a zabezpečit finanční zdroje pro obnovu a rozvoj přepravní soustavy</w:t>
      </w:r>
      <w:r w:rsidRPr="00E058C4">
        <w:rPr>
          <w:rFonts w:cstheme="minorHAnsi"/>
        </w:rPr>
        <w:t xml:space="preserve"> při dodržení podmínek ochrany přírody a krajiny</w:t>
      </w:r>
      <w:r w:rsidR="00897AF9" w:rsidRPr="00E058C4">
        <w:rPr>
          <w:rFonts w:cstheme="minorHAnsi"/>
        </w:rPr>
        <w:t>.</w:t>
      </w:r>
    </w:p>
    <w:p w:rsidR="00897AF9" w:rsidRPr="0092047B" w:rsidRDefault="00897AF9" w:rsidP="00184DC1">
      <w:pPr>
        <w:numPr>
          <w:ilvl w:val="2"/>
          <w:numId w:val="50"/>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Zajistit včasnou připravenost přepravní soustavy ke spolehlivému připojení nových plynových zdrojů.</w:t>
      </w:r>
    </w:p>
    <w:p w:rsidR="00897AF9" w:rsidRPr="0092047B" w:rsidRDefault="00897AF9" w:rsidP="00184DC1">
      <w:pPr>
        <w:numPr>
          <w:ilvl w:val="2"/>
          <w:numId w:val="50"/>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Vysoká míra provozní spolupráce a postupná integrace činností provozovatelů přepravních soustav v regionu střední Evropy. Společné havarijní procedury a plně integrované postupy řešení případných krizových situací na úrovni regionu.</w:t>
      </w:r>
    </w:p>
    <w:p w:rsidR="00897AF9" w:rsidRPr="0092047B" w:rsidRDefault="00897AF9" w:rsidP="0068563D">
      <w:pPr>
        <w:numPr>
          <w:ilvl w:val="2"/>
          <w:numId w:val="50"/>
        </w:numPr>
        <w:autoSpaceDE w:val="0"/>
        <w:autoSpaceDN w:val="0"/>
        <w:adjustRightInd w:val="0"/>
        <w:spacing w:before="120"/>
        <w:ind w:left="1134" w:hanging="709"/>
        <w:contextualSpacing/>
        <w:rPr>
          <w:rFonts w:ascii="Calibri" w:hAnsi="Calibri" w:cs="Calibri"/>
        </w:rPr>
      </w:pPr>
      <w:r w:rsidRPr="0092047B">
        <w:rPr>
          <w:rFonts w:ascii="Calibri" w:hAnsi="Calibri" w:cs="Calibri"/>
        </w:rPr>
        <w:t>Provést obnovu a rozvoj distribučních sítí zajišťujících udržení spolehlivosti distribučních soustav.</w:t>
      </w:r>
    </w:p>
    <w:p w:rsidR="00897AF9" w:rsidRPr="0092047B" w:rsidRDefault="00897AF9" w:rsidP="0068563D">
      <w:pPr>
        <w:pStyle w:val="Zkladntext"/>
        <w:spacing w:before="240" w:after="120"/>
        <w:rPr>
          <w:rFonts w:cstheme="minorHAnsi"/>
          <w:bCs/>
          <w:u w:val="single"/>
        </w:rPr>
      </w:pPr>
      <w:r w:rsidRPr="0092047B">
        <w:rPr>
          <w:rFonts w:cstheme="minorHAnsi"/>
          <w:bCs/>
          <w:u w:val="single"/>
        </w:rPr>
        <w:t>Dílčí cíle a jejich specifikace v jednotlivých oblastech</w:t>
      </w:r>
    </w:p>
    <w:p w:rsidR="00897AF9" w:rsidRPr="0092047B" w:rsidRDefault="00897AF9" w:rsidP="0068563D">
      <w:pPr>
        <w:numPr>
          <w:ilvl w:val="0"/>
          <w:numId w:val="52"/>
        </w:numPr>
        <w:spacing w:before="120" w:after="120"/>
        <w:ind w:left="567" w:hanging="357"/>
        <w:rPr>
          <w:rFonts w:cstheme="minorHAnsi"/>
          <w:b/>
        </w:rPr>
      </w:pPr>
      <w:r w:rsidRPr="0092047B">
        <w:rPr>
          <w:rFonts w:cstheme="minorHAnsi"/>
          <w:b/>
        </w:rPr>
        <w:t>Diverzifikace přepravních tras</w:t>
      </w:r>
    </w:p>
    <w:p w:rsidR="00897AF9" w:rsidRPr="0092047B" w:rsidRDefault="00897AF9" w:rsidP="00184DC1">
      <w:pPr>
        <w:numPr>
          <w:ilvl w:val="1"/>
          <w:numId w:val="51"/>
        </w:numPr>
        <w:autoSpaceDE w:val="0"/>
        <w:autoSpaceDN w:val="0"/>
        <w:adjustRightInd w:val="0"/>
        <w:spacing w:before="120" w:after="157"/>
        <w:ind w:left="1134" w:hanging="708"/>
        <w:contextualSpacing/>
        <w:rPr>
          <w:rFonts w:cstheme="minorHAnsi"/>
        </w:rPr>
      </w:pPr>
      <w:r w:rsidRPr="0092047B">
        <w:rPr>
          <w:rFonts w:cstheme="minorHAnsi"/>
        </w:rPr>
        <w:t>Sledovat perspektivní možnosti dodávek plynu z terminálů LNG budovaných v Polsku a Chorvatsku, ze zdrojů z oblasti Kaspického moře, případně ze zdrojů břidlicového plynu v Polsku, budou-li využívány.</w:t>
      </w:r>
      <w:r w:rsidR="00BB6F6C" w:rsidRPr="0092047B">
        <w:rPr>
          <w:rFonts w:cstheme="minorHAnsi"/>
        </w:rPr>
        <w:t xml:space="preserve"> </w:t>
      </w:r>
      <w:r w:rsidR="00BB6F6C" w:rsidRPr="0092047B">
        <w:t>Realizovat severojižní koridor na území ČR a podpořit dokončení celého severojižního propojení</w:t>
      </w:r>
      <w:r w:rsidR="00343C92">
        <w:t>.</w:t>
      </w:r>
    </w:p>
    <w:p w:rsidR="00897AF9" w:rsidRPr="0092047B" w:rsidRDefault="00897AF9" w:rsidP="00184DC1">
      <w:pPr>
        <w:numPr>
          <w:ilvl w:val="1"/>
          <w:numId w:val="51"/>
        </w:numPr>
        <w:autoSpaceDE w:val="0"/>
        <w:autoSpaceDN w:val="0"/>
        <w:adjustRightInd w:val="0"/>
        <w:spacing w:after="0"/>
        <w:ind w:left="1134" w:hanging="709"/>
        <w:rPr>
          <w:rFonts w:cstheme="minorHAnsi"/>
        </w:rPr>
      </w:pPr>
      <w:r w:rsidRPr="0092047B">
        <w:rPr>
          <w:rFonts w:cstheme="minorHAnsi"/>
        </w:rPr>
        <w:t>Podporovat zajištění trvalé schopnosti reverzního chodu přepravní soustavy.</w:t>
      </w:r>
    </w:p>
    <w:p w:rsidR="00897AF9" w:rsidRPr="0092047B" w:rsidRDefault="00897AF9" w:rsidP="0068563D">
      <w:pPr>
        <w:numPr>
          <w:ilvl w:val="0"/>
          <w:numId w:val="51"/>
        </w:numPr>
        <w:autoSpaceDE w:val="0"/>
        <w:autoSpaceDN w:val="0"/>
        <w:adjustRightInd w:val="0"/>
        <w:spacing w:before="120" w:after="120"/>
        <w:ind w:left="567" w:hanging="357"/>
        <w:rPr>
          <w:rFonts w:cstheme="minorHAnsi"/>
          <w:b/>
          <w:vanish/>
        </w:rPr>
      </w:pPr>
      <w:r w:rsidRPr="0092047B">
        <w:rPr>
          <w:rFonts w:cstheme="minorHAnsi"/>
          <w:b/>
        </w:rPr>
        <w:t>Diverzifikace dodávek</w:t>
      </w:r>
    </w:p>
    <w:p w:rsidR="00897AF9" w:rsidRPr="0092047B" w:rsidRDefault="00897AF9" w:rsidP="0068563D">
      <w:pPr>
        <w:numPr>
          <w:ilvl w:val="1"/>
          <w:numId w:val="51"/>
        </w:numPr>
        <w:autoSpaceDE w:val="0"/>
        <w:autoSpaceDN w:val="0"/>
        <w:adjustRightInd w:val="0"/>
        <w:spacing w:before="120" w:after="120"/>
        <w:ind w:left="1134" w:hanging="709"/>
        <w:rPr>
          <w:rFonts w:cstheme="minorHAnsi"/>
        </w:rPr>
      </w:pPr>
      <w:r w:rsidRPr="0092047B">
        <w:rPr>
          <w:rFonts w:cstheme="minorHAnsi"/>
        </w:rPr>
        <w:t xml:space="preserve"> - Podporovat zajištění </w:t>
      </w:r>
      <w:r w:rsidR="002A5E94" w:rsidRPr="0092047B">
        <w:rPr>
          <w:rFonts w:cstheme="minorHAnsi"/>
        </w:rPr>
        <w:t xml:space="preserve">diverzifikovaných </w:t>
      </w:r>
      <w:r w:rsidRPr="0092047B">
        <w:rPr>
          <w:rFonts w:cstheme="minorHAnsi"/>
        </w:rPr>
        <w:t>dodávek zemního plynu v narůstajícím objemu (z dnešních 8 mld. m</w:t>
      </w:r>
      <w:r w:rsidRPr="0092047B">
        <w:rPr>
          <w:rFonts w:cstheme="minorHAnsi"/>
          <w:vertAlign w:val="superscript"/>
        </w:rPr>
        <w:t>3</w:t>
      </w:r>
      <w:r w:rsidRPr="0092047B">
        <w:rPr>
          <w:rFonts w:cstheme="minorHAnsi"/>
        </w:rPr>
        <w:t xml:space="preserve"> až na cca 11 mld. m</w:t>
      </w:r>
      <w:r w:rsidRPr="0092047B">
        <w:rPr>
          <w:rFonts w:cstheme="minorHAnsi"/>
          <w:vertAlign w:val="superscript"/>
        </w:rPr>
        <w:t>3</w:t>
      </w:r>
      <w:r w:rsidRPr="0092047B">
        <w:rPr>
          <w:rFonts w:cstheme="minorHAnsi"/>
        </w:rPr>
        <w:t xml:space="preserve"> k roku 2040) pro rozšířené užití v průmyslu, dopravě a při výrobě elektřiny.</w:t>
      </w:r>
    </w:p>
    <w:p w:rsidR="00897AF9" w:rsidRPr="0092047B" w:rsidRDefault="00897AF9" w:rsidP="0068563D">
      <w:pPr>
        <w:numPr>
          <w:ilvl w:val="0"/>
          <w:numId w:val="51"/>
        </w:numPr>
        <w:autoSpaceDE w:val="0"/>
        <w:autoSpaceDN w:val="0"/>
        <w:adjustRightInd w:val="0"/>
        <w:spacing w:before="120" w:after="120"/>
        <w:ind w:left="567" w:hanging="357"/>
        <w:rPr>
          <w:rFonts w:cstheme="minorHAnsi"/>
          <w:b/>
        </w:rPr>
      </w:pPr>
      <w:r w:rsidRPr="0092047B">
        <w:rPr>
          <w:rFonts w:cstheme="minorHAnsi"/>
          <w:b/>
        </w:rPr>
        <w:t>Zásobníky plynu</w:t>
      </w:r>
    </w:p>
    <w:p w:rsidR="00897AF9" w:rsidRPr="0092047B" w:rsidRDefault="00897AF9" w:rsidP="00184DC1">
      <w:pPr>
        <w:numPr>
          <w:ilvl w:val="1"/>
          <w:numId w:val="51"/>
        </w:numPr>
        <w:autoSpaceDE w:val="0"/>
        <w:autoSpaceDN w:val="0"/>
        <w:adjustRightInd w:val="0"/>
        <w:spacing w:after="0"/>
        <w:ind w:left="1134" w:hanging="709"/>
        <w:rPr>
          <w:rFonts w:cstheme="minorHAnsi"/>
        </w:rPr>
      </w:pPr>
      <w:r w:rsidRPr="0092047B">
        <w:rPr>
          <w:rFonts w:cstheme="minorHAnsi"/>
        </w:rPr>
        <w:t>Podporovat projekty zajišťující kapacitu zásobníků plynu na území ČR do výše 35 – 40 % roční spotřeby plynu a zajištění dostatečného připojení na přepravní soustavu</w:t>
      </w:r>
      <w:r w:rsidR="000B0620" w:rsidRPr="0092047B">
        <w:rPr>
          <w:rFonts w:cstheme="minorHAnsi"/>
        </w:rPr>
        <w:t xml:space="preserve"> s</w:t>
      </w:r>
      <w:r w:rsidR="00F7215E">
        <w:rPr>
          <w:rFonts w:cstheme="minorHAnsi"/>
        </w:rPr>
        <w:t xml:space="preserve"> garantovaným těžebním výkonem po dobu </w:t>
      </w:r>
      <w:r w:rsidR="001E7F95">
        <w:rPr>
          <w:rFonts w:cstheme="minorHAnsi"/>
        </w:rPr>
        <w:t>dvou</w:t>
      </w:r>
      <w:r w:rsidR="00F7215E">
        <w:rPr>
          <w:rFonts w:cstheme="minorHAnsi"/>
        </w:rPr>
        <w:t xml:space="preserve"> měsíc</w:t>
      </w:r>
      <w:r w:rsidR="001E7F95">
        <w:rPr>
          <w:rFonts w:cstheme="minorHAnsi"/>
        </w:rPr>
        <w:t>ů</w:t>
      </w:r>
      <w:r w:rsidR="000B0620" w:rsidRPr="0092047B">
        <w:rPr>
          <w:rFonts w:cstheme="minorHAnsi"/>
        </w:rPr>
        <w:t xml:space="preserve"> na úrovni alespoň 70</w:t>
      </w:r>
      <w:r w:rsidR="00E56201" w:rsidRPr="0092047B">
        <w:rPr>
          <w:rFonts w:cstheme="minorHAnsi"/>
        </w:rPr>
        <w:t xml:space="preserve"> </w:t>
      </w:r>
      <w:r w:rsidR="000B0620" w:rsidRPr="0092047B">
        <w:rPr>
          <w:rFonts w:cstheme="minorHAnsi"/>
        </w:rPr>
        <w:t xml:space="preserve">% špičkové </w:t>
      </w:r>
      <w:r w:rsidR="00F7215E">
        <w:rPr>
          <w:rFonts w:cstheme="minorHAnsi"/>
        </w:rPr>
        <w:t xml:space="preserve">denní </w:t>
      </w:r>
      <w:r w:rsidR="000B0620" w:rsidRPr="0092047B">
        <w:rPr>
          <w:rFonts w:cstheme="minorHAnsi"/>
        </w:rPr>
        <w:t>spotřeby ČR</w:t>
      </w:r>
      <w:r w:rsidR="00F7215E">
        <w:rPr>
          <w:rFonts w:cstheme="minorHAnsi"/>
        </w:rPr>
        <w:t xml:space="preserve"> v zimním období</w:t>
      </w:r>
      <w:r w:rsidR="000B0620" w:rsidRPr="0092047B">
        <w:rPr>
          <w:rFonts w:cstheme="minorHAnsi"/>
        </w:rPr>
        <w:t>.</w:t>
      </w:r>
    </w:p>
    <w:p w:rsidR="00897AF9" w:rsidRPr="0092047B" w:rsidRDefault="00897AF9" w:rsidP="0068563D">
      <w:pPr>
        <w:numPr>
          <w:ilvl w:val="0"/>
          <w:numId w:val="51"/>
        </w:numPr>
        <w:autoSpaceDE w:val="0"/>
        <w:autoSpaceDN w:val="0"/>
        <w:adjustRightInd w:val="0"/>
        <w:spacing w:before="120" w:after="120"/>
        <w:ind w:left="567" w:hanging="357"/>
        <w:rPr>
          <w:rFonts w:cstheme="minorHAnsi"/>
          <w:b/>
        </w:rPr>
      </w:pPr>
      <w:r w:rsidRPr="0092047B">
        <w:rPr>
          <w:rFonts w:cstheme="minorHAnsi"/>
          <w:b/>
        </w:rPr>
        <w:t>Bezpečnost dodávek</w:t>
      </w:r>
    </w:p>
    <w:p w:rsidR="00897AF9" w:rsidRPr="0092047B" w:rsidRDefault="00897AF9" w:rsidP="00184DC1">
      <w:pPr>
        <w:numPr>
          <w:ilvl w:val="1"/>
          <w:numId w:val="51"/>
        </w:numPr>
        <w:autoSpaceDE w:val="0"/>
        <w:autoSpaceDN w:val="0"/>
        <w:adjustRightInd w:val="0"/>
        <w:spacing w:after="0"/>
        <w:ind w:left="1134" w:hanging="709"/>
        <w:rPr>
          <w:rFonts w:cstheme="minorHAnsi"/>
        </w:rPr>
      </w:pPr>
      <w:r w:rsidRPr="0092047B">
        <w:rPr>
          <w:rFonts w:cstheme="minorHAnsi"/>
        </w:rPr>
        <w:t>Pro případ vyhlášení stavu nouze zajistit formou regulace spotřeby takové řešení, které by minimalizovalo dopady na národní hospodářství a na životy a zdraví obyvatel.</w:t>
      </w:r>
    </w:p>
    <w:p w:rsidR="00BB6F6C" w:rsidRPr="0092047B" w:rsidRDefault="00BB6F6C" w:rsidP="00184DC1">
      <w:pPr>
        <w:numPr>
          <w:ilvl w:val="1"/>
          <w:numId w:val="51"/>
        </w:numPr>
        <w:autoSpaceDE w:val="0"/>
        <w:autoSpaceDN w:val="0"/>
        <w:adjustRightInd w:val="0"/>
        <w:spacing w:after="0"/>
        <w:ind w:left="1134" w:hanging="709"/>
        <w:rPr>
          <w:rFonts w:cstheme="minorHAnsi"/>
        </w:rPr>
      </w:pPr>
      <w:r w:rsidRPr="0092047B">
        <w:t>Udržovat v dostatečné výši povinné rezervy zásoby plynu pro dodávku konečných odběratelům.</w:t>
      </w:r>
    </w:p>
    <w:p w:rsidR="00897AF9" w:rsidRPr="0092047B" w:rsidRDefault="00897AF9" w:rsidP="0068563D">
      <w:pPr>
        <w:numPr>
          <w:ilvl w:val="0"/>
          <w:numId w:val="51"/>
        </w:numPr>
        <w:autoSpaceDE w:val="0"/>
        <w:autoSpaceDN w:val="0"/>
        <w:adjustRightInd w:val="0"/>
        <w:spacing w:before="120" w:after="120"/>
        <w:ind w:left="567" w:hanging="357"/>
        <w:rPr>
          <w:rFonts w:cstheme="minorHAnsi"/>
          <w:b/>
        </w:rPr>
      </w:pPr>
      <w:r w:rsidRPr="0092047B">
        <w:rPr>
          <w:rFonts w:cstheme="minorHAnsi"/>
          <w:b/>
        </w:rPr>
        <w:t>Liberalizace a integrace trhu s plynem</w:t>
      </w:r>
    </w:p>
    <w:p w:rsidR="00897AF9" w:rsidRPr="0092047B" w:rsidRDefault="00897AF9" w:rsidP="00184DC1">
      <w:pPr>
        <w:numPr>
          <w:ilvl w:val="1"/>
          <w:numId w:val="51"/>
        </w:numPr>
        <w:autoSpaceDE w:val="0"/>
        <w:autoSpaceDN w:val="0"/>
        <w:adjustRightInd w:val="0"/>
        <w:spacing w:after="0"/>
        <w:ind w:left="1134" w:hanging="709"/>
        <w:rPr>
          <w:rFonts w:cstheme="minorHAnsi"/>
        </w:rPr>
      </w:pPr>
      <w:r w:rsidRPr="0092047B">
        <w:rPr>
          <w:rFonts w:cstheme="minorHAnsi"/>
        </w:rPr>
        <w:t>Vysoce konkurenční prostředí trhu s plynem, regionální integrace trhu s</w:t>
      </w:r>
      <w:r w:rsidR="000B0620" w:rsidRPr="0092047B">
        <w:rPr>
          <w:rFonts w:cstheme="minorHAnsi"/>
        </w:rPr>
        <w:t> </w:t>
      </w:r>
      <w:r w:rsidRPr="0092047B">
        <w:rPr>
          <w:rFonts w:cstheme="minorHAnsi"/>
        </w:rPr>
        <w:t>plynem, harmonizace pravidel trhu, cenotvorných a tarifních mechanismů a zjednodušení přístupu na trh.</w:t>
      </w:r>
    </w:p>
    <w:p w:rsidR="00BB6F6C" w:rsidRPr="0092047B" w:rsidRDefault="00BB6F6C" w:rsidP="00184DC1">
      <w:pPr>
        <w:numPr>
          <w:ilvl w:val="1"/>
          <w:numId w:val="51"/>
        </w:numPr>
        <w:autoSpaceDE w:val="0"/>
        <w:autoSpaceDN w:val="0"/>
        <w:adjustRightInd w:val="0"/>
        <w:spacing w:after="0"/>
        <w:ind w:left="1134" w:hanging="709"/>
        <w:rPr>
          <w:rFonts w:cstheme="minorHAnsi"/>
        </w:rPr>
      </w:pPr>
      <w:r w:rsidRPr="0092047B">
        <w:t xml:space="preserve">Podporovat integraci trhů ve středoevropském regionu </w:t>
      </w:r>
      <w:r w:rsidR="000B0620" w:rsidRPr="0092047B">
        <w:rPr>
          <w:rFonts w:cstheme="minorHAnsi"/>
        </w:rPr>
        <w:t xml:space="preserve">zemí V4 a Rakouska </w:t>
      </w:r>
      <w:r w:rsidRPr="0092047B">
        <w:t>s pozdějším propojením na integraci trhů v rámci EU</w:t>
      </w:r>
      <w:r w:rsidR="004A0EAA">
        <w:t xml:space="preserve"> do roku 2020.</w:t>
      </w:r>
    </w:p>
    <w:p w:rsidR="00897AF9" w:rsidRPr="0092047B" w:rsidRDefault="00897AF9" w:rsidP="0068563D">
      <w:pPr>
        <w:numPr>
          <w:ilvl w:val="0"/>
          <w:numId w:val="51"/>
        </w:numPr>
        <w:autoSpaceDE w:val="0"/>
        <w:autoSpaceDN w:val="0"/>
        <w:adjustRightInd w:val="0"/>
        <w:spacing w:before="120" w:after="120"/>
        <w:ind w:left="567" w:hanging="357"/>
        <w:rPr>
          <w:rFonts w:cstheme="minorHAnsi"/>
          <w:b/>
        </w:rPr>
      </w:pPr>
      <w:r w:rsidRPr="0092047B">
        <w:rPr>
          <w:rFonts w:cstheme="minorHAnsi"/>
          <w:b/>
        </w:rPr>
        <w:t>Obnova a rozvoj přepravní soustavy</w:t>
      </w:r>
    </w:p>
    <w:p w:rsidR="00897AF9" w:rsidRPr="0092047B" w:rsidRDefault="00897AF9" w:rsidP="00184DC1">
      <w:pPr>
        <w:numPr>
          <w:ilvl w:val="1"/>
          <w:numId w:val="51"/>
        </w:numPr>
        <w:autoSpaceDE w:val="0"/>
        <w:autoSpaceDN w:val="0"/>
        <w:adjustRightInd w:val="0"/>
        <w:spacing w:before="120" w:after="157"/>
        <w:ind w:left="1134" w:hanging="708"/>
        <w:contextualSpacing/>
        <w:rPr>
          <w:rFonts w:cstheme="minorHAnsi"/>
        </w:rPr>
      </w:pPr>
      <w:r w:rsidRPr="0092047B">
        <w:rPr>
          <w:rFonts w:cstheme="minorHAnsi"/>
        </w:rPr>
        <w:t>Rozvoj přepravní soustavy (PS) – Vysoká spolehlivost přepravní soustavy ČR a její schopnost zajistit uspokojení kapacitních požadavků narůstající spotřeby i přepravu transevropských tranzitních toků jak v ose sever/jih, tak i v ose východ/západ. Obnova PS a zvyšování její odolnosti při vzniku krizových situací.</w:t>
      </w:r>
    </w:p>
    <w:p w:rsidR="00897AF9" w:rsidRPr="0092047B" w:rsidRDefault="00897AF9" w:rsidP="00184DC1">
      <w:pPr>
        <w:numPr>
          <w:ilvl w:val="1"/>
          <w:numId w:val="51"/>
        </w:numPr>
        <w:autoSpaceDE w:val="0"/>
        <w:autoSpaceDN w:val="0"/>
        <w:adjustRightInd w:val="0"/>
        <w:spacing w:before="120" w:after="157"/>
        <w:ind w:left="1134" w:hanging="708"/>
        <w:contextualSpacing/>
        <w:rPr>
          <w:rFonts w:cstheme="minorHAnsi"/>
        </w:rPr>
      </w:pPr>
      <w:r w:rsidRPr="0092047B">
        <w:rPr>
          <w:rFonts w:cstheme="minorHAnsi"/>
        </w:rPr>
        <w:t>Zajistit regionální spolupráci a mechanismy společného plánování a rozvoje přepravních soustav v oblasti střední Evropy.</w:t>
      </w:r>
    </w:p>
    <w:p w:rsidR="00897AF9" w:rsidRPr="0092047B" w:rsidRDefault="00897AF9" w:rsidP="00184DC1">
      <w:pPr>
        <w:numPr>
          <w:ilvl w:val="1"/>
          <w:numId w:val="51"/>
        </w:numPr>
        <w:autoSpaceDE w:val="0"/>
        <w:autoSpaceDN w:val="0"/>
        <w:adjustRightInd w:val="0"/>
        <w:spacing w:after="0"/>
        <w:ind w:left="1134" w:hanging="709"/>
        <w:rPr>
          <w:rFonts w:cstheme="minorHAnsi"/>
        </w:rPr>
      </w:pPr>
      <w:r w:rsidRPr="0092047B">
        <w:rPr>
          <w:rFonts w:cstheme="minorHAnsi"/>
        </w:rPr>
        <w:t>V případě změny vlastnictví provozovatele přepravní soustavy je ve strategickém zájmu ČR, aby přepravní soustavu vlastnil subjekt s transparentní vlastnickou strukturou a dlouhodobým investičním záměrem, jehož záměry na rozvoj této soustavy se budou shodovat se strategickými záměry ČR.</w:t>
      </w:r>
    </w:p>
    <w:p w:rsidR="000B0620" w:rsidRPr="0092047B" w:rsidRDefault="000B0620" w:rsidP="00184DC1">
      <w:pPr>
        <w:numPr>
          <w:ilvl w:val="1"/>
          <w:numId w:val="51"/>
        </w:numPr>
        <w:autoSpaceDE w:val="0"/>
        <w:autoSpaceDN w:val="0"/>
        <w:adjustRightInd w:val="0"/>
        <w:spacing w:after="0"/>
        <w:ind w:left="1134" w:hanging="709"/>
        <w:rPr>
          <w:rFonts w:cstheme="minorHAnsi"/>
        </w:rPr>
      </w:pPr>
      <w:r w:rsidRPr="0092047B">
        <w:rPr>
          <w:rFonts w:cstheme="minorHAnsi"/>
        </w:rPr>
        <w:t>Zajistit dlouhodobě stabilní a předvídatelnou regulaci odvětví.</w:t>
      </w:r>
    </w:p>
    <w:p w:rsidR="00C83D5D" w:rsidRPr="0092047B" w:rsidRDefault="00C83D5D" w:rsidP="00184DC1">
      <w:pPr>
        <w:numPr>
          <w:ilvl w:val="1"/>
          <w:numId w:val="51"/>
        </w:numPr>
        <w:autoSpaceDE w:val="0"/>
        <w:autoSpaceDN w:val="0"/>
        <w:adjustRightInd w:val="0"/>
        <w:spacing w:after="0"/>
        <w:ind w:left="1134" w:hanging="709"/>
        <w:rPr>
          <w:rFonts w:cstheme="minorHAnsi"/>
        </w:rPr>
      </w:pPr>
      <w:r w:rsidRPr="0092047B">
        <w:rPr>
          <w:rFonts w:cstheme="minorHAnsi"/>
        </w:rPr>
        <w:t>Zajistit územní ochranu ploch a koridorů pro rozvoj PS prostřednictvím Politiky územního rozvoje ČR a zásad územního jednotlivých krajů.</w:t>
      </w:r>
    </w:p>
    <w:p w:rsidR="00897AF9" w:rsidRPr="0092047B" w:rsidRDefault="00897AF9" w:rsidP="0068563D">
      <w:pPr>
        <w:numPr>
          <w:ilvl w:val="0"/>
          <w:numId w:val="51"/>
        </w:numPr>
        <w:autoSpaceDE w:val="0"/>
        <w:autoSpaceDN w:val="0"/>
        <w:adjustRightInd w:val="0"/>
        <w:spacing w:before="120" w:after="120"/>
        <w:ind w:left="567" w:hanging="357"/>
        <w:rPr>
          <w:rFonts w:cstheme="minorHAnsi"/>
          <w:b/>
        </w:rPr>
      </w:pPr>
      <w:r w:rsidRPr="0092047B">
        <w:rPr>
          <w:rFonts w:cstheme="minorHAnsi"/>
          <w:b/>
        </w:rPr>
        <w:t>Rozvoj distribučních soustav</w:t>
      </w:r>
    </w:p>
    <w:p w:rsidR="00897AF9" w:rsidRPr="0092047B" w:rsidRDefault="00897AF9" w:rsidP="00184DC1">
      <w:pPr>
        <w:numPr>
          <w:ilvl w:val="1"/>
          <w:numId w:val="51"/>
        </w:numPr>
        <w:autoSpaceDE w:val="0"/>
        <w:autoSpaceDN w:val="0"/>
        <w:adjustRightInd w:val="0"/>
        <w:spacing w:before="120" w:after="157"/>
        <w:ind w:left="1134" w:hanging="708"/>
        <w:contextualSpacing/>
        <w:rPr>
          <w:rFonts w:cstheme="minorHAnsi"/>
        </w:rPr>
      </w:pPr>
      <w:r w:rsidRPr="0092047B">
        <w:rPr>
          <w:rFonts w:cstheme="minorHAnsi"/>
        </w:rPr>
        <w:t>Vysoká spolehlivost provozu distribučních soustav v souladu s evropskými standardy a jejich rozvoj v souladu s růstem konečné spotřeby plynu, zejména připojování</w:t>
      </w:r>
      <w:r w:rsidR="00DC46B0">
        <w:rPr>
          <w:rFonts w:cstheme="minorHAnsi"/>
        </w:rPr>
        <w:t>m</w:t>
      </w:r>
      <w:r w:rsidRPr="0092047B">
        <w:rPr>
          <w:rFonts w:cstheme="minorHAnsi"/>
        </w:rPr>
        <w:t xml:space="preserve"> mikrokogenerací a </w:t>
      </w:r>
      <w:r w:rsidR="00B124A1">
        <w:rPr>
          <w:rFonts w:cstheme="minorHAnsi"/>
        </w:rPr>
        <w:t xml:space="preserve">v </w:t>
      </w:r>
      <w:r w:rsidRPr="0092047B">
        <w:rPr>
          <w:rFonts w:cstheme="minorHAnsi"/>
        </w:rPr>
        <w:t>malých soustavách zásobování teplem.</w:t>
      </w:r>
    </w:p>
    <w:p w:rsidR="00C83D5D" w:rsidRPr="0092047B" w:rsidRDefault="00C83D5D" w:rsidP="00184DC1">
      <w:pPr>
        <w:numPr>
          <w:ilvl w:val="1"/>
          <w:numId w:val="51"/>
        </w:numPr>
        <w:autoSpaceDE w:val="0"/>
        <w:autoSpaceDN w:val="0"/>
        <w:adjustRightInd w:val="0"/>
        <w:spacing w:after="0"/>
        <w:ind w:left="1134" w:hanging="709"/>
        <w:rPr>
          <w:rFonts w:cstheme="minorHAnsi"/>
        </w:rPr>
      </w:pPr>
      <w:r w:rsidRPr="0092047B">
        <w:rPr>
          <w:rFonts w:cstheme="minorHAnsi"/>
        </w:rPr>
        <w:t>Zajistit územní ochranu ploch a koridorů pro rozvoj distribučních soustav prostřednictvím Politiky územního rozvoje ČR a zásad územního jednotlivých krajů.</w:t>
      </w:r>
    </w:p>
    <w:p w:rsidR="00C83D5D" w:rsidRPr="0092047B" w:rsidRDefault="00C83D5D" w:rsidP="00184DC1">
      <w:pPr>
        <w:autoSpaceDE w:val="0"/>
        <w:autoSpaceDN w:val="0"/>
        <w:adjustRightInd w:val="0"/>
        <w:spacing w:before="120" w:after="157"/>
        <w:ind w:left="1134"/>
        <w:contextualSpacing/>
        <w:rPr>
          <w:rFonts w:cstheme="minorHAnsi"/>
        </w:rPr>
      </w:pPr>
    </w:p>
    <w:p w:rsidR="00897AF9" w:rsidRPr="0092047B" w:rsidRDefault="00897AF9" w:rsidP="00184DC1">
      <w:pPr>
        <w:autoSpaceDE w:val="0"/>
        <w:autoSpaceDN w:val="0"/>
        <w:adjustRightInd w:val="0"/>
        <w:spacing w:before="120" w:after="157"/>
        <w:ind w:left="1134"/>
        <w:contextualSpacing/>
        <w:rPr>
          <w:rFonts w:cstheme="minorHAnsi"/>
        </w:rPr>
      </w:pPr>
    </w:p>
    <w:p w:rsidR="00897AF9" w:rsidRPr="0092047B" w:rsidRDefault="00897AF9" w:rsidP="00184DC1">
      <w:pPr>
        <w:pStyle w:val="Nadpis2"/>
      </w:pPr>
      <w:bookmarkStart w:id="800" w:name="_Toc396923396"/>
      <w:r w:rsidRPr="0092047B">
        <w:t>Přeprava a zpracování ropy</w:t>
      </w:r>
      <w:bookmarkEnd w:id="800"/>
      <w:r w:rsidRPr="0092047B">
        <w:t xml:space="preserve"> </w:t>
      </w:r>
    </w:p>
    <w:p w:rsidR="00897AF9" w:rsidRPr="0092047B" w:rsidRDefault="00897AF9" w:rsidP="0068563D">
      <w:pPr>
        <w:pStyle w:val="Zkladntext"/>
        <w:spacing w:before="240" w:after="120"/>
        <w:rPr>
          <w:rFonts w:cstheme="minorHAnsi"/>
          <w:b/>
          <w:bCs/>
        </w:rPr>
      </w:pPr>
      <w:r w:rsidRPr="0092047B">
        <w:rPr>
          <w:rFonts w:cstheme="minorHAnsi"/>
          <w:b/>
          <w:bCs/>
        </w:rPr>
        <w:t>Vize</w:t>
      </w:r>
    </w:p>
    <w:p w:rsidR="00897AF9" w:rsidRPr="0092047B" w:rsidRDefault="00897AF9" w:rsidP="00184DC1">
      <w:pPr>
        <w:rPr>
          <w:rFonts w:cstheme="minorHAnsi"/>
          <w:bCs/>
        </w:rPr>
      </w:pPr>
      <w:r w:rsidRPr="0092047B">
        <w:rPr>
          <w:rFonts w:cstheme="minorHAnsi"/>
          <w:bCs/>
        </w:rPr>
        <w:t xml:space="preserve">Ropa a ropné produkty budou stále významným zdrojem primární energie, i přes žádoucí postupné vytěsňování jejich spotřeby a omezení jejich váhy ve zdrojovém  mixu. Tranzit ropy a kapacitní soběstačnost ve zpracování ropy zůstávají důležitým prvkem energetiky ČR. </w:t>
      </w:r>
      <w:r w:rsidR="00343C92" w:rsidRPr="0092047B">
        <w:rPr>
          <w:rFonts w:cstheme="minorHAnsi"/>
          <w:bCs/>
        </w:rPr>
        <w:t>Při zásobování ČR ropou je vzhledem k energetické bezpečnosti nutné v rámci možností sledovat základní princip, a to nebýt závislí pouze na jednom zdroji.</w:t>
      </w:r>
      <w:r w:rsidRPr="0092047B">
        <w:rPr>
          <w:rFonts w:cstheme="minorHAnsi"/>
          <w:bCs/>
        </w:rPr>
        <w:t xml:space="preserve"> Důležité je též sledovat vývoj v celém navazujícím odvětví zpracování ropy, v petrochemickém průmyslu zvláště s ohledem na zajištění pohonných hmot pro dopravu a surovin pro chemický průmysl.</w:t>
      </w:r>
    </w:p>
    <w:p w:rsidR="00897AF9" w:rsidRPr="0092047B" w:rsidRDefault="00897AF9" w:rsidP="0068563D">
      <w:pPr>
        <w:pStyle w:val="Zkladntext"/>
        <w:spacing w:before="240" w:after="120"/>
        <w:rPr>
          <w:rFonts w:cstheme="minorHAnsi"/>
          <w:b/>
          <w:bCs/>
        </w:rPr>
      </w:pPr>
      <w:r w:rsidRPr="0092047B">
        <w:rPr>
          <w:rFonts w:cstheme="minorHAnsi"/>
          <w:b/>
          <w:bCs/>
        </w:rPr>
        <w:t>Hlavní cíle:</w:t>
      </w:r>
    </w:p>
    <w:p w:rsidR="00897AF9" w:rsidRPr="0092047B" w:rsidRDefault="00897AF9" w:rsidP="00184DC1">
      <w:pPr>
        <w:numPr>
          <w:ilvl w:val="2"/>
          <w:numId w:val="53"/>
        </w:numPr>
        <w:autoSpaceDE w:val="0"/>
        <w:autoSpaceDN w:val="0"/>
        <w:adjustRightInd w:val="0"/>
        <w:spacing w:before="120" w:after="157"/>
        <w:ind w:left="1134" w:hanging="709"/>
        <w:contextualSpacing/>
        <w:rPr>
          <w:rFonts w:ascii="Calibri" w:hAnsi="Calibri" w:cs="Calibri"/>
        </w:rPr>
      </w:pPr>
      <w:r w:rsidRPr="0092047B">
        <w:rPr>
          <w:rFonts w:ascii="Calibri" w:hAnsi="Calibri" w:cs="Calibri"/>
        </w:rPr>
        <w:t>Využití disponibilní kapacity ropovodů Družba (jižní větve) a IKL.</w:t>
      </w:r>
    </w:p>
    <w:p w:rsidR="00897AF9" w:rsidRPr="0092047B" w:rsidRDefault="00897AF9" w:rsidP="00184DC1">
      <w:pPr>
        <w:numPr>
          <w:ilvl w:val="2"/>
          <w:numId w:val="53"/>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 xml:space="preserve">Zajistit i po změně metodiky EU ohledně výpočtu nouzových zásob ropy </w:t>
      </w:r>
      <w:r w:rsidR="001C0237" w:rsidRPr="0092047B">
        <w:rPr>
          <w:rFonts w:ascii="Calibri" w:hAnsi="Calibri" w:cs="Calibri"/>
        </w:rPr>
        <w:t>a ropných</w:t>
      </w:r>
      <w:r w:rsidRPr="0092047B">
        <w:rPr>
          <w:rFonts w:ascii="Calibri" w:hAnsi="Calibri" w:cs="Calibri"/>
        </w:rPr>
        <w:t xml:space="preserve"> produktů jejich </w:t>
      </w:r>
      <w:r w:rsidR="00E058C4">
        <w:rPr>
          <w:rFonts w:ascii="Calibri" w:hAnsi="Calibri" w:cs="Calibri"/>
        </w:rPr>
        <w:t>udržení</w:t>
      </w:r>
      <w:r w:rsidR="001C0237" w:rsidRPr="0092047B">
        <w:rPr>
          <w:rFonts w:ascii="Calibri" w:hAnsi="Calibri" w:cs="Calibri"/>
        </w:rPr>
        <w:t xml:space="preserve"> </w:t>
      </w:r>
      <w:r w:rsidRPr="0092047B">
        <w:rPr>
          <w:rFonts w:ascii="Calibri" w:hAnsi="Calibri" w:cs="Calibri"/>
        </w:rPr>
        <w:t xml:space="preserve">nad </w:t>
      </w:r>
      <w:r w:rsidR="00E058C4">
        <w:rPr>
          <w:rFonts w:ascii="Calibri" w:hAnsi="Calibri" w:cs="Calibri"/>
        </w:rPr>
        <w:t>úrovní</w:t>
      </w:r>
      <w:r w:rsidR="001C0237" w:rsidRPr="0092047B">
        <w:rPr>
          <w:rFonts w:ascii="Calibri" w:hAnsi="Calibri" w:cs="Calibri"/>
        </w:rPr>
        <w:t xml:space="preserve"> </w:t>
      </w:r>
      <w:r w:rsidRPr="0092047B">
        <w:rPr>
          <w:rFonts w:ascii="Calibri" w:hAnsi="Calibri" w:cs="Calibri"/>
        </w:rPr>
        <w:t>90 dnů čistých dovozů s perspektivním výhledem zvyšování úrovně těchto zásob až na 120 dnů čistých dovozů v závislosti na ekonomických možnostech státu a udržovat tyto zásoby na uvedené výši prostřednictvím jejich skladování především u národních přepravců ropy a ropných produktů. V rámci sortimentu nouzových zásob zajišťovat vhodný poměr mezi ropou a ropnými produkty, u ropy v rámci postupného navýšení objemu nouzových zásob až do výše 120 dnů postupně vytvořit i podíl zásob lehkých rop vhodných pro zpracování v rafinerii Kralupy nad Vltavou. S ohledem na</w:t>
      </w:r>
      <w:r w:rsidR="00BB6F6C" w:rsidRPr="0092047B">
        <w:rPr>
          <w:rFonts w:ascii="Calibri" w:hAnsi="Calibri" w:cs="Calibri"/>
        </w:rPr>
        <w:t xml:space="preserve"> strategičnost sektoru </w:t>
      </w:r>
      <w:r w:rsidR="00BB6F6C" w:rsidRPr="0092047B">
        <w:t xml:space="preserve">ponechat </w:t>
      </w:r>
      <w:r w:rsidR="00D21998">
        <w:t>společnosti MERO ČR</w:t>
      </w:r>
      <w:r w:rsidR="009C4F85">
        <w:t xml:space="preserve"> a</w:t>
      </w:r>
      <w:r w:rsidR="00D21998">
        <w:t xml:space="preserve"> ČEPRO ve výhradním vlastnictví státu</w:t>
      </w:r>
      <w:r w:rsidR="00571BBE">
        <w:t>.</w:t>
      </w:r>
    </w:p>
    <w:p w:rsidR="00897AF9" w:rsidRPr="0092047B" w:rsidRDefault="00897AF9" w:rsidP="00184DC1">
      <w:pPr>
        <w:numPr>
          <w:ilvl w:val="2"/>
          <w:numId w:val="53"/>
        </w:numPr>
        <w:autoSpaceDE w:val="0"/>
        <w:autoSpaceDN w:val="0"/>
        <w:adjustRightInd w:val="0"/>
        <w:spacing w:before="120" w:after="157"/>
        <w:ind w:left="1134" w:hanging="709"/>
        <w:contextualSpacing/>
        <w:rPr>
          <w:rFonts w:ascii="Calibri" w:hAnsi="Calibri" w:cs="Calibri"/>
        </w:rPr>
      </w:pPr>
      <w:r w:rsidRPr="0092047B">
        <w:rPr>
          <w:rFonts w:ascii="Calibri" w:hAnsi="Calibri" w:cs="Calibri"/>
        </w:rPr>
        <w:t>Dále podporovat tuzemské zpracování ropy a výrobu potřebných rafinérských produktů s cílem snižovat podíl dovozů tohoto sortimentu do ČR a naopak vytvářet podmínky pro další rozvoj jeho exportu, zejména do zemí střední a východní Evropy. Posílit vliv státu v tomto sektoru a těsnější integraci celého řetězce v oblasti dopravy a zpra</w:t>
      </w:r>
      <w:r w:rsidR="009C4F85">
        <w:rPr>
          <w:rFonts w:ascii="Calibri" w:hAnsi="Calibri" w:cs="Calibri"/>
        </w:rPr>
        <w:t>cování ropy a ropných produktů.</w:t>
      </w:r>
    </w:p>
    <w:p w:rsidR="00BB6F6C" w:rsidRPr="0092047B" w:rsidRDefault="00897AF9" w:rsidP="00184DC1">
      <w:pPr>
        <w:numPr>
          <w:ilvl w:val="2"/>
          <w:numId w:val="53"/>
        </w:numPr>
        <w:autoSpaceDE w:val="0"/>
        <w:autoSpaceDN w:val="0"/>
        <w:adjustRightInd w:val="0"/>
        <w:spacing w:before="120" w:after="157"/>
        <w:ind w:left="1134" w:hanging="708"/>
        <w:contextualSpacing/>
        <w:rPr>
          <w:rFonts w:cstheme="minorHAnsi"/>
          <w:bCs/>
          <w:u w:val="single"/>
        </w:rPr>
      </w:pPr>
      <w:r w:rsidRPr="0092047B">
        <w:rPr>
          <w:rFonts w:ascii="Calibri" w:hAnsi="Calibri" w:cs="Calibri"/>
        </w:rPr>
        <w:t>Podporovat rozvoj a posilování stávajícího systému přepravy ropy do ČR, s cílem zajištění a udržení dostatečné přepravní kapacity pro potřeby rafinérií v ČR. V jeho rámci pak vytvářet podmínky pro možné (tranzitní) zásobování okolních zemí v oblasti ropy s cílem maximálně efektivního využití již vybudovaných ropovodních systémů, ale zároveň za předpokladu zachování toku ropy do ČR ze dvou různých směrů. Podpořit postupné zvyšování efektivního využití stávajícího tuzemského produktovodního systému, který je jednou z nejvýznamnějších evropských produktovodních sítí, a to zejména s ohledem na jeho logistické rozmístění a napojení na produktovod Slovenské republiky, a tím de facto i</w:t>
      </w:r>
      <w:r w:rsidR="009C4F85">
        <w:rPr>
          <w:rFonts w:ascii="Calibri" w:hAnsi="Calibri" w:cs="Calibri"/>
        </w:rPr>
        <w:t xml:space="preserve"> maďarský produktovodní systém.</w:t>
      </w:r>
    </w:p>
    <w:p w:rsidR="00BB6F6C" w:rsidRPr="0092047B" w:rsidRDefault="00BB6F6C" w:rsidP="00184DC1">
      <w:pPr>
        <w:autoSpaceDE w:val="0"/>
        <w:autoSpaceDN w:val="0"/>
        <w:adjustRightInd w:val="0"/>
        <w:spacing w:before="120" w:after="157"/>
        <w:ind w:left="426"/>
        <w:contextualSpacing/>
        <w:rPr>
          <w:rFonts w:ascii="Calibri" w:hAnsi="Calibri" w:cs="Calibri"/>
        </w:rPr>
      </w:pPr>
    </w:p>
    <w:p w:rsidR="00897AF9" w:rsidRPr="0092047B" w:rsidRDefault="00897AF9" w:rsidP="0068563D">
      <w:pPr>
        <w:autoSpaceDE w:val="0"/>
        <w:autoSpaceDN w:val="0"/>
        <w:adjustRightInd w:val="0"/>
        <w:spacing w:before="240" w:after="120"/>
        <w:ind w:left="425"/>
        <w:rPr>
          <w:rFonts w:cstheme="minorHAnsi"/>
          <w:bCs/>
          <w:u w:val="single"/>
        </w:rPr>
      </w:pPr>
      <w:r w:rsidRPr="0092047B">
        <w:rPr>
          <w:rFonts w:cstheme="minorHAnsi"/>
          <w:bCs/>
          <w:u w:val="single"/>
        </w:rPr>
        <w:t>Dílčí cíle a jejich specifikace:</w:t>
      </w:r>
    </w:p>
    <w:p w:rsidR="00897AF9" w:rsidRPr="0092047B" w:rsidRDefault="00897AF9" w:rsidP="00184DC1">
      <w:pPr>
        <w:numPr>
          <w:ilvl w:val="1"/>
          <w:numId w:val="54"/>
        </w:numPr>
        <w:autoSpaceDE w:val="0"/>
        <w:autoSpaceDN w:val="0"/>
        <w:adjustRightInd w:val="0"/>
        <w:spacing w:before="120" w:after="157"/>
        <w:ind w:left="1134" w:hanging="708"/>
        <w:contextualSpacing/>
        <w:rPr>
          <w:rFonts w:cstheme="minorHAnsi"/>
        </w:rPr>
      </w:pPr>
      <w:r w:rsidRPr="0092047B">
        <w:rPr>
          <w:rFonts w:cstheme="minorHAnsi"/>
        </w:rPr>
        <w:t xml:space="preserve">Dosáhnout perspektivního postupného nárůstu dosavadních nouzových zásob ropy a ropných produktů nad </w:t>
      </w:r>
      <w:r w:rsidR="00D21998">
        <w:rPr>
          <w:rFonts w:cstheme="minorHAnsi"/>
        </w:rPr>
        <w:t xml:space="preserve">současnou </w:t>
      </w:r>
      <w:r w:rsidRPr="0092047B">
        <w:rPr>
          <w:rFonts w:cstheme="minorHAnsi"/>
        </w:rPr>
        <w:t>úroveň s perspektivním výhledem zvyšování úrovně těchto zásob až na 120 dnů čistých dovozů v závislosti na ekonomických možnostech státu a zajistit jejich faktickou dostupnost z úrovně orgánů státu ve stavech ropné nouze.</w:t>
      </w:r>
    </w:p>
    <w:p w:rsidR="00897AF9" w:rsidRPr="0092047B" w:rsidRDefault="00897AF9" w:rsidP="00184DC1">
      <w:pPr>
        <w:numPr>
          <w:ilvl w:val="1"/>
          <w:numId w:val="54"/>
        </w:numPr>
        <w:autoSpaceDE w:val="0"/>
        <w:autoSpaceDN w:val="0"/>
        <w:adjustRightInd w:val="0"/>
        <w:spacing w:before="120" w:after="157"/>
        <w:ind w:left="1134" w:hanging="708"/>
        <w:contextualSpacing/>
        <w:rPr>
          <w:rFonts w:cstheme="minorHAnsi"/>
        </w:rPr>
      </w:pPr>
      <w:r w:rsidRPr="0092047B">
        <w:rPr>
          <w:rFonts w:cstheme="minorHAnsi"/>
        </w:rPr>
        <w:t>Zajistit, aby se nouzové zásoby ropy a ropných produktů uskladňovaly přednostně na teritoriu ČR u státem vlastněných provozovatelů přepravních systémů ropy a ropných produktů.</w:t>
      </w:r>
    </w:p>
    <w:p w:rsidR="00897AF9" w:rsidRPr="0092047B" w:rsidRDefault="00897AF9" w:rsidP="00184DC1">
      <w:pPr>
        <w:numPr>
          <w:ilvl w:val="1"/>
          <w:numId w:val="54"/>
        </w:numPr>
        <w:autoSpaceDE w:val="0"/>
        <w:autoSpaceDN w:val="0"/>
        <w:adjustRightInd w:val="0"/>
        <w:spacing w:before="120" w:after="157"/>
        <w:ind w:left="1134" w:hanging="708"/>
        <w:contextualSpacing/>
        <w:rPr>
          <w:rFonts w:cstheme="minorHAnsi"/>
        </w:rPr>
      </w:pPr>
      <w:r w:rsidRPr="0092047B">
        <w:rPr>
          <w:rFonts w:cstheme="minorHAnsi"/>
        </w:rPr>
        <w:t>Aktivní spolupráce národního přepravce ropy s provozovateli ropovodů, kterými je do ČR dopravována ropa, a to zejména vzhledem k zajištění včasné informovanosti o případných obchodních či technických problémech, které mohou zapříčinit i částečné omezení či dočasné úplné přerušení dodávek ropy do ČR.</w:t>
      </w:r>
    </w:p>
    <w:p w:rsidR="00C83D5D" w:rsidRPr="0092047B" w:rsidRDefault="00C333CF" w:rsidP="00184DC1">
      <w:pPr>
        <w:numPr>
          <w:ilvl w:val="1"/>
          <w:numId w:val="54"/>
        </w:numPr>
        <w:autoSpaceDE w:val="0"/>
        <w:autoSpaceDN w:val="0"/>
        <w:adjustRightInd w:val="0"/>
        <w:spacing w:before="120" w:after="157"/>
        <w:ind w:left="1134" w:hanging="708"/>
        <w:contextualSpacing/>
        <w:rPr>
          <w:rFonts w:cstheme="minorHAnsi"/>
        </w:rPr>
      </w:pPr>
      <w:r w:rsidRPr="0092047B">
        <w:t>Zajistit vyšší účast sektoru na pokrytí nákladů spojených se správou státních hmotných rezerv.</w:t>
      </w:r>
    </w:p>
    <w:p w:rsidR="00C83D5D" w:rsidRPr="0092047B" w:rsidRDefault="00C83D5D" w:rsidP="0068563D">
      <w:pPr>
        <w:numPr>
          <w:ilvl w:val="1"/>
          <w:numId w:val="54"/>
        </w:numPr>
        <w:autoSpaceDE w:val="0"/>
        <w:autoSpaceDN w:val="0"/>
        <w:adjustRightInd w:val="0"/>
        <w:spacing w:before="120"/>
        <w:ind w:left="1134" w:hanging="709"/>
        <w:contextualSpacing/>
        <w:rPr>
          <w:rFonts w:cstheme="minorHAnsi"/>
        </w:rPr>
      </w:pPr>
      <w:r w:rsidRPr="0092047B">
        <w:rPr>
          <w:rFonts w:cstheme="minorHAnsi"/>
        </w:rPr>
        <w:t>Zajistit územní ochranu ploch a koridorů pro přepravu ropy prostřednictvím Politiky územního rozvoje ČR a zásad územního jednotlivých krajů.</w:t>
      </w:r>
    </w:p>
    <w:p w:rsidR="00897AF9" w:rsidRPr="0092047B" w:rsidRDefault="00897AF9" w:rsidP="00184DC1">
      <w:pPr>
        <w:pStyle w:val="Nadpis2"/>
      </w:pPr>
      <w:bookmarkStart w:id="801" w:name="_Toc396923397"/>
      <w:r w:rsidRPr="0092047B">
        <w:t>Výroba a dodávka tepla</w:t>
      </w:r>
      <w:bookmarkEnd w:id="801"/>
      <w:r w:rsidRPr="0092047B">
        <w:t xml:space="preserve"> </w:t>
      </w:r>
    </w:p>
    <w:p w:rsidR="00897AF9" w:rsidRPr="0092047B" w:rsidRDefault="00897AF9" w:rsidP="0068563D">
      <w:pPr>
        <w:pStyle w:val="Zkladntext"/>
        <w:spacing w:before="240" w:after="120"/>
        <w:rPr>
          <w:rFonts w:cstheme="minorHAnsi"/>
          <w:b/>
          <w:bCs/>
        </w:rPr>
      </w:pPr>
      <w:r w:rsidRPr="0092047B">
        <w:rPr>
          <w:rFonts w:cstheme="minorHAnsi"/>
          <w:b/>
          <w:bCs/>
        </w:rPr>
        <w:t>Vize</w:t>
      </w:r>
    </w:p>
    <w:p w:rsidR="00897AF9" w:rsidRPr="0092047B" w:rsidRDefault="00897AF9" w:rsidP="00184DC1">
      <w:pPr>
        <w:rPr>
          <w:rFonts w:cstheme="minorHAnsi"/>
        </w:rPr>
      </w:pPr>
      <w:r w:rsidRPr="0092047B">
        <w:rPr>
          <w:rFonts w:cstheme="minorHAnsi"/>
        </w:rPr>
        <w:t xml:space="preserve">Dodávka tepla je zásadní pro domácnosti i hospodářství. Má vždy lokální charakter a tím i lokální cenu. V současnosti představují </w:t>
      </w:r>
      <w:r w:rsidR="005667D0" w:rsidRPr="0092047B">
        <w:rPr>
          <w:rFonts w:ascii="Calibri" w:eastAsia="Calibri" w:hAnsi="Calibri"/>
          <w:color w:val="000000" w:themeColor="text1"/>
        </w:rPr>
        <w:t>soustavy zásobování tepelnou energií</w:t>
      </w:r>
      <w:r w:rsidRPr="0092047B">
        <w:rPr>
          <w:rFonts w:cstheme="minorHAnsi"/>
        </w:rPr>
        <w:t xml:space="preserve"> založené na uhlí významnou konkurenční výhodu pro průmysl i obyvatelstvo. Tuto výhodu je nezbytné udržet a posílit zajištěním podmínek pro transformaci a dlouhodobou stabilitu těchto systémů a současně zvýšení účinnosti lokální výroby tepla. Domácí uhlí bude nadále tvořit jejich rozhodující palivovou základnu, spolu se zemním plynem, OZE, druhotnými zdroji</w:t>
      </w:r>
      <w:r w:rsidRPr="0092047B">
        <w:t xml:space="preserve"> </w:t>
      </w:r>
      <w:r w:rsidRPr="0092047B">
        <w:rPr>
          <w:rFonts w:cstheme="minorHAnsi"/>
        </w:rPr>
        <w:t>a odpady, využitím tepla z JE a elektřinou.</w:t>
      </w:r>
    </w:p>
    <w:p w:rsidR="00897AF9" w:rsidRPr="0092047B" w:rsidRDefault="00897AF9" w:rsidP="0068563D">
      <w:pPr>
        <w:pStyle w:val="Bezmezer"/>
        <w:spacing w:before="240" w:after="120"/>
        <w:rPr>
          <w:sz w:val="24"/>
        </w:rPr>
      </w:pPr>
      <w:r w:rsidRPr="0092047B">
        <w:rPr>
          <w:rFonts w:eastAsia="Times New Roman" w:cstheme="minorHAnsi"/>
          <w:b/>
          <w:bCs/>
          <w:sz w:val="24"/>
          <w:szCs w:val="24"/>
        </w:rPr>
        <w:t xml:space="preserve">Hlavní cíle </w:t>
      </w:r>
    </w:p>
    <w:p w:rsidR="00897AF9" w:rsidRPr="0092047B" w:rsidRDefault="00897AF9"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 xml:space="preserve">Dlouhodobě udržet </w:t>
      </w:r>
      <w:r w:rsidR="000C472C" w:rsidRPr="0092047B">
        <w:rPr>
          <w:rFonts w:ascii="Calibri" w:hAnsi="Calibri" w:cs="Calibri"/>
        </w:rPr>
        <w:t xml:space="preserve">co </w:t>
      </w:r>
      <w:r w:rsidR="00601CD6" w:rsidRPr="0092047B">
        <w:rPr>
          <w:rFonts w:ascii="Calibri" w:hAnsi="Calibri" w:cs="Calibri"/>
        </w:rPr>
        <w:t xml:space="preserve">největší ekonomicky udržitelný </w:t>
      </w:r>
      <w:r w:rsidRPr="0092047B">
        <w:rPr>
          <w:rFonts w:ascii="Calibri" w:hAnsi="Calibri" w:cs="Calibri"/>
        </w:rPr>
        <w:t>rozsah soustav zásobování teplem</w:t>
      </w:r>
      <w:r w:rsidR="000C472C" w:rsidRPr="0092047B">
        <w:rPr>
          <w:rFonts w:ascii="Calibri" w:hAnsi="Calibri" w:cs="Calibri"/>
        </w:rPr>
        <w:t xml:space="preserve"> s ohledem na jejich konkurenceschopnost</w:t>
      </w:r>
      <w:r w:rsidRPr="0092047B">
        <w:rPr>
          <w:rFonts w:ascii="Calibri" w:hAnsi="Calibri" w:cs="Calibri"/>
        </w:rPr>
        <w:t xml:space="preserve"> a zajistit srovnání ekonomických podmínek centralizovaných a decentralizovaných zdrojů tepla při úhradě emisí a dalších externalit (uhlíková daň, povolenky, emise). Podporovat vysoce účinnou kogenerační výrobu zejména u tepláren na hnědé uhlí.</w:t>
      </w:r>
    </w:p>
    <w:p w:rsidR="00897AF9" w:rsidRPr="0092047B" w:rsidRDefault="00897AF9"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Prosazovat dlouhodobou dostupnost uhlí pro teplárenské systémy a přednostní dodávky</w:t>
      </w:r>
      <w:r w:rsidR="005667D0" w:rsidRPr="0092047B">
        <w:rPr>
          <w:rFonts w:ascii="Calibri" w:hAnsi="Calibri" w:cs="Calibri"/>
        </w:rPr>
        <w:t xml:space="preserve"> uhlí do soustav zásobování tepelnou energií</w:t>
      </w:r>
      <w:r w:rsidRPr="0092047B">
        <w:rPr>
          <w:rFonts w:ascii="Calibri" w:hAnsi="Calibri" w:cs="Calibri"/>
        </w:rPr>
        <w:t xml:space="preserve"> s vysokou celkovou účinností napříč celým výrobním systémem (tzn. i včetně rozvodů tepla) na úkor nízkoúčinných zdrojů, a to v celém časovém horizontu SEK. Podporovat využití biomasy, dalších obnovitelných a druhotných zdrojů a maximální využití odpadů v kombinaci s ostatními palivy pro soustavy zásobování teplem, zejména u středních a menších zdrojů</w:t>
      </w:r>
      <w:r w:rsidR="00601CD6" w:rsidRPr="0092047B">
        <w:rPr>
          <w:rFonts w:ascii="Calibri" w:hAnsi="Calibri" w:cs="Calibri"/>
        </w:rPr>
        <w:t xml:space="preserve"> a s rozumnou svozovou vzdálenost</w:t>
      </w:r>
      <w:r w:rsidR="00343C92">
        <w:rPr>
          <w:rFonts w:ascii="Calibri" w:hAnsi="Calibri" w:cs="Calibri"/>
        </w:rPr>
        <w:t>í</w:t>
      </w:r>
      <w:r w:rsidRPr="0092047B">
        <w:rPr>
          <w:rFonts w:ascii="Calibri" w:hAnsi="Calibri" w:cs="Calibri"/>
        </w:rPr>
        <w:t>.</w:t>
      </w:r>
    </w:p>
    <w:p w:rsidR="00897AF9" w:rsidRPr="0092047B" w:rsidRDefault="00897AF9"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Zajistit postupný přechod ke kogenerační výrobě kombinované s efektivním užitím tepelných čerpadel u všech výtopen. Podporovat využívání zemního plynu, biomasy</w:t>
      </w:r>
      <w:r w:rsidR="00D21998">
        <w:rPr>
          <w:rFonts w:ascii="Calibri" w:hAnsi="Calibri" w:cs="Calibri"/>
        </w:rPr>
        <w:t>,</w:t>
      </w:r>
      <w:r w:rsidRPr="0092047B">
        <w:rPr>
          <w:rFonts w:ascii="Calibri" w:hAnsi="Calibri" w:cs="Calibri"/>
        </w:rPr>
        <w:t xml:space="preserve"> tepelných čerpadel</w:t>
      </w:r>
      <w:r w:rsidR="00D21998">
        <w:rPr>
          <w:rFonts w:ascii="Calibri" w:hAnsi="Calibri" w:cs="Calibri"/>
        </w:rPr>
        <w:t xml:space="preserve"> a solárních systémů</w:t>
      </w:r>
      <w:r w:rsidRPr="0092047B">
        <w:rPr>
          <w:rFonts w:ascii="Calibri" w:hAnsi="Calibri" w:cs="Calibri"/>
        </w:rPr>
        <w:t xml:space="preserve"> pro náhradu vytápění na pevná paliva v domácnostech. Do roku 2020 zajistit maximální možný odklon od užití uhlí v konečné spotřebě v domácnostech. Zajistit vyšší účinnost užití elektřiny pro vytápění (náhrada přímotopných a akumulačních systémů za tepelná čerpadla).</w:t>
      </w:r>
    </w:p>
    <w:p w:rsidR="00897AF9" w:rsidRPr="0092047B" w:rsidRDefault="00897AF9"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Zajistit postupný přechod od nevyhovujících zdrojů na tuhá paliva</w:t>
      </w:r>
      <w:r w:rsidR="00D22F40" w:rsidRPr="0092047B">
        <w:rPr>
          <w:rFonts w:ascii="Calibri" w:hAnsi="Calibri" w:cs="Calibri"/>
        </w:rPr>
        <w:t xml:space="preserve"> </w:t>
      </w:r>
      <w:r w:rsidR="00D22F40">
        <w:rPr>
          <w:rFonts w:ascii="Calibri" w:hAnsi="Calibri" w:cs="Calibri"/>
        </w:rPr>
        <w:t>nižších</w:t>
      </w:r>
      <w:r w:rsidR="008A4D84" w:rsidRPr="0092047B">
        <w:rPr>
          <w:rFonts w:ascii="Calibri" w:hAnsi="Calibri" w:cs="Calibri"/>
        </w:rPr>
        <w:t xml:space="preserve"> </w:t>
      </w:r>
      <w:r w:rsidRPr="0092047B">
        <w:rPr>
          <w:rFonts w:ascii="Calibri" w:hAnsi="Calibri" w:cs="Calibri"/>
        </w:rPr>
        <w:t>emisních tříd (dl</w:t>
      </w:r>
      <w:r w:rsidR="00B632B2">
        <w:rPr>
          <w:rFonts w:ascii="Calibri" w:hAnsi="Calibri" w:cs="Calibri"/>
        </w:rPr>
        <w:t>e ČSN 303-5) na účinnější nízko-</w:t>
      </w:r>
      <w:r w:rsidRPr="0092047B">
        <w:rPr>
          <w:rFonts w:ascii="Calibri" w:hAnsi="Calibri" w:cs="Calibri"/>
        </w:rPr>
        <w:t>emisní</w:t>
      </w:r>
      <w:r w:rsidR="00B632B2">
        <w:rPr>
          <w:rFonts w:ascii="Calibri" w:hAnsi="Calibri" w:cs="Calibri"/>
        </w:rPr>
        <w:t xml:space="preserve"> </w:t>
      </w:r>
      <w:r w:rsidR="008A4D84">
        <w:rPr>
          <w:rFonts w:ascii="Calibri" w:hAnsi="Calibri" w:cs="Calibri"/>
        </w:rPr>
        <w:t>zdroje emisních tříd</w:t>
      </w:r>
      <w:r w:rsidR="00D22F40">
        <w:rPr>
          <w:rFonts w:ascii="Calibri" w:hAnsi="Calibri" w:cs="Calibri"/>
        </w:rPr>
        <w:t xml:space="preserve"> vyšších</w:t>
      </w:r>
      <w:r w:rsidRPr="0092047B">
        <w:rPr>
          <w:rFonts w:ascii="Calibri" w:hAnsi="Calibri" w:cs="Calibri"/>
        </w:rPr>
        <w:t xml:space="preserve"> (náhrada nevyhovujících kotlů s ručním přikládáním, nízkou účinností a vysokými emisemi umožňujícími spalovat odpady a nekvalitní paliva za moderní dřevo</w:t>
      </w:r>
      <w:r w:rsidR="001553E5">
        <w:rPr>
          <w:rFonts w:ascii="Calibri" w:hAnsi="Calibri" w:cs="Calibri"/>
        </w:rPr>
        <w:t>-</w:t>
      </w:r>
      <w:r w:rsidR="001553E5" w:rsidRPr="0092047B">
        <w:rPr>
          <w:rFonts w:ascii="Calibri" w:hAnsi="Calibri" w:cs="Calibri"/>
        </w:rPr>
        <w:t>zplyňující</w:t>
      </w:r>
      <w:r w:rsidRPr="0092047B">
        <w:rPr>
          <w:rFonts w:ascii="Calibri" w:hAnsi="Calibri" w:cs="Calibri"/>
        </w:rPr>
        <w:t xml:space="preserve"> kotle nebo automatické kotle na pelety)</w:t>
      </w:r>
      <w:r w:rsidR="00D22F40">
        <w:rPr>
          <w:rFonts w:ascii="Calibri" w:hAnsi="Calibri" w:cs="Calibri"/>
        </w:rPr>
        <w:t xml:space="preserve"> v souladu s aktuálním zněním zákona o ochraně ovzduší</w:t>
      </w:r>
      <w:r w:rsidRPr="0092047B">
        <w:rPr>
          <w:rFonts w:ascii="Calibri" w:hAnsi="Calibri" w:cs="Calibri"/>
        </w:rPr>
        <w:t>.</w:t>
      </w:r>
    </w:p>
    <w:p w:rsidR="00897AF9" w:rsidRPr="0092047B" w:rsidRDefault="00897AF9"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Podporovat restrukturalizaci energeticky a ekonomicky neefektivních systémů dodávek tepla všude tam, kde je předpoklad dosažení vyšší energetické účinnosti, vyšší flexibility v užití paliv a lepších parametrů z hlediska udržitelného rozvoje. Omezit nízko</w:t>
      </w:r>
      <w:r w:rsidR="00FF7CAC">
        <w:rPr>
          <w:rFonts w:ascii="Calibri" w:hAnsi="Calibri" w:cs="Calibri"/>
        </w:rPr>
        <w:t>-</w:t>
      </w:r>
      <w:r w:rsidRPr="0092047B">
        <w:rPr>
          <w:rFonts w:ascii="Calibri" w:hAnsi="Calibri" w:cs="Calibri"/>
        </w:rPr>
        <w:t>účinnou kondenzační výrobu elektřiny.</w:t>
      </w:r>
    </w:p>
    <w:p w:rsidR="00897AF9" w:rsidRPr="0092047B" w:rsidRDefault="00897AF9"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Podporovat maximální využití tepla z jaderných elektráren k vytápění větších aglomeračních celků v blízkosti těchto zdrojů. V úvahu tak připadají lokality Brna, Jihlavy, Dukovan, Českých Budějovic, příp. dalších v horizontu do r. 2030.</w:t>
      </w:r>
    </w:p>
    <w:p w:rsidR="00897AF9" w:rsidRPr="0092047B" w:rsidRDefault="006F3F45" w:rsidP="00184DC1">
      <w:pPr>
        <w:numPr>
          <w:ilvl w:val="2"/>
          <w:numId w:val="55"/>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 xml:space="preserve">Zajistit plnou provázanost </w:t>
      </w:r>
      <w:r w:rsidR="00897AF9" w:rsidRPr="0092047B">
        <w:rPr>
          <w:rFonts w:ascii="Calibri" w:hAnsi="Calibri" w:cs="Calibri"/>
        </w:rPr>
        <w:t xml:space="preserve">územních energetických koncepcí </w:t>
      </w:r>
      <w:r w:rsidRPr="0092047B">
        <w:rPr>
          <w:rFonts w:ascii="Calibri" w:hAnsi="Calibri" w:cs="Calibri"/>
        </w:rPr>
        <w:t>se SEK</w:t>
      </w:r>
      <w:r w:rsidR="00D22F40">
        <w:rPr>
          <w:rFonts w:ascii="Calibri" w:hAnsi="Calibri" w:cs="Calibri"/>
        </w:rPr>
        <w:t>, procesy územního</w:t>
      </w:r>
      <w:r w:rsidR="00DC01D4">
        <w:rPr>
          <w:rFonts w:ascii="Calibri" w:hAnsi="Calibri" w:cs="Calibri"/>
        </w:rPr>
        <w:t xml:space="preserve"> plánování a </w:t>
      </w:r>
      <w:r w:rsidR="00897AF9" w:rsidRPr="0092047B">
        <w:rPr>
          <w:rFonts w:ascii="Calibri" w:hAnsi="Calibri" w:cs="Calibri"/>
        </w:rPr>
        <w:t>stavební</w:t>
      </w:r>
      <w:r w:rsidR="00D22F40">
        <w:rPr>
          <w:rFonts w:ascii="Calibri" w:hAnsi="Calibri" w:cs="Calibri"/>
        </w:rPr>
        <w:t>ho</w:t>
      </w:r>
      <w:r w:rsidR="00897AF9" w:rsidRPr="0092047B">
        <w:rPr>
          <w:rFonts w:ascii="Calibri" w:hAnsi="Calibri" w:cs="Calibri"/>
        </w:rPr>
        <w:t xml:space="preserve"> řízení a </w:t>
      </w:r>
      <w:r w:rsidR="00F43A2A" w:rsidRPr="0092047B">
        <w:rPr>
          <w:rFonts w:ascii="Calibri" w:hAnsi="Calibri" w:cs="Calibri"/>
        </w:rPr>
        <w:t>povolovací</w:t>
      </w:r>
      <w:r w:rsidR="00D22F40">
        <w:rPr>
          <w:rFonts w:ascii="Calibri" w:hAnsi="Calibri" w:cs="Calibri"/>
        </w:rPr>
        <w:t>mi</w:t>
      </w:r>
      <w:r w:rsidR="00F43A2A" w:rsidRPr="0092047B">
        <w:rPr>
          <w:rFonts w:ascii="Calibri" w:hAnsi="Calibri" w:cs="Calibri"/>
        </w:rPr>
        <w:t xml:space="preserve"> </w:t>
      </w:r>
      <w:r w:rsidR="00C13560" w:rsidRPr="0092047B">
        <w:rPr>
          <w:rFonts w:ascii="Calibri" w:hAnsi="Calibri" w:cs="Calibri"/>
        </w:rPr>
        <w:t>proces</w:t>
      </w:r>
      <w:r w:rsidR="00F43A2A">
        <w:rPr>
          <w:rFonts w:ascii="Calibri" w:hAnsi="Calibri" w:cs="Calibri"/>
        </w:rPr>
        <w:t>y</w:t>
      </w:r>
      <w:r w:rsidR="00C13560" w:rsidRPr="0092047B">
        <w:rPr>
          <w:rFonts w:ascii="Calibri" w:hAnsi="Calibri" w:cs="Calibri"/>
        </w:rPr>
        <w:t xml:space="preserve"> </w:t>
      </w:r>
      <w:r w:rsidR="00897AF9" w:rsidRPr="0092047B">
        <w:rPr>
          <w:rFonts w:ascii="Calibri" w:hAnsi="Calibri" w:cs="Calibri"/>
        </w:rPr>
        <w:t>v energetice.</w:t>
      </w:r>
    </w:p>
    <w:p w:rsidR="001346D5" w:rsidRPr="0092047B" w:rsidRDefault="00897AF9" w:rsidP="0068563D">
      <w:pPr>
        <w:numPr>
          <w:ilvl w:val="2"/>
          <w:numId w:val="55"/>
        </w:numPr>
        <w:autoSpaceDE w:val="0"/>
        <w:autoSpaceDN w:val="0"/>
        <w:adjustRightInd w:val="0"/>
        <w:spacing w:before="120"/>
        <w:ind w:left="1134" w:hanging="709"/>
        <w:contextualSpacing/>
        <w:rPr>
          <w:rFonts w:ascii="Calibri" w:hAnsi="Calibri" w:cs="Calibri"/>
        </w:rPr>
      </w:pPr>
      <w:r w:rsidRPr="0092047B">
        <w:rPr>
          <w:rFonts w:ascii="Calibri" w:hAnsi="Calibri" w:cs="Calibri"/>
        </w:rPr>
        <w:t>Podpořit územní rozvoj soustav zásobování teplem tam, kde je to reálné a efektivní, s cílem využití přebytku tepelného výkonu v důsledku úspor v budovách.</w:t>
      </w:r>
    </w:p>
    <w:p w:rsidR="00897AF9" w:rsidRPr="0092047B" w:rsidRDefault="00897AF9" w:rsidP="0068563D">
      <w:pPr>
        <w:pStyle w:val="Zkladntext"/>
        <w:spacing w:before="240" w:after="120"/>
        <w:rPr>
          <w:rFonts w:cstheme="minorHAnsi"/>
          <w:bCs/>
          <w:u w:val="single"/>
        </w:rPr>
      </w:pPr>
      <w:r w:rsidRPr="0092047B">
        <w:rPr>
          <w:rFonts w:cstheme="minorHAnsi"/>
          <w:bCs/>
          <w:u w:val="single"/>
        </w:rPr>
        <w:t>Dílčí cíle a jejich specifikace v jednotlivých oblastech:</w:t>
      </w:r>
    </w:p>
    <w:p w:rsidR="00897AF9" w:rsidRPr="0092047B" w:rsidRDefault="00897AF9" w:rsidP="0068563D">
      <w:pPr>
        <w:pStyle w:val="Zkladntext"/>
        <w:numPr>
          <w:ilvl w:val="0"/>
          <w:numId w:val="91"/>
        </w:numPr>
        <w:spacing w:before="120" w:after="120"/>
        <w:ind w:left="567" w:hanging="283"/>
        <w:rPr>
          <w:rFonts w:cstheme="minorHAnsi"/>
          <w:b/>
          <w:bCs/>
        </w:rPr>
      </w:pPr>
      <w:r w:rsidRPr="0092047B">
        <w:rPr>
          <w:rFonts w:cstheme="minorHAnsi"/>
          <w:b/>
          <w:bCs/>
        </w:rPr>
        <w:t xml:space="preserve">Palivová základna pro </w:t>
      </w:r>
      <w:r w:rsidRPr="0092047B">
        <w:rPr>
          <w:rFonts w:ascii="Calibri" w:eastAsia="Calibri" w:hAnsi="Calibri"/>
          <w:b/>
          <w:color w:val="000000" w:themeColor="text1"/>
        </w:rPr>
        <w:t>soustavy zásobování teplem</w:t>
      </w:r>
    </w:p>
    <w:p w:rsidR="00897AF9" w:rsidRPr="0092047B" w:rsidRDefault="00897AF9" w:rsidP="00184DC1">
      <w:pPr>
        <w:numPr>
          <w:ilvl w:val="1"/>
          <w:numId w:val="56"/>
        </w:numPr>
        <w:tabs>
          <w:tab w:val="left" w:pos="851"/>
        </w:tabs>
        <w:autoSpaceDE w:val="0"/>
        <w:autoSpaceDN w:val="0"/>
        <w:adjustRightInd w:val="0"/>
        <w:spacing w:before="120" w:after="157"/>
        <w:ind w:left="1134" w:hanging="708"/>
        <w:contextualSpacing/>
        <w:rPr>
          <w:rFonts w:cstheme="minorHAnsi"/>
        </w:rPr>
      </w:pPr>
      <w:r w:rsidRPr="0092047B">
        <w:rPr>
          <w:rFonts w:cstheme="minorHAnsi"/>
        </w:rPr>
        <w:t xml:space="preserve">Využít kvalitní hnědé uhlí pro dodávky tepla z kombinované výroby. Vytvořit legislativní a administrativní prostředí, včetně ekonomických nástrojů směřujících k přednostnímu využití tohoto uhlí zejména ve větších a středních soustavách zásobování teplem (kombinace vyšších poplatků z těžby a podpory KVET v teplárenství, zvýhodnění účinných zdrojů a penalizace zdrojů s nízkou účinností kondenzační </w:t>
      </w:r>
      <w:r w:rsidR="00B124A1">
        <w:rPr>
          <w:rFonts w:cstheme="minorHAnsi"/>
        </w:rPr>
        <w:t xml:space="preserve">výroby </w:t>
      </w:r>
      <w:r w:rsidRPr="0092047B">
        <w:rPr>
          <w:rFonts w:cstheme="minorHAnsi"/>
        </w:rPr>
        <w:t>elektřiny.</w:t>
      </w:r>
    </w:p>
    <w:p w:rsidR="00897AF9" w:rsidRPr="0092047B" w:rsidRDefault="00897AF9" w:rsidP="00184DC1">
      <w:pPr>
        <w:numPr>
          <w:ilvl w:val="1"/>
          <w:numId w:val="56"/>
        </w:numPr>
        <w:tabs>
          <w:tab w:val="left" w:pos="851"/>
        </w:tabs>
        <w:autoSpaceDE w:val="0"/>
        <w:autoSpaceDN w:val="0"/>
        <w:adjustRightInd w:val="0"/>
        <w:spacing w:before="120" w:after="157"/>
        <w:ind w:left="1134" w:hanging="708"/>
        <w:contextualSpacing/>
        <w:rPr>
          <w:rFonts w:cstheme="minorHAnsi"/>
        </w:rPr>
      </w:pPr>
      <w:r w:rsidRPr="0092047B">
        <w:rPr>
          <w:rFonts w:cstheme="minorHAnsi"/>
        </w:rPr>
        <w:t xml:space="preserve">Podporovat přechod zejména středních a menších soustav zásobování teplem, na vícepalivové systémy využívající lokálně dostupnou biomasu, zemní plyn, případně další palivo, kdy </w:t>
      </w:r>
      <w:r w:rsidR="00343C92">
        <w:rPr>
          <w:rFonts w:cstheme="minorHAnsi"/>
        </w:rPr>
        <w:t>především</w:t>
      </w:r>
      <w:r w:rsidRPr="0092047B">
        <w:rPr>
          <w:rFonts w:cstheme="minorHAnsi"/>
        </w:rPr>
        <w:t xml:space="preserve"> zemní plyn bude plnit roli stabilizačního a doplňkového paliva.</w:t>
      </w:r>
    </w:p>
    <w:p w:rsidR="00897AF9" w:rsidRPr="0092047B" w:rsidRDefault="00897AF9" w:rsidP="00184DC1">
      <w:pPr>
        <w:numPr>
          <w:ilvl w:val="1"/>
          <w:numId w:val="56"/>
        </w:numPr>
        <w:tabs>
          <w:tab w:val="left" w:pos="851"/>
        </w:tabs>
        <w:autoSpaceDE w:val="0"/>
        <w:autoSpaceDN w:val="0"/>
        <w:adjustRightInd w:val="0"/>
        <w:spacing w:before="120" w:after="157"/>
        <w:ind w:left="1134" w:hanging="708"/>
        <w:contextualSpacing/>
        <w:rPr>
          <w:rFonts w:cstheme="minorHAnsi"/>
        </w:rPr>
      </w:pPr>
      <w:r w:rsidRPr="0092047B">
        <w:rPr>
          <w:rFonts w:cstheme="minorHAnsi"/>
        </w:rPr>
        <w:t>Orientovat využívání kvalitního černého uhlí zejména na střední a velké teplárenské zdroje s kombinovanou výrobou elektřiny a tepla.</w:t>
      </w:r>
    </w:p>
    <w:p w:rsidR="00897AF9" w:rsidRPr="0092047B" w:rsidRDefault="00897AF9" w:rsidP="0068563D">
      <w:pPr>
        <w:numPr>
          <w:ilvl w:val="1"/>
          <w:numId w:val="56"/>
        </w:numPr>
        <w:tabs>
          <w:tab w:val="left" w:pos="851"/>
        </w:tabs>
        <w:autoSpaceDE w:val="0"/>
        <w:autoSpaceDN w:val="0"/>
        <w:adjustRightInd w:val="0"/>
        <w:spacing w:before="120" w:after="120"/>
        <w:ind w:left="1134" w:hanging="709"/>
        <w:contextualSpacing/>
        <w:rPr>
          <w:rFonts w:cstheme="minorHAnsi"/>
        </w:rPr>
      </w:pPr>
      <w:r w:rsidRPr="0092047B">
        <w:rPr>
          <w:rFonts w:cstheme="minorHAnsi"/>
        </w:rPr>
        <w:t>Orientovat využívání zemního plynu jako nízko</w:t>
      </w:r>
      <w:r w:rsidR="006C51FA">
        <w:rPr>
          <w:rFonts w:cstheme="minorHAnsi"/>
        </w:rPr>
        <w:t>-</w:t>
      </w:r>
      <w:r w:rsidRPr="0092047B">
        <w:rPr>
          <w:rFonts w:cstheme="minorHAnsi"/>
        </w:rPr>
        <w:t>emisního energetického zdroje především na malé a střední teplárenské systémy, na domácnosti a na decentralizované zdroje tepla (mikrokogenerace), a to zvláště v oblastech s vysokým imisním zatížením, kde spalování pevných paliv je zdrojem vyšší koncentrace především polétavého prachu.</w:t>
      </w:r>
    </w:p>
    <w:p w:rsidR="00897AF9" w:rsidRPr="0092047B" w:rsidRDefault="00897AF9" w:rsidP="0068563D">
      <w:pPr>
        <w:pStyle w:val="Zkladntext"/>
        <w:numPr>
          <w:ilvl w:val="0"/>
          <w:numId w:val="91"/>
        </w:numPr>
        <w:spacing w:before="120" w:after="120"/>
        <w:ind w:hanging="436"/>
        <w:rPr>
          <w:rFonts w:cstheme="minorHAnsi"/>
          <w:b/>
          <w:bCs/>
        </w:rPr>
      </w:pPr>
      <w:r w:rsidRPr="0092047B">
        <w:rPr>
          <w:rFonts w:cstheme="minorHAnsi"/>
          <w:b/>
          <w:bCs/>
        </w:rPr>
        <w:t xml:space="preserve">Elektrizační soustava a teplárenství </w:t>
      </w:r>
    </w:p>
    <w:p w:rsidR="00897AF9" w:rsidRPr="0092047B" w:rsidRDefault="00897AF9" w:rsidP="00184DC1">
      <w:pPr>
        <w:numPr>
          <w:ilvl w:val="1"/>
          <w:numId w:val="57"/>
        </w:numPr>
        <w:tabs>
          <w:tab w:val="left" w:pos="1276"/>
        </w:tabs>
        <w:autoSpaceDE w:val="0"/>
        <w:autoSpaceDN w:val="0"/>
        <w:adjustRightInd w:val="0"/>
        <w:spacing w:before="120" w:after="157"/>
        <w:ind w:left="1134" w:hanging="708"/>
        <w:contextualSpacing/>
        <w:rPr>
          <w:rFonts w:cstheme="minorHAnsi"/>
        </w:rPr>
      </w:pPr>
      <w:r w:rsidRPr="0092047B">
        <w:rPr>
          <w:rFonts w:cstheme="minorHAnsi"/>
        </w:rPr>
        <w:t xml:space="preserve">Podporovat využití </w:t>
      </w:r>
      <w:r w:rsidR="00343C92">
        <w:rPr>
          <w:rFonts w:cstheme="minorHAnsi"/>
        </w:rPr>
        <w:t>především</w:t>
      </w:r>
      <w:r w:rsidRPr="0092047B">
        <w:rPr>
          <w:rFonts w:cstheme="minorHAnsi"/>
        </w:rPr>
        <w:t xml:space="preserve"> větších tepláren pro dodávku regulačních služeb pro přenosovou soustavu. Podporovat efektivní rozvoj tepelných čerpadel v teplárenských systémech.</w:t>
      </w:r>
    </w:p>
    <w:p w:rsidR="00897AF9" w:rsidRPr="0092047B" w:rsidRDefault="00897AF9" w:rsidP="00184DC1">
      <w:pPr>
        <w:numPr>
          <w:ilvl w:val="1"/>
          <w:numId w:val="57"/>
        </w:numPr>
        <w:tabs>
          <w:tab w:val="left" w:pos="426"/>
        </w:tabs>
        <w:autoSpaceDE w:val="0"/>
        <w:autoSpaceDN w:val="0"/>
        <w:adjustRightInd w:val="0"/>
        <w:spacing w:before="120" w:after="157"/>
        <w:ind w:left="1134" w:hanging="708"/>
        <w:contextualSpacing/>
        <w:rPr>
          <w:rFonts w:cstheme="minorHAnsi"/>
        </w:rPr>
      </w:pPr>
      <w:r w:rsidRPr="0092047B">
        <w:rPr>
          <w:rFonts w:cstheme="minorHAnsi"/>
        </w:rPr>
        <w:t>Vytvořit podmínky pro účast tepláren při vytváření krajských územních koncepcí a zabezpečení jejich úlohy v ostrovních provozech jednotlivých oblastí v havarijních situacích.</w:t>
      </w:r>
    </w:p>
    <w:p w:rsidR="00897AF9" w:rsidRPr="0092047B" w:rsidRDefault="00897AF9" w:rsidP="0068563D">
      <w:pPr>
        <w:numPr>
          <w:ilvl w:val="1"/>
          <w:numId w:val="57"/>
        </w:numPr>
        <w:tabs>
          <w:tab w:val="left" w:pos="426"/>
        </w:tabs>
        <w:autoSpaceDE w:val="0"/>
        <w:autoSpaceDN w:val="0"/>
        <w:adjustRightInd w:val="0"/>
        <w:spacing w:before="120" w:after="120"/>
        <w:ind w:left="1134" w:hanging="709"/>
        <w:contextualSpacing/>
        <w:rPr>
          <w:rFonts w:cstheme="minorHAnsi"/>
        </w:rPr>
      </w:pPr>
      <w:r w:rsidRPr="0092047B">
        <w:rPr>
          <w:rFonts w:cstheme="minorHAnsi"/>
        </w:rPr>
        <w:t>Zajistit integraci menších teplárenských zdrojů do systémů inteligentních sítí a decentrálního řízení.</w:t>
      </w:r>
    </w:p>
    <w:p w:rsidR="00897AF9" w:rsidRPr="0092047B" w:rsidRDefault="00897AF9" w:rsidP="0068563D">
      <w:pPr>
        <w:pStyle w:val="Zkladntext"/>
        <w:numPr>
          <w:ilvl w:val="0"/>
          <w:numId w:val="91"/>
        </w:numPr>
        <w:spacing w:before="120" w:after="120"/>
        <w:ind w:hanging="436"/>
        <w:rPr>
          <w:rFonts w:cstheme="minorHAnsi"/>
          <w:b/>
          <w:bCs/>
        </w:rPr>
      </w:pPr>
      <w:r w:rsidRPr="0092047B">
        <w:rPr>
          <w:rFonts w:cstheme="minorHAnsi"/>
          <w:b/>
          <w:bCs/>
        </w:rPr>
        <w:t>Decentrální výroba tepla</w:t>
      </w:r>
    </w:p>
    <w:p w:rsidR="00897AF9" w:rsidRPr="0092047B" w:rsidRDefault="00897AF9" w:rsidP="00184DC1">
      <w:pPr>
        <w:numPr>
          <w:ilvl w:val="1"/>
          <w:numId w:val="58"/>
        </w:numPr>
        <w:autoSpaceDE w:val="0"/>
        <w:autoSpaceDN w:val="0"/>
        <w:adjustRightInd w:val="0"/>
        <w:spacing w:before="120" w:after="157"/>
        <w:ind w:left="1134" w:hanging="708"/>
        <w:contextualSpacing/>
        <w:rPr>
          <w:rFonts w:cstheme="minorHAnsi"/>
        </w:rPr>
      </w:pPr>
      <w:r w:rsidRPr="0092047B">
        <w:rPr>
          <w:rFonts w:cstheme="minorHAnsi"/>
        </w:rPr>
        <w:t>Přechod od přímotopných a akumulačních systémů k tepelným čerpadlům.</w:t>
      </w:r>
    </w:p>
    <w:p w:rsidR="00897AF9" w:rsidRPr="0092047B" w:rsidRDefault="00897AF9" w:rsidP="00184DC1">
      <w:pPr>
        <w:numPr>
          <w:ilvl w:val="1"/>
          <w:numId w:val="58"/>
        </w:numPr>
        <w:autoSpaceDE w:val="0"/>
        <w:autoSpaceDN w:val="0"/>
        <w:adjustRightInd w:val="0"/>
        <w:spacing w:before="120" w:after="157"/>
        <w:ind w:left="1134" w:hanging="708"/>
        <w:contextualSpacing/>
        <w:rPr>
          <w:rFonts w:cstheme="minorHAnsi"/>
        </w:rPr>
      </w:pPr>
      <w:r w:rsidRPr="0092047B">
        <w:rPr>
          <w:rFonts w:cstheme="minorHAnsi"/>
        </w:rPr>
        <w:t>Maximální odklon od využívání uhlí v konečné spotřebě a jeho náhrada zemním plynem, biomasou</w:t>
      </w:r>
      <w:r w:rsidR="00D22F40">
        <w:rPr>
          <w:rFonts w:cstheme="minorHAnsi"/>
        </w:rPr>
        <w:t>,</w:t>
      </w:r>
      <w:r w:rsidRPr="0092047B">
        <w:rPr>
          <w:rFonts w:cstheme="minorHAnsi"/>
        </w:rPr>
        <w:t xml:space="preserve"> elektroteplem z tepelných čerpadel</w:t>
      </w:r>
      <w:r w:rsidR="00D22F40">
        <w:rPr>
          <w:rFonts w:cstheme="minorHAnsi"/>
        </w:rPr>
        <w:t xml:space="preserve"> a solárními systémy</w:t>
      </w:r>
      <w:r w:rsidRPr="0092047B">
        <w:rPr>
          <w:rFonts w:cstheme="minorHAnsi"/>
        </w:rPr>
        <w:t xml:space="preserve"> v</w:t>
      </w:r>
      <w:r w:rsidR="00724009">
        <w:rPr>
          <w:rFonts w:cstheme="minorHAnsi"/>
        </w:rPr>
        <w:t> </w:t>
      </w:r>
      <w:r w:rsidRPr="0092047B">
        <w:rPr>
          <w:rFonts w:cstheme="minorHAnsi"/>
        </w:rPr>
        <w:t>horizontu roku 2020.</w:t>
      </w:r>
    </w:p>
    <w:p w:rsidR="00897AF9" w:rsidRPr="0092047B" w:rsidRDefault="00897AF9" w:rsidP="00184DC1">
      <w:pPr>
        <w:numPr>
          <w:ilvl w:val="1"/>
          <w:numId w:val="58"/>
        </w:numPr>
        <w:autoSpaceDE w:val="0"/>
        <w:autoSpaceDN w:val="0"/>
        <w:adjustRightInd w:val="0"/>
        <w:spacing w:before="120" w:after="157"/>
        <w:ind w:left="1134" w:hanging="708"/>
        <w:contextualSpacing/>
        <w:rPr>
          <w:rFonts w:cstheme="minorHAnsi"/>
        </w:rPr>
      </w:pPr>
      <w:r w:rsidRPr="0092047B">
        <w:rPr>
          <w:rFonts w:cstheme="minorHAnsi"/>
        </w:rPr>
        <w:t>Zvýšení účinnosti lokálních topidel na zemní plyn.</w:t>
      </w:r>
    </w:p>
    <w:p w:rsidR="00897AF9" w:rsidRPr="0092047B" w:rsidRDefault="00897AF9" w:rsidP="00184DC1">
      <w:pPr>
        <w:numPr>
          <w:ilvl w:val="1"/>
          <w:numId w:val="58"/>
        </w:numPr>
        <w:autoSpaceDE w:val="0"/>
        <w:autoSpaceDN w:val="0"/>
        <w:adjustRightInd w:val="0"/>
        <w:spacing w:before="120" w:after="157"/>
        <w:ind w:left="1134" w:hanging="708"/>
        <w:contextualSpacing/>
        <w:rPr>
          <w:rFonts w:cstheme="minorHAnsi"/>
        </w:rPr>
      </w:pPr>
      <w:r w:rsidRPr="0092047B">
        <w:rPr>
          <w:rFonts w:cstheme="minorHAnsi"/>
        </w:rPr>
        <w:t>Zvýšení účinnosti a emisních parametrů lokálních zdrojů na biomasu (zejména orientace na pelety, automatizace provozu topenišť atd.), a to zvláště v oblastech s vysokým imisním zatížením, kde spalování pevných paliv je zdrojem vyšší koncentrace především polétavého prachu a polycyklických aromatických uhlovodíků.</w:t>
      </w:r>
    </w:p>
    <w:p w:rsidR="00897AF9" w:rsidRPr="0092047B" w:rsidRDefault="00897AF9" w:rsidP="0068563D">
      <w:pPr>
        <w:numPr>
          <w:ilvl w:val="1"/>
          <w:numId w:val="58"/>
        </w:numPr>
        <w:autoSpaceDE w:val="0"/>
        <w:autoSpaceDN w:val="0"/>
        <w:adjustRightInd w:val="0"/>
        <w:spacing w:before="120"/>
        <w:ind w:left="1134" w:hanging="709"/>
        <w:contextualSpacing/>
        <w:rPr>
          <w:rFonts w:cstheme="minorHAnsi"/>
        </w:rPr>
      </w:pPr>
      <w:r w:rsidRPr="0092047B">
        <w:rPr>
          <w:rFonts w:cstheme="minorHAnsi"/>
        </w:rPr>
        <w:t>Pre</w:t>
      </w:r>
      <w:r w:rsidR="005667D0" w:rsidRPr="0092047B">
        <w:rPr>
          <w:rFonts w:cstheme="minorHAnsi"/>
        </w:rPr>
        <w:t>ference vysokoúčinné kombinované</w:t>
      </w:r>
      <w:r w:rsidRPr="0092047B">
        <w:rPr>
          <w:rFonts w:cstheme="minorHAnsi"/>
        </w:rPr>
        <w:t xml:space="preserve"> výroby tepla a elektřiny.</w:t>
      </w:r>
    </w:p>
    <w:p w:rsidR="00897AF9" w:rsidRPr="0092047B" w:rsidRDefault="00897AF9" w:rsidP="00184DC1">
      <w:pPr>
        <w:pStyle w:val="Nadpis2"/>
      </w:pPr>
      <w:bookmarkStart w:id="802" w:name="_Toc396923398"/>
      <w:r w:rsidRPr="0092047B">
        <w:t>Doprava</w:t>
      </w:r>
      <w:bookmarkEnd w:id="802"/>
    </w:p>
    <w:p w:rsidR="00897AF9" w:rsidRPr="0092047B" w:rsidRDefault="00897AF9" w:rsidP="00184DC1">
      <w:pPr>
        <w:pStyle w:val="Zkladntext"/>
        <w:spacing w:after="120"/>
        <w:rPr>
          <w:rFonts w:cstheme="minorHAnsi"/>
          <w:b/>
          <w:bCs/>
        </w:rPr>
      </w:pPr>
      <w:r w:rsidRPr="0092047B">
        <w:rPr>
          <w:rFonts w:cstheme="minorHAnsi"/>
          <w:b/>
          <w:bCs/>
        </w:rPr>
        <w:t>Vize</w:t>
      </w:r>
    </w:p>
    <w:p w:rsidR="00897AF9" w:rsidRPr="0092047B" w:rsidRDefault="00897AF9" w:rsidP="00184DC1">
      <w:pPr>
        <w:overflowPunct w:val="0"/>
        <w:autoSpaceDE w:val="0"/>
        <w:autoSpaceDN w:val="0"/>
        <w:adjustRightInd w:val="0"/>
        <w:textAlignment w:val="baseline"/>
        <w:rPr>
          <w:rFonts w:cstheme="minorHAnsi"/>
        </w:rPr>
      </w:pPr>
      <w:r w:rsidRPr="0092047B">
        <w:rPr>
          <w:rFonts w:cstheme="minorHAnsi"/>
        </w:rPr>
        <w:t>Do budoucna je nutné snížit v dopravě závislost na ropě, resp. na palivech vyráběných z</w:t>
      </w:r>
      <w:r w:rsidR="00343C92">
        <w:rPr>
          <w:rFonts w:cstheme="minorHAnsi"/>
        </w:rPr>
        <w:t> </w:t>
      </w:r>
      <w:r w:rsidRPr="0092047B">
        <w:rPr>
          <w:rFonts w:cstheme="minorHAnsi"/>
        </w:rPr>
        <w:t>ropy</w:t>
      </w:r>
      <w:r w:rsidR="00343C92">
        <w:rPr>
          <w:rFonts w:cstheme="minorHAnsi"/>
        </w:rPr>
        <w:t>,</w:t>
      </w:r>
      <w:r w:rsidRPr="0092047B">
        <w:rPr>
          <w:rFonts w:cstheme="minorHAnsi"/>
        </w:rPr>
        <w:t xml:space="preserve"> a zvýšit zastoupení alternativních paliv v dopravě, vybudovat dostačující infrastrukturu pro </w:t>
      </w:r>
      <w:r w:rsidRPr="00D22F40">
        <w:rPr>
          <w:rFonts w:cstheme="minorHAnsi"/>
        </w:rPr>
        <w:t>vozidla na alternativní pohon (zemní plyn, elektřina). Snížit tak dopady na životní prostředí vznikající v souvislosti s tímto odvětvím (emise</w:t>
      </w:r>
      <w:r w:rsidR="00D22F40" w:rsidRPr="00D22F40">
        <w:rPr>
          <w:rFonts w:cstheme="minorHAnsi"/>
        </w:rPr>
        <w:t>, migrační prostupnosti krajiny včetně vodních toků</w:t>
      </w:r>
      <w:r w:rsidRPr="00D22F40">
        <w:rPr>
          <w:rFonts w:cstheme="minorHAnsi"/>
        </w:rPr>
        <w:t>). Zachovat či zlepšit mobilitu obyvatelstva nejen v rámci městských aglomerací ale i na</w:t>
      </w:r>
      <w:r w:rsidRPr="0092047B">
        <w:rPr>
          <w:rFonts w:cstheme="minorHAnsi"/>
        </w:rPr>
        <w:t xml:space="preserve"> úrovni regionální, národní či mezistátní.</w:t>
      </w:r>
    </w:p>
    <w:p w:rsidR="00897AF9" w:rsidRPr="0092047B" w:rsidRDefault="00897AF9" w:rsidP="00184DC1">
      <w:pPr>
        <w:pStyle w:val="Zkladntext"/>
        <w:spacing w:after="120"/>
        <w:rPr>
          <w:rFonts w:ascii="Calibri" w:hAnsi="Calibri" w:cs="Calibri"/>
          <w:b/>
          <w:bCs/>
        </w:rPr>
      </w:pPr>
      <w:r w:rsidRPr="0092047B">
        <w:rPr>
          <w:rFonts w:ascii="Calibri" w:hAnsi="Calibri" w:cs="Calibri"/>
          <w:b/>
          <w:bCs/>
        </w:rPr>
        <w:t>Hlavní cíle</w:t>
      </w:r>
    </w:p>
    <w:p w:rsidR="00897AF9" w:rsidRPr="0092047B" w:rsidRDefault="00897AF9" w:rsidP="00184DC1">
      <w:pPr>
        <w:numPr>
          <w:ilvl w:val="0"/>
          <w:numId w:val="59"/>
        </w:numPr>
        <w:autoSpaceDE w:val="0"/>
        <w:autoSpaceDN w:val="0"/>
        <w:adjustRightInd w:val="0"/>
        <w:spacing w:before="120" w:after="157"/>
        <w:ind w:left="1134" w:hanging="708"/>
        <w:contextualSpacing/>
        <w:rPr>
          <w:rFonts w:cstheme="minorHAnsi"/>
        </w:rPr>
      </w:pPr>
      <w:r w:rsidRPr="0092047B">
        <w:rPr>
          <w:rFonts w:cstheme="minorHAnsi"/>
        </w:rPr>
        <w:t>Zvyšovat konkurenceschopnost ČR a zároveň podporovat snižování emisí skleníkových plynů (stát se vedoucím hráčem na poli technologického rozvoje v aplikaci využívání inovativních pohonů).</w:t>
      </w:r>
    </w:p>
    <w:p w:rsidR="00897AF9" w:rsidRPr="0092047B" w:rsidRDefault="00897AF9" w:rsidP="00184DC1">
      <w:pPr>
        <w:numPr>
          <w:ilvl w:val="0"/>
          <w:numId w:val="59"/>
        </w:numPr>
        <w:autoSpaceDE w:val="0"/>
        <w:autoSpaceDN w:val="0"/>
        <w:adjustRightInd w:val="0"/>
        <w:spacing w:before="120" w:after="157"/>
        <w:ind w:left="1134" w:hanging="708"/>
        <w:contextualSpacing/>
        <w:rPr>
          <w:rFonts w:cstheme="minorHAnsi"/>
        </w:rPr>
      </w:pPr>
      <w:r w:rsidRPr="0092047B">
        <w:rPr>
          <w:rFonts w:cstheme="minorHAnsi"/>
        </w:rPr>
        <w:t>Zajistit pro resort dopravy pro rozvoj mobility a udržení konkurenceschopnosti hospodářství ČR dostatek paliv, resp. energie za dostupné ceny. I zde platí pro dopravu to, co platí z pohledu elektrické energie pro průmysl.</w:t>
      </w:r>
    </w:p>
    <w:p w:rsidR="00897AF9" w:rsidRPr="0092047B" w:rsidRDefault="00897AF9" w:rsidP="00184DC1">
      <w:pPr>
        <w:numPr>
          <w:ilvl w:val="0"/>
          <w:numId w:val="59"/>
        </w:numPr>
        <w:autoSpaceDE w:val="0"/>
        <w:autoSpaceDN w:val="0"/>
        <w:adjustRightInd w:val="0"/>
        <w:spacing w:before="120" w:after="157"/>
        <w:ind w:left="1134" w:hanging="708"/>
        <w:contextualSpacing/>
        <w:rPr>
          <w:rFonts w:cstheme="minorHAnsi"/>
        </w:rPr>
      </w:pPr>
      <w:r w:rsidRPr="0092047B">
        <w:rPr>
          <w:rFonts w:cstheme="minorHAnsi"/>
        </w:rPr>
        <w:t xml:space="preserve">Podporovat výzkum a vývoj </w:t>
      </w:r>
      <w:r w:rsidR="00343C92">
        <w:rPr>
          <w:rFonts w:cstheme="minorHAnsi"/>
        </w:rPr>
        <w:t xml:space="preserve">v oblasti </w:t>
      </w:r>
      <w:r w:rsidRPr="0092047B">
        <w:rPr>
          <w:rFonts w:cstheme="minorHAnsi"/>
        </w:rPr>
        <w:t>zvýšení efektivnosti spalovacích motorů, ekologičtější dopravní prostředky (</w:t>
      </w:r>
      <w:r w:rsidR="00601CD6" w:rsidRPr="0092047B">
        <w:rPr>
          <w:rFonts w:cstheme="minorHAnsi"/>
        </w:rPr>
        <w:t xml:space="preserve">zejména </w:t>
      </w:r>
      <w:r w:rsidRPr="0092047B">
        <w:rPr>
          <w:rFonts w:cstheme="minorHAnsi"/>
        </w:rPr>
        <w:t>CNG</w:t>
      </w:r>
      <w:r w:rsidR="00CC2883">
        <w:rPr>
          <w:rFonts w:cstheme="minorHAnsi"/>
        </w:rPr>
        <w:t>, LNG</w:t>
      </w:r>
      <w:r w:rsidR="00724009">
        <w:rPr>
          <w:rFonts w:cstheme="minorHAnsi"/>
        </w:rPr>
        <w:t xml:space="preserve">, </w:t>
      </w:r>
      <w:r w:rsidRPr="0092047B">
        <w:rPr>
          <w:rFonts w:cstheme="minorHAnsi"/>
        </w:rPr>
        <w:t>alternativní paliva z OZE, hybridní pohony), včetně vývoje palivových článků, akumulátorů a super</w:t>
      </w:r>
      <w:r w:rsidR="00CC2883">
        <w:rPr>
          <w:rFonts w:cstheme="minorHAnsi"/>
        </w:rPr>
        <w:t>k</w:t>
      </w:r>
      <w:r w:rsidRPr="0092047B">
        <w:rPr>
          <w:rFonts w:cstheme="minorHAnsi"/>
        </w:rPr>
        <w:t>apacitorů pro rozvoj elektricky poháněných vozidel.</w:t>
      </w:r>
    </w:p>
    <w:p w:rsidR="00897AF9" w:rsidRPr="0092047B" w:rsidRDefault="00897AF9" w:rsidP="00184DC1">
      <w:pPr>
        <w:numPr>
          <w:ilvl w:val="0"/>
          <w:numId w:val="59"/>
        </w:numPr>
        <w:autoSpaceDE w:val="0"/>
        <w:autoSpaceDN w:val="0"/>
        <w:adjustRightInd w:val="0"/>
        <w:spacing w:before="120" w:after="157"/>
        <w:ind w:left="1134" w:hanging="708"/>
        <w:contextualSpacing/>
        <w:rPr>
          <w:rFonts w:cstheme="minorHAnsi"/>
        </w:rPr>
      </w:pPr>
      <w:r w:rsidRPr="0092047B">
        <w:rPr>
          <w:rFonts w:cstheme="minorHAnsi"/>
        </w:rPr>
        <w:t xml:space="preserve">Připravit, v návaznosti na doporučení OECD IEA Policy Review 2010, Národní akční plán udržitelné mobility ke zvýšení energetické efektivity v dopravě s pevným harmonogramem </w:t>
      </w:r>
      <w:r w:rsidR="00B124A1">
        <w:rPr>
          <w:rFonts w:cstheme="minorHAnsi"/>
        </w:rPr>
        <w:t>pro</w:t>
      </w:r>
      <w:r w:rsidRPr="0092047B">
        <w:rPr>
          <w:rFonts w:cstheme="minorHAnsi"/>
        </w:rPr>
        <w:t xml:space="preserve"> jeho implementaci.</w:t>
      </w:r>
    </w:p>
    <w:p w:rsidR="00897AF9" w:rsidRPr="0092047B" w:rsidRDefault="00897AF9" w:rsidP="00184DC1">
      <w:pPr>
        <w:numPr>
          <w:ilvl w:val="0"/>
          <w:numId w:val="59"/>
        </w:numPr>
        <w:autoSpaceDE w:val="0"/>
        <w:autoSpaceDN w:val="0"/>
        <w:adjustRightInd w:val="0"/>
        <w:spacing w:before="120" w:after="157"/>
        <w:ind w:left="1134" w:hanging="708"/>
        <w:contextualSpacing/>
        <w:rPr>
          <w:rFonts w:cstheme="minorHAnsi"/>
        </w:rPr>
      </w:pPr>
      <w:r w:rsidRPr="0092047B">
        <w:rPr>
          <w:rFonts w:cstheme="minorHAnsi"/>
        </w:rPr>
        <w:t>Rozvíjet infrastrukturu pro ekologičtější dopravní prostředky a telematické systémy řízení dopravy směřujících k automatizaci a optimalizaci dopravy. Je nutno na oblast dopravy nahlížet komplexně se zahrnutím všech alternativ.</w:t>
      </w:r>
    </w:p>
    <w:p w:rsidR="00897AF9" w:rsidRPr="0092047B" w:rsidRDefault="00897AF9" w:rsidP="00184DC1">
      <w:pPr>
        <w:numPr>
          <w:ilvl w:val="0"/>
          <w:numId w:val="59"/>
        </w:numPr>
        <w:autoSpaceDE w:val="0"/>
        <w:autoSpaceDN w:val="0"/>
        <w:adjustRightInd w:val="0"/>
        <w:spacing w:before="120" w:after="157"/>
        <w:ind w:left="1134" w:hanging="708"/>
        <w:contextualSpacing/>
        <w:rPr>
          <w:rFonts w:cstheme="minorHAnsi"/>
        </w:rPr>
      </w:pPr>
      <w:r w:rsidRPr="0092047B">
        <w:rPr>
          <w:rFonts w:cstheme="minorHAnsi"/>
        </w:rPr>
        <w:t>Uplatňovat ve veřejné hromadné dopravě osvědčené technologie pro zvýšení podílu elektrické energie pomocí elektrické trakce (další elektrizace kolejové dopravy, příp</w:t>
      </w:r>
      <w:r w:rsidR="006D6301">
        <w:rPr>
          <w:rFonts w:cstheme="minorHAnsi"/>
        </w:rPr>
        <w:t>adně</w:t>
      </w:r>
      <w:r w:rsidRPr="0092047B">
        <w:rPr>
          <w:rFonts w:cstheme="minorHAnsi"/>
        </w:rPr>
        <w:t xml:space="preserve"> trolejbusy).</w:t>
      </w:r>
    </w:p>
    <w:p w:rsidR="00897AF9" w:rsidRPr="0092047B" w:rsidRDefault="00897AF9" w:rsidP="0068563D">
      <w:pPr>
        <w:numPr>
          <w:ilvl w:val="0"/>
          <w:numId w:val="59"/>
        </w:numPr>
        <w:autoSpaceDE w:val="0"/>
        <w:autoSpaceDN w:val="0"/>
        <w:adjustRightInd w:val="0"/>
        <w:spacing w:before="120"/>
        <w:ind w:left="1134" w:hanging="709"/>
        <w:contextualSpacing/>
        <w:rPr>
          <w:rFonts w:cstheme="minorHAnsi"/>
        </w:rPr>
      </w:pPr>
      <w:r w:rsidRPr="0092047B">
        <w:rPr>
          <w:rFonts w:cstheme="minorHAnsi"/>
        </w:rPr>
        <w:t>Zvyšování účinnosti v celém resortu dopravy.</w:t>
      </w:r>
    </w:p>
    <w:p w:rsidR="00897AF9" w:rsidRPr="0092047B" w:rsidRDefault="00897AF9" w:rsidP="0068563D">
      <w:pPr>
        <w:pStyle w:val="Zkladntext"/>
        <w:spacing w:before="240" w:after="120"/>
        <w:rPr>
          <w:rFonts w:ascii="Calibri" w:hAnsi="Calibri" w:cs="Calibri"/>
          <w:bCs/>
          <w:u w:val="single"/>
        </w:rPr>
      </w:pPr>
      <w:r w:rsidRPr="0092047B">
        <w:rPr>
          <w:rFonts w:ascii="Calibri" w:hAnsi="Calibri" w:cs="Calibri"/>
          <w:bCs/>
          <w:u w:val="single"/>
        </w:rPr>
        <w:t>D</w:t>
      </w:r>
      <w:r w:rsidR="00CC2883">
        <w:rPr>
          <w:rFonts w:ascii="Calibri" w:hAnsi="Calibri" w:cs="Calibri"/>
          <w:bCs/>
          <w:u w:val="single"/>
        </w:rPr>
        <w:t>ílčí cíle v dopravě jako celku:</w:t>
      </w:r>
    </w:p>
    <w:p w:rsidR="00897AF9" w:rsidRPr="0092047B" w:rsidRDefault="00897AF9" w:rsidP="00184DC1">
      <w:pPr>
        <w:numPr>
          <w:ilvl w:val="0"/>
          <w:numId w:val="60"/>
        </w:numPr>
        <w:autoSpaceDE w:val="0"/>
        <w:autoSpaceDN w:val="0"/>
        <w:adjustRightInd w:val="0"/>
        <w:spacing w:before="120" w:after="157"/>
        <w:ind w:left="1134" w:hanging="708"/>
        <w:contextualSpacing/>
        <w:rPr>
          <w:rFonts w:cstheme="minorHAnsi"/>
        </w:rPr>
      </w:pPr>
      <w:r w:rsidRPr="0092047B">
        <w:rPr>
          <w:rFonts w:cstheme="minorHAnsi"/>
        </w:rPr>
        <w:t xml:space="preserve">Snížení závislosti na dovozu ropy a snižování emisí uhlíku v dopravě do roku 2050 až o </w:t>
      </w:r>
      <w:r w:rsidRPr="001E7F95">
        <w:rPr>
          <w:rFonts w:cstheme="minorHAnsi"/>
        </w:rPr>
        <w:t>60 %</w:t>
      </w:r>
      <w:r w:rsidRPr="0092047B">
        <w:rPr>
          <w:rFonts w:cstheme="minorHAnsi"/>
        </w:rPr>
        <w:t>.</w:t>
      </w:r>
    </w:p>
    <w:p w:rsidR="00897AF9" w:rsidRPr="0092047B" w:rsidRDefault="00897AF9" w:rsidP="00184DC1">
      <w:pPr>
        <w:numPr>
          <w:ilvl w:val="0"/>
          <w:numId w:val="60"/>
        </w:numPr>
        <w:autoSpaceDE w:val="0"/>
        <w:autoSpaceDN w:val="0"/>
        <w:adjustRightInd w:val="0"/>
        <w:spacing w:before="120" w:after="157"/>
        <w:ind w:left="1134" w:hanging="708"/>
        <w:contextualSpacing/>
        <w:rPr>
          <w:rFonts w:cstheme="minorHAnsi"/>
        </w:rPr>
      </w:pPr>
      <w:r w:rsidRPr="0092047B">
        <w:rPr>
          <w:rFonts w:cstheme="minorHAnsi"/>
        </w:rPr>
        <w:t>Směřovat ke zvýšení podíl</w:t>
      </w:r>
      <w:r w:rsidR="00466754">
        <w:rPr>
          <w:rFonts w:cstheme="minorHAnsi"/>
        </w:rPr>
        <w:t>u</w:t>
      </w:r>
      <w:r w:rsidRPr="0092047B">
        <w:rPr>
          <w:rFonts w:cstheme="minorHAnsi"/>
        </w:rPr>
        <w:t xml:space="preserve"> obnovitelných zdrojů v celkové spotřebě energií v dopravě do roku 2020 na úroveň 10 %.</w:t>
      </w:r>
    </w:p>
    <w:p w:rsidR="00897AF9" w:rsidRPr="0092047B" w:rsidRDefault="00897AF9" w:rsidP="00184DC1">
      <w:pPr>
        <w:numPr>
          <w:ilvl w:val="0"/>
          <w:numId w:val="60"/>
        </w:numPr>
        <w:autoSpaceDE w:val="0"/>
        <w:autoSpaceDN w:val="0"/>
        <w:adjustRightInd w:val="0"/>
        <w:spacing w:before="120" w:after="157"/>
        <w:ind w:left="1134" w:hanging="708"/>
        <w:contextualSpacing/>
        <w:rPr>
          <w:rFonts w:cstheme="minorHAnsi"/>
        </w:rPr>
      </w:pPr>
      <w:r w:rsidRPr="0092047B">
        <w:rPr>
          <w:rFonts w:cstheme="minorHAnsi"/>
        </w:rPr>
        <w:t>Zvyšování podílu energeticky efektivní veřejné hromadné dopravy na celostátní, regionální i městské úrovni. Růst podílu kombinované dopravy s efektivním využíváním železniční dopravy.</w:t>
      </w:r>
    </w:p>
    <w:p w:rsidR="00897AF9" w:rsidRPr="0092047B" w:rsidRDefault="00897AF9" w:rsidP="00184DC1">
      <w:pPr>
        <w:numPr>
          <w:ilvl w:val="0"/>
          <w:numId w:val="60"/>
        </w:numPr>
        <w:autoSpaceDE w:val="0"/>
        <w:autoSpaceDN w:val="0"/>
        <w:adjustRightInd w:val="0"/>
        <w:spacing w:before="120" w:after="157"/>
        <w:ind w:left="1134" w:hanging="708"/>
        <w:contextualSpacing/>
        <w:rPr>
          <w:rFonts w:cstheme="minorHAnsi"/>
        </w:rPr>
      </w:pPr>
      <w:r w:rsidRPr="0092047B">
        <w:rPr>
          <w:rFonts w:cstheme="minorHAnsi"/>
        </w:rPr>
        <w:t>Rychlejší růst vědeckého a technického vývoje v podobě nových inovací a jejich zavádění v dopravním systému vedoucí k úspornějším vozidlům, k nižším emisím a k využívání alternativních paliv a pohonů.</w:t>
      </w:r>
    </w:p>
    <w:p w:rsidR="00897AF9" w:rsidRPr="0092047B" w:rsidRDefault="00897AF9" w:rsidP="00184DC1">
      <w:pPr>
        <w:numPr>
          <w:ilvl w:val="0"/>
          <w:numId w:val="60"/>
        </w:numPr>
        <w:autoSpaceDE w:val="0"/>
        <w:autoSpaceDN w:val="0"/>
        <w:adjustRightInd w:val="0"/>
        <w:spacing w:before="120" w:after="157"/>
        <w:ind w:left="1134" w:hanging="708"/>
        <w:contextualSpacing/>
        <w:rPr>
          <w:rFonts w:cstheme="minorHAnsi"/>
        </w:rPr>
      </w:pPr>
      <w:r w:rsidRPr="0092047B">
        <w:rPr>
          <w:rFonts w:cstheme="minorHAnsi"/>
        </w:rPr>
        <w:t>Snižování spotřeby automobilových benzínů a motorové nafty v dopravě a jejich náhrada alternativními palivy.</w:t>
      </w:r>
    </w:p>
    <w:p w:rsidR="00897AF9" w:rsidRPr="0092047B" w:rsidRDefault="00897AF9" w:rsidP="0068563D">
      <w:pPr>
        <w:numPr>
          <w:ilvl w:val="0"/>
          <w:numId w:val="60"/>
        </w:numPr>
        <w:autoSpaceDE w:val="0"/>
        <w:autoSpaceDN w:val="0"/>
        <w:adjustRightInd w:val="0"/>
        <w:spacing w:before="120"/>
        <w:ind w:left="1134" w:hanging="709"/>
        <w:contextualSpacing/>
        <w:rPr>
          <w:rFonts w:cstheme="minorHAnsi"/>
        </w:rPr>
      </w:pPr>
      <w:r w:rsidRPr="0092047B">
        <w:rPr>
          <w:rFonts w:cstheme="minorHAnsi"/>
        </w:rPr>
        <w:t>S ohledem na rafinační proces podporovat vhodnou fiskální politikou vyváženost spotřeby automobilových benzínů a motorové nafty i ve vazbě na očekávaná opatření EU</w:t>
      </w:r>
      <w:r w:rsidR="00343C92">
        <w:rPr>
          <w:rFonts w:cstheme="minorHAnsi"/>
        </w:rPr>
        <w:t>.</w:t>
      </w:r>
    </w:p>
    <w:p w:rsidR="00897AF9" w:rsidRPr="0092047B" w:rsidRDefault="00897AF9" w:rsidP="0068563D">
      <w:pPr>
        <w:pStyle w:val="Zkladntext"/>
        <w:spacing w:before="240" w:after="120"/>
        <w:rPr>
          <w:rFonts w:ascii="Calibri" w:hAnsi="Calibri" w:cs="Calibri"/>
          <w:bCs/>
          <w:u w:val="single"/>
        </w:rPr>
      </w:pPr>
      <w:r w:rsidRPr="0092047B">
        <w:rPr>
          <w:rFonts w:ascii="Calibri" w:hAnsi="Calibri" w:cs="Calibri"/>
          <w:bCs/>
          <w:u w:val="single"/>
        </w:rPr>
        <w:t>Dílčí cíle a jejich specifikace v jednotlivých oblastech:</w:t>
      </w:r>
    </w:p>
    <w:p w:rsidR="00897AF9" w:rsidRPr="0092047B" w:rsidRDefault="00897AF9" w:rsidP="0068563D">
      <w:pPr>
        <w:pStyle w:val="Zkladntext"/>
        <w:numPr>
          <w:ilvl w:val="0"/>
          <w:numId w:val="94"/>
        </w:numPr>
        <w:spacing w:before="120" w:after="120"/>
        <w:ind w:left="721" w:hanging="437"/>
        <w:rPr>
          <w:rFonts w:ascii="Calibri" w:hAnsi="Calibri" w:cs="Calibri"/>
          <w:b/>
          <w:bCs/>
        </w:rPr>
      </w:pPr>
      <w:r w:rsidRPr="0092047B">
        <w:rPr>
          <w:rFonts w:ascii="Calibri" w:hAnsi="Calibri" w:cs="Calibri"/>
          <w:b/>
          <w:bCs/>
        </w:rPr>
        <w:t>Silniční doprava</w:t>
      </w:r>
    </w:p>
    <w:p w:rsidR="00897AF9" w:rsidRPr="0092047B" w:rsidRDefault="00897AF9" w:rsidP="00184DC1">
      <w:pPr>
        <w:numPr>
          <w:ilvl w:val="1"/>
          <w:numId w:val="61"/>
        </w:numPr>
        <w:autoSpaceDE w:val="0"/>
        <w:autoSpaceDN w:val="0"/>
        <w:adjustRightInd w:val="0"/>
        <w:spacing w:before="120" w:after="157"/>
        <w:ind w:left="1134" w:hanging="708"/>
        <w:contextualSpacing/>
        <w:rPr>
          <w:rFonts w:cstheme="minorHAnsi"/>
        </w:rPr>
      </w:pPr>
      <w:r w:rsidRPr="0092047B">
        <w:rPr>
          <w:rFonts w:cstheme="minorHAnsi"/>
        </w:rPr>
        <w:t>Podporovat snížení používání automobilů s pohonem na motorovou naftu v městské hromadné dopravě do roku 2030 až na polovinu, postupně je vyřadit z provozu ve městech do roku 2040.</w:t>
      </w:r>
    </w:p>
    <w:p w:rsidR="00897AF9" w:rsidRPr="0092047B" w:rsidRDefault="00897AF9" w:rsidP="00184DC1">
      <w:pPr>
        <w:numPr>
          <w:ilvl w:val="1"/>
          <w:numId w:val="61"/>
        </w:numPr>
        <w:autoSpaceDE w:val="0"/>
        <w:autoSpaceDN w:val="0"/>
        <w:adjustRightInd w:val="0"/>
        <w:spacing w:before="120" w:after="157"/>
        <w:ind w:left="1134" w:hanging="708"/>
        <w:contextualSpacing/>
        <w:rPr>
          <w:rFonts w:cstheme="minorHAnsi"/>
        </w:rPr>
      </w:pPr>
      <w:r w:rsidRPr="0092047B">
        <w:rPr>
          <w:rFonts w:cstheme="minorHAnsi"/>
        </w:rPr>
        <w:t xml:space="preserve">Do roku 2030 převést část silniční </w:t>
      </w:r>
      <w:r w:rsidR="009D7B9E">
        <w:rPr>
          <w:rFonts w:cstheme="minorHAnsi"/>
        </w:rPr>
        <w:t xml:space="preserve">nákladní </w:t>
      </w:r>
      <w:r w:rsidRPr="0092047B">
        <w:rPr>
          <w:rFonts w:cstheme="minorHAnsi"/>
        </w:rPr>
        <w:t>přepravy nad 300 km na jiné druhy dopravy, jako např. železniční či vnitrozemskou vodní dopravu.</w:t>
      </w:r>
    </w:p>
    <w:p w:rsidR="00897AF9" w:rsidRPr="0092047B" w:rsidRDefault="00897AF9" w:rsidP="0068563D">
      <w:pPr>
        <w:numPr>
          <w:ilvl w:val="1"/>
          <w:numId w:val="61"/>
        </w:numPr>
        <w:autoSpaceDE w:val="0"/>
        <w:autoSpaceDN w:val="0"/>
        <w:adjustRightInd w:val="0"/>
        <w:spacing w:before="120" w:after="120"/>
        <w:ind w:left="1134" w:hanging="709"/>
        <w:contextualSpacing/>
        <w:rPr>
          <w:rFonts w:cstheme="minorHAnsi"/>
        </w:rPr>
      </w:pPr>
      <w:r w:rsidRPr="0092047B">
        <w:rPr>
          <w:rFonts w:cstheme="minorHAnsi"/>
        </w:rPr>
        <w:t>Růst podílu alternativních paliv (biopaliva, stlačený zemní plyn (CNG), elektrická energie, experimentální vodíkové články) vč. využití trolejbusové dopravy v městských aglomeracích.</w:t>
      </w:r>
    </w:p>
    <w:p w:rsidR="00897AF9" w:rsidRPr="0092047B" w:rsidRDefault="00897AF9" w:rsidP="0068563D">
      <w:pPr>
        <w:pStyle w:val="Zkladntext"/>
        <w:numPr>
          <w:ilvl w:val="0"/>
          <w:numId w:val="94"/>
        </w:numPr>
        <w:spacing w:before="120" w:after="120"/>
        <w:ind w:left="721" w:hanging="437"/>
        <w:rPr>
          <w:rFonts w:ascii="Calibri" w:hAnsi="Calibri" w:cs="Calibri"/>
          <w:b/>
          <w:bCs/>
        </w:rPr>
      </w:pPr>
      <w:r w:rsidRPr="0092047B">
        <w:rPr>
          <w:rFonts w:ascii="Calibri" w:hAnsi="Calibri" w:cs="Calibri"/>
          <w:b/>
          <w:bCs/>
        </w:rPr>
        <w:t>Železniční doprava</w:t>
      </w:r>
    </w:p>
    <w:p w:rsidR="00897AF9" w:rsidRPr="0092047B" w:rsidRDefault="00897AF9" w:rsidP="00184DC1">
      <w:pPr>
        <w:numPr>
          <w:ilvl w:val="1"/>
          <w:numId w:val="62"/>
        </w:numPr>
        <w:tabs>
          <w:tab w:val="left" w:pos="1701"/>
        </w:tabs>
        <w:autoSpaceDE w:val="0"/>
        <w:autoSpaceDN w:val="0"/>
        <w:adjustRightInd w:val="0"/>
        <w:spacing w:before="120" w:after="157"/>
        <w:ind w:left="1134" w:hanging="708"/>
        <w:contextualSpacing/>
        <w:rPr>
          <w:rFonts w:ascii="Calibri" w:hAnsi="Calibri" w:cs="Calibri"/>
        </w:rPr>
      </w:pPr>
      <w:r w:rsidRPr="0092047B">
        <w:rPr>
          <w:rFonts w:ascii="Calibri" w:hAnsi="Calibri" w:cs="Calibri"/>
        </w:rPr>
        <w:t>Zvýšení konkurenceschopnosti železniční nákladní dopravy ve vztahu k ostatním druhům dopravy.</w:t>
      </w:r>
    </w:p>
    <w:p w:rsidR="00897AF9" w:rsidRPr="0092047B" w:rsidRDefault="00897AF9" w:rsidP="00184DC1">
      <w:pPr>
        <w:numPr>
          <w:ilvl w:val="1"/>
          <w:numId w:val="62"/>
        </w:numPr>
        <w:tabs>
          <w:tab w:val="left" w:pos="1701"/>
        </w:tabs>
        <w:autoSpaceDE w:val="0"/>
        <w:autoSpaceDN w:val="0"/>
        <w:adjustRightInd w:val="0"/>
        <w:spacing w:before="120" w:after="157"/>
        <w:ind w:left="1134" w:hanging="708"/>
        <w:contextualSpacing/>
        <w:rPr>
          <w:rFonts w:ascii="Calibri" w:hAnsi="Calibri" w:cs="Calibri"/>
        </w:rPr>
      </w:pPr>
      <w:r w:rsidRPr="0092047B">
        <w:rPr>
          <w:rFonts w:ascii="Calibri" w:hAnsi="Calibri" w:cs="Calibri"/>
        </w:rPr>
        <w:t>Snížení spotřeby nafty a naopak nárůst spotřeby alternativních paliv</w:t>
      </w:r>
      <w:r w:rsidR="009D7B9E">
        <w:rPr>
          <w:rFonts w:ascii="Calibri" w:hAnsi="Calibri" w:cs="Calibri"/>
        </w:rPr>
        <w:t>,</w:t>
      </w:r>
      <w:r w:rsidRPr="0092047B">
        <w:rPr>
          <w:rFonts w:ascii="Calibri" w:hAnsi="Calibri" w:cs="Calibri"/>
        </w:rPr>
        <w:t xml:space="preserve"> zejména elektřiny a CNG.</w:t>
      </w:r>
    </w:p>
    <w:p w:rsidR="00897AF9" w:rsidRPr="0092047B" w:rsidRDefault="00897AF9" w:rsidP="00184DC1">
      <w:pPr>
        <w:numPr>
          <w:ilvl w:val="1"/>
          <w:numId w:val="62"/>
        </w:numPr>
        <w:tabs>
          <w:tab w:val="left" w:pos="1701"/>
        </w:tabs>
        <w:autoSpaceDE w:val="0"/>
        <w:autoSpaceDN w:val="0"/>
        <w:adjustRightInd w:val="0"/>
        <w:spacing w:before="120" w:after="157"/>
        <w:ind w:left="1134" w:hanging="708"/>
        <w:contextualSpacing/>
        <w:rPr>
          <w:rFonts w:ascii="Calibri" w:hAnsi="Calibri" w:cs="Calibri"/>
        </w:rPr>
      </w:pPr>
      <w:r w:rsidRPr="0092047B">
        <w:rPr>
          <w:rFonts w:ascii="Calibri" w:hAnsi="Calibri" w:cs="Calibri"/>
        </w:rPr>
        <w:t>Zvýšení podílu elektrické energie prostřednictvím rozšíření elektrizace vytížených tras, využitím zvláště v taktové příměstské dopravě a také rozvojem tratí s vysokými rychlostmi (VRT).</w:t>
      </w:r>
    </w:p>
    <w:p w:rsidR="00897AF9" w:rsidRPr="0092047B" w:rsidRDefault="00897AF9" w:rsidP="00184DC1">
      <w:pPr>
        <w:numPr>
          <w:ilvl w:val="1"/>
          <w:numId w:val="62"/>
        </w:numPr>
        <w:tabs>
          <w:tab w:val="left" w:pos="1701"/>
        </w:tabs>
        <w:autoSpaceDE w:val="0"/>
        <w:autoSpaceDN w:val="0"/>
        <w:adjustRightInd w:val="0"/>
        <w:spacing w:before="120" w:after="157"/>
        <w:ind w:left="1134" w:hanging="708"/>
        <w:contextualSpacing/>
        <w:rPr>
          <w:rFonts w:ascii="Calibri" w:hAnsi="Calibri" w:cs="Calibri"/>
        </w:rPr>
      </w:pPr>
      <w:r w:rsidRPr="0092047B">
        <w:rPr>
          <w:rFonts w:ascii="Calibri" w:hAnsi="Calibri" w:cs="Calibri"/>
        </w:rPr>
        <w:t>Koncipování zcela nových tras VRT vč</w:t>
      </w:r>
      <w:r w:rsidR="006D6301">
        <w:rPr>
          <w:rFonts w:ascii="Calibri" w:hAnsi="Calibri" w:cs="Calibri"/>
        </w:rPr>
        <w:t>etně</w:t>
      </w:r>
      <w:r w:rsidR="006D6301" w:rsidRPr="0092047B">
        <w:rPr>
          <w:rFonts w:ascii="Calibri" w:hAnsi="Calibri" w:cs="Calibri"/>
        </w:rPr>
        <w:t xml:space="preserve"> </w:t>
      </w:r>
      <w:r w:rsidRPr="0092047B">
        <w:rPr>
          <w:rFonts w:ascii="Calibri" w:hAnsi="Calibri" w:cs="Calibri"/>
        </w:rPr>
        <w:t>napájecí soustavy ve vazbě na rozvoj přenosových a distribučních soustav.</w:t>
      </w:r>
    </w:p>
    <w:p w:rsidR="00897AF9" w:rsidRPr="0092047B" w:rsidRDefault="00897AF9" w:rsidP="00184DC1">
      <w:pPr>
        <w:numPr>
          <w:ilvl w:val="1"/>
          <w:numId w:val="62"/>
        </w:numPr>
        <w:tabs>
          <w:tab w:val="left" w:pos="1701"/>
        </w:tabs>
        <w:autoSpaceDE w:val="0"/>
        <w:autoSpaceDN w:val="0"/>
        <w:adjustRightInd w:val="0"/>
        <w:spacing w:before="120" w:after="157"/>
        <w:ind w:left="1134" w:hanging="708"/>
        <w:contextualSpacing/>
        <w:rPr>
          <w:rFonts w:ascii="Calibri" w:hAnsi="Calibri" w:cs="Calibri"/>
        </w:rPr>
      </w:pPr>
      <w:r w:rsidRPr="0092047B">
        <w:rPr>
          <w:rFonts w:ascii="Calibri" w:hAnsi="Calibri" w:cs="Calibri"/>
        </w:rPr>
        <w:t>Snížit ztráty při provozu napájecích soustav a zařízení v elektrické trakci.</w:t>
      </w:r>
    </w:p>
    <w:p w:rsidR="00897AF9" w:rsidRPr="0092047B" w:rsidRDefault="00897AF9" w:rsidP="0068563D">
      <w:pPr>
        <w:numPr>
          <w:ilvl w:val="1"/>
          <w:numId w:val="62"/>
        </w:numPr>
        <w:tabs>
          <w:tab w:val="left" w:pos="1701"/>
        </w:tabs>
        <w:autoSpaceDE w:val="0"/>
        <w:autoSpaceDN w:val="0"/>
        <w:adjustRightInd w:val="0"/>
        <w:spacing w:before="120" w:after="120"/>
        <w:ind w:left="1134" w:hanging="709"/>
        <w:contextualSpacing/>
        <w:rPr>
          <w:rFonts w:ascii="Calibri" w:hAnsi="Calibri" w:cs="Calibri"/>
        </w:rPr>
      </w:pPr>
      <w:r w:rsidRPr="0092047B">
        <w:rPr>
          <w:rFonts w:ascii="Calibri" w:hAnsi="Calibri" w:cs="Calibri"/>
        </w:rPr>
        <w:t>Zvýšit účinnost přeměny u hnacích vozidel v kolejové dopravě při obnově vozového parku vč</w:t>
      </w:r>
      <w:r w:rsidR="006D6301">
        <w:rPr>
          <w:rFonts w:ascii="Calibri" w:hAnsi="Calibri" w:cs="Calibri"/>
        </w:rPr>
        <w:t>etně</w:t>
      </w:r>
      <w:r w:rsidR="006D6301" w:rsidRPr="0092047B">
        <w:rPr>
          <w:rFonts w:ascii="Calibri" w:hAnsi="Calibri" w:cs="Calibri"/>
        </w:rPr>
        <w:t xml:space="preserve"> </w:t>
      </w:r>
      <w:r w:rsidRPr="0092047B">
        <w:rPr>
          <w:rFonts w:ascii="Calibri" w:hAnsi="Calibri" w:cs="Calibri"/>
        </w:rPr>
        <w:t>využívání rekuperace.</w:t>
      </w:r>
    </w:p>
    <w:p w:rsidR="00897AF9" w:rsidRPr="0092047B" w:rsidRDefault="00897AF9" w:rsidP="0068563D">
      <w:pPr>
        <w:pStyle w:val="Zkladntext"/>
        <w:keepNext/>
        <w:numPr>
          <w:ilvl w:val="0"/>
          <w:numId w:val="94"/>
        </w:numPr>
        <w:spacing w:before="120" w:after="120"/>
        <w:ind w:left="721" w:hanging="437"/>
        <w:rPr>
          <w:rFonts w:ascii="Calibri" w:hAnsi="Calibri" w:cs="Calibri"/>
          <w:b/>
          <w:bCs/>
        </w:rPr>
      </w:pPr>
      <w:r w:rsidRPr="0092047B">
        <w:rPr>
          <w:rFonts w:ascii="Calibri" w:hAnsi="Calibri" w:cs="Calibri"/>
          <w:b/>
          <w:bCs/>
        </w:rPr>
        <w:t>Vodní doprava</w:t>
      </w:r>
    </w:p>
    <w:p w:rsidR="00897AF9" w:rsidRPr="0092047B" w:rsidRDefault="00897AF9" w:rsidP="0068563D">
      <w:pPr>
        <w:numPr>
          <w:ilvl w:val="1"/>
          <w:numId w:val="63"/>
        </w:numPr>
        <w:tabs>
          <w:tab w:val="left" w:pos="1134"/>
        </w:tabs>
        <w:autoSpaceDE w:val="0"/>
        <w:autoSpaceDN w:val="0"/>
        <w:adjustRightInd w:val="0"/>
        <w:spacing w:before="120" w:after="120"/>
        <w:ind w:left="1134" w:hanging="709"/>
        <w:contextualSpacing/>
        <w:rPr>
          <w:rFonts w:cstheme="minorHAnsi"/>
        </w:rPr>
      </w:pPr>
      <w:r w:rsidRPr="0092047B">
        <w:rPr>
          <w:rFonts w:cstheme="minorHAnsi"/>
        </w:rPr>
        <w:t>Podporovat rozvoj vodní dopravy s ohledem na nejnižší energetickou náročnost na přepravenou tunu nákladu.</w:t>
      </w:r>
    </w:p>
    <w:p w:rsidR="00897AF9" w:rsidRPr="0092047B" w:rsidRDefault="00897AF9" w:rsidP="0068563D">
      <w:pPr>
        <w:pStyle w:val="Zkladntext"/>
        <w:keepNext/>
        <w:numPr>
          <w:ilvl w:val="0"/>
          <w:numId w:val="94"/>
        </w:numPr>
        <w:spacing w:before="120" w:after="120"/>
        <w:ind w:left="721" w:hanging="437"/>
        <w:rPr>
          <w:rFonts w:ascii="Calibri" w:hAnsi="Calibri" w:cs="Calibri"/>
          <w:b/>
          <w:bCs/>
        </w:rPr>
      </w:pPr>
      <w:r w:rsidRPr="0092047B">
        <w:rPr>
          <w:rFonts w:ascii="Calibri" w:hAnsi="Calibri" w:cs="Calibri"/>
          <w:b/>
          <w:bCs/>
        </w:rPr>
        <w:t>Letecká doprava</w:t>
      </w:r>
    </w:p>
    <w:p w:rsidR="00897AF9" w:rsidRPr="0092047B" w:rsidRDefault="00897AF9" w:rsidP="00184DC1">
      <w:pPr>
        <w:pStyle w:val="Odstavecseseznamem"/>
        <w:numPr>
          <w:ilvl w:val="1"/>
          <w:numId w:val="97"/>
        </w:numPr>
        <w:spacing w:after="157" w:line="240" w:lineRule="auto"/>
        <w:ind w:left="1134" w:hanging="708"/>
        <w:contextualSpacing/>
        <w:rPr>
          <w:rFonts w:asciiTheme="minorHAnsi" w:hAnsiTheme="minorHAnsi" w:cstheme="minorHAnsi"/>
          <w:sz w:val="24"/>
        </w:rPr>
      </w:pPr>
      <w:r w:rsidRPr="0092047B">
        <w:rPr>
          <w:rFonts w:asciiTheme="minorHAnsi" w:hAnsiTheme="minorHAnsi" w:cstheme="minorHAnsi"/>
          <w:sz w:val="24"/>
        </w:rPr>
        <w:t>Na kratší vzdálenosti ve výhledu se i ve střední Evropě upřednostňovat před leteckou dopravou elektrizované tratě s vysokými rychlostmi.</w:t>
      </w:r>
    </w:p>
    <w:p w:rsidR="00897AF9" w:rsidRPr="0092047B" w:rsidRDefault="00897AF9" w:rsidP="0068563D">
      <w:pPr>
        <w:pStyle w:val="Odstavecseseznamem"/>
        <w:numPr>
          <w:ilvl w:val="1"/>
          <w:numId w:val="97"/>
        </w:numPr>
        <w:spacing w:after="240" w:line="240" w:lineRule="auto"/>
        <w:ind w:left="1134" w:hanging="709"/>
        <w:contextualSpacing/>
        <w:rPr>
          <w:rFonts w:asciiTheme="minorHAnsi" w:hAnsiTheme="minorHAnsi" w:cstheme="minorHAnsi"/>
          <w:sz w:val="24"/>
        </w:rPr>
      </w:pPr>
      <w:r w:rsidRPr="0092047B">
        <w:rPr>
          <w:rFonts w:asciiTheme="minorHAnsi" w:hAnsiTheme="minorHAnsi" w:cstheme="minorHAnsi"/>
          <w:sz w:val="24"/>
        </w:rPr>
        <w:t>Modernizovat technickou letištní infrastrukturu veřejných letišť, za účelem zvýšení kapacity a kvality. Rozšířit kapacity přistávacích drah na letišti Praha Ruzyně, napojit letiště na elektrizovaný železniční systém a vytvořit koncept navazujících logistických systémů.</w:t>
      </w:r>
    </w:p>
    <w:p w:rsidR="00897AF9" w:rsidRPr="0092047B" w:rsidRDefault="00897AF9" w:rsidP="00184DC1">
      <w:pPr>
        <w:pStyle w:val="Nadpis2"/>
      </w:pPr>
      <w:bookmarkStart w:id="803" w:name="_Toc396923399"/>
      <w:r w:rsidRPr="0092047B">
        <w:t>Energetická účinnost</w:t>
      </w:r>
      <w:bookmarkEnd w:id="803"/>
    </w:p>
    <w:p w:rsidR="00897AF9" w:rsidRPr="0092047B" w:rsidRDefault="00897AF9" w:rsidP="0068563D">
      <w:pPr>
        <w:pStyle w:val="Zkladntext"/>
        <w:spacing w:before="240" w:after="120"/>
        <w:rPr>
          <w:rFonts w:cstheme="minorHAnsi"/>
          <w:b/>
          <w:bCs/>
        </w:rPr>
      </w:pPr>
      <w:r w:rsidRPr="0092047B">
        <w:rPr>
          <w:rFonts w:cstheme="minorHAnsi"/>
          <w:b/>
          <w:bCs/>
        </w:rPr>
        <w:t>Vize</w:t>
      </w:r>
    </w:p>
    <w:p w:rsidR="00897AF9" w:rsidRPr="0092047B" w:rsidRDefault="00897AF9" w:rsidP="00184DC1">
      <w:pPr>
        <w:pStyle w:val="Zkladntext"/>
        <w:rPr>
          <w:rFonts w:cstheme="minorHAnsi"/>
        </w:rPr>
      </w:pPr>
      <w:r w:rsidRPr="0092047B">
        <w:rPr>
          <w:rFonts w:cstheme="minorHAnsi"/>
        </w:rPr>
        <w:t xml:space="preserve">Zvýšit energetickou účinnost na úroveň průměru zemí EU a zajistit, aby </w:t>
      </w:r>
      <w:r w:rsidR="000176FE">
        <w:rPr>
          <w:rFonts w:cstheme="minorHAnsi"/>
        </w:rPr>
        <w:t xml:space="preserve">energetické </w:t>
      </w:r>
      <w:r w:rsidRPr="0092047B">
        <w:rPr>
          <w:rFonts w:cstheme="minorHAnsi"/>
        </w:rPr>
        <w:t xml:space="preserve">úspory byly </w:t>
      </w:r>
      <w:r w:rsidR="002E741C" w:rsidRPr="0092047B">
        <w:rPr>
          <w:rFonts w:cstheme="minorHAnsi"/>
        </w:rPr>
        <w:t xml:space="preserve">hlavním </w:t>
      </w:r>
      <w:r w:rsidRPr="0092047B">
        <w:rPr>
          <w:rFonts w:cstheme="minorHAnsi"/>
        </w:rPr>
        <w:t>zdrojem pokrytí dodatečných energetických potřeb vyvolaných růstem ekonomiky a životní úrovně obyvatelstva.</w:t>
      </w:r>
    </w:p>
    <w:p w:rsidR="00897AF9" w:rsidRPr="0092047B" w:rsidRDefault="00897AF9" w:rsidP="0068563D">
      <w:pPr>
        <w:pStyle w:val="Zkladntext"/>
        <w:spacing w:before="240" w:after="120"/>
        <w:rPr>
          <w:rFonts w:cstheme="minorHAnsi"/>
          <w:b/>
          <w:bCs/>
        </w:rPr>
      </w:pPr>
      <w:r w:rsidRPr="0092047B">
        <w:rPr>
          <w:rFonts w:cstheme="minorHAnsi"/>
          <w:b/>
          <w:bCs/>
        </w:rPr>
        <w:t>Hlavní cíle</w:t>
      </w:r>
    </w:p>
    <w:p w:rsidR="00897AF9" w:rsidRPr="0092047B" w:rsidRDefault="00897AF9" w:rsidP="00184DC1">
      <w:pPr>
        <w:numPr>
          <w:ilvl w:val="0"/>
          <w:numId w:val="64"/>
        </w:numPr>
        <w:autoSpaceDE w:val="0"/>
        <w:autoSpaceDN w:val="0"/>
        <w:adjustRightInd w:val="0"/>
        <w:spacing w:before="120" w:after="157"/>
        <w:ind w:left="1134" w:hanging="708"/>
        <w:contextualSpacing/>
        <w:rPr>
          <w:rFonts w:cstheme="minorHAnsi"/>
        </w:rPr>
      </w:pPr>
      <w:r w:rsidRPr="0092047B">
        <w:rPr>
          <w:rFonts w:cstheme="minorHAnsi"/>
        </w:rPr>
        <w:t>Vyšší efektivnost při procesu získávání, přenosu a přeměn energií. Snižování technologických ztrát při přenosu a distribuci</w:t>
      </w:r>
      <w:r w:rsidR="002E741C" w:rsidRPr="0092047B">
        <w:rPr>
          <w:rFonts w:cstheme="minorHAnsi"/>
        </w:rPr>
        <w:t xml:space="preserve"> (udržení ztrát v PS dlouhodobě na úrovni pod 1,3</w:t>
      </w:r>
      <w:r w:rsidR="00E56201" w:rsidRPr="0092047B">
        <w:rPr>
          <w:rFonts w:cstheme="minorHAnsi"/>
        </w:rPr>
        <w:t xml:space="preserve"> </w:t>
      </w:r>
      <w:r w:rsidR="002E741C" w:rsidRPr="0092047B">
        <w:rPr>
          <w:rFonts w:cstheme="minorHAnsi"/>
        </w:rPr>
        <w:t>%, ztráty v DS pod 6</w:t>
      </w:r>
      <w:r w:rsidR="00E56201" w:rsidRPr="0092047B">
        <w:rPr>
          <w:rFonts w:cstheme="minorHAnsi"/>
        </w:rPr>
        <w:t xml:space="preserve"> </w:t>
      </w:r>
      <w:r w:rsidR="002E741C" w:rsidRPr="0092047B">
        <w:rPr>
          <w:rFonts w:cstheme="minorHAnsi"/>
        </w:rPr>
        <w:t>%)</w:t>
      </w:r>
      <w:r w:rsidRPr="0092047B">
        <w:rPr>
          <w:rFonts w:cstheme="minorHAnsi"/>
        </w:rPr>
        <w:t>.</w:t>
      </w:r>
    </w:p>
    <w:p w:rsidR="00897AF9" w:rsidRPr="0092047B" w:rsidRDefault="000176FE" w:rsidP="00184DC1">
      <w:pPr>
        <w:numPr>
          <w:ilvl w:val="0"/>
          <w:numId w:val="64"/>
        </w:numPr>
        <w:autoSpaceDE w:val="0"/>
        <w:autoSpaceDN w:val="0"/>
        <w:adjustRightInd w:val="0"/>
        <w:spacing w:before="120" w:after="157"/>
        <w:ind w:left="1134" w:hanging="708"/>
        <w:contextualSpacing/>
        <w:rPr>
          <w:rFonts w:cstheme="minorHAnsi"/>
        </w:rPr>
      </w:pPr>
      <w:r>
        <w:rPr>
          <w:rFonts w:cstheme="minorHAnsi"/>
        </w:rPr>
        <w:t>Snižovat energetickou náročnost budov</w:t>
      </w:r>
      <w:r w:rsidR="001346D5">
        <w:rPr>
          <w:rFonts w:cstheme="minorHAnsi"/>
        </w:rPr>
        <w:t xml:space="preserve"> a zvyšovat energetickou účinnost v technologických procesech v průmyslu</w:t>
      </w:r>
      <w:r>
        <w:rPr>
          <w:rFonts w:cstheme="minorHAnsi"/>
        </w:rPr>
        <w:t>.</w:t>
      </w:r>
    </w:p>
    <w:p w:rsidR="00897AF9" w:rsidRPr="0092047B" w:rsidRDefault="00897AF9" w:rsidP="00184DC1">
      <w:pPr>
        <w:numPr>
          <w:ilvl w:val="0"/>
          <w:numId w:val="64"/>
        </w:numPr>
        <w:autoSpaceDE w:val="0"/>
        <w:autoSpaceDN w:val="0"/>
        <w:adjustRightInd w:val="0"/>
        <w:spacing w:before="120" w:after="157"/>
        <w:ind w:left="1134" w:hanging="708"/>
        <w:contextualSpacing/>
        <w:rPr>
          <w:rFonts w:cstheme="minorHAnsi"/>
        </w:rPr>
      </w:pPr>
      <w:r w:rsidRPr="0092047B">
        <w:rPr>
          <w:rFonts w:cstheme="minorHAnsi"/>
        </w:rPr>
        <w:t>Efektivní spotřebiče energie a jejich využívání (</w:t>
      </w:r>
      <w:r w:rsidR="005710FC">
        <w:rPr>
          <w:rFonts w:cstheme="minorHAnsi"/>
        </w:rPr>
        <w:t xml:space="preserve">vzdělávání, obměna, </w:t>
      </w:r>
      <w:r w:rsidRPr="0092047B">
        <w:rPr>
          <w:rFonts w:cstheme="minorHAnsi"/>
        </w:rPr>
        <w:t>podpora inteligentních měřících systémů zapojení</w:t>
      </w:r>
      <w:r w:rsidR="009D7B9E">
        <w:rPr>
          <w:rFonts w:cstheme="minorHAnsi"/>
        </w:rPr>
        <w:t>m</w:t>
      </w:r>
      <w:r w:rsidRPr="0092047B">
        <w:rPr>
          <w:rFonts w:cstheme="minorHAnsi"/>
        </w:rPr>
        <w:t xml:space="preserve"> spotřebitelů do řízení spotřeby</w:t>
      </w:r>
      <w:r w:rsidR="002E741C" w:rsidRPr="0092047B">
        <w:rPr>
          <w:rFonts w:cstheme="minorHAnsi"/>
        </w:rPr>
        <w:t>, snížení spotřeby</w:t>
      </w:r>
      <w:r w:rsidR="005710FC">
        <w:rPr>
          <w:rFonts w:cstheme="minorHAnsi"/>
        </w:rPr>
        <w:t xml:space="preserve"> v režimu standby</w:t>
      </w:r>
      <w:r w:rsidRPr="0092047B">
        <w:rPr>
          <w:rFonts w:cstheme="minorHAnsi"/>
        </w:rPr>
        <w:t>).</w:t>
      </w:r>
    </w:p>
    <w:p w:rsidR="00897AF9" w:rsidRPr="0092047B" w:rsidRDefault="00897AF9" w:rsidP="00184DC1">
      <w:pPr>
        <w:numPr>
          <w:ilvl w:val="0"/>
          <w:numId w:val="64"/>
        </w:numPr>
        <w:autoSpaceDE w:val="0"/>
        <w:autoSpaceDN w:val="0"/>
        <w:adjustRightInd w:val="0"/>
        <w:spacing w:before="120" w:after="157"/>
        <w:ind w:left="1134" w:hanging="708"/>
        <w:contextualSpacing/>
        <w:rPr>
          <w:rFonts w:cstheme="minorHAnsi"/>
        </w:rPr>
      </w:pPr>
      <w:r w:rsidRPr="0092047B">
        <w:rPr>
          <w:rFonts w:cstheme="minorHAnsi"/>
        </w:rPr>
        <w:t>Efektivní rozvodné soustavy.</w:t>
      </w:r>
    </w:p>
    <w:p w:rsidR="00897AF9" w:rsidRPr="0092047B" w:rsidRDefault="000176FE" w:rsidP="00184DC1">
      <w:pPr>
        <w:numPr>
          <w:ilvl w:val="0"/>
          <w:numId w:val="64"/>
        </w:numPr>
        <w:autoSpaceDE w:val="0"/>
        <w:autoSpaceDN w:val="0"/>
        <w:adjustRightInd w:val="0"/>
        <w:spacing w:before="120" w:after="157"/>
        <w:ind w:left="1134" w:hanging="708"/>
        <w:contextualSpacing/>
        <w:rPr>
          <w:rFonts w:cstheme="minorHAnsi"/>
        </w:rPr>
      </w:pPr>
      <w:r>
        <w:rPr>
          <w:rFonts w:cstheme="minorHAnsi"/>
        </w:rPr>
        <w:t>Podpora inovací</w:t>
      </w:r>
      <w:r w:rsidR="00897AF9" w:rsidRPr="0092047B">
        <w:rPr>
          <w:rFonts w:cstheme="minorHAnsi"/>
        </w:rPr>
        <w:t xml:space="preserve"> směřující k</w:t>
      </w:r>
      <w:r w:rsidR="006C4F9F">
        <w:rPr>
          <w:rFonts w:cstheme="minorHAnsi"/>
        </w:rPr>
        <w:t xml:space="preserve"> novým technologiím zvyšujícím </w:t>
      </w:r>
      <w:r w:rsidR="006C4F9F" w:rsidRPr="0092047B">
        <w:rPr>
          <w:rFonts w:cstheme="minorHAnsi"/>
        </w:rPr>
        <w:t>energetick</w:t>
      </w:r>
      <w:r w:rsidR="006C4F9F">
        <w:rPr>
          <w:rFonts w:cstheme="minorHAnsi"/>
        </w:rPr>
        <w:t>ou účinnost</w:t>
      </w:r>
      <w:r w:rsidR="00897AF9" w:rsidRPr="0092047B">
        <w:rPr>
          <w:rFonts w:cstheme="minorHAnsi"/>
        </w:rPr>
        <w:t>.</w:t>
      </w:r>
    </w:p>
    <w:p w:rsidR="001346D5" w:rsidRPr="0092047B" w:rsidRDefault="00897AF9" w:rsidP="0068563D">
      <w:pPr>
        <w:numPr>
          <w:ilvl w:val="0"/>
          <w:numId w:val="64"/>
        </w:numPr>
        <w:autoSpaceDE w:val="0"/>
        <w:autoSpaceDN w:val="0"/>
        <w:adjustRightInd w:val="0"/>
        <w:spacing w:before="120"/>
        <w:ind w:left="1134" w:hanging="709"/>
        <w:contextualSpacing/>
        <w:rPr>
          <w:rFonts w:cstheme="minorHAnsi"/>
        </w:rPr>
      </w:pPr>
      <w:r w:rsidRPr="0092047B">
        <w:rPr>
          <w:rFonts w:cstheme="minorHAnsi"/>
        </w:rPr>
        <w:t xml:space="preserve">Využití prostředků </w:t>
      </w:r>
      <w:r w:rsidR="006C4F9F">
        <w:rPr>
          <w:rFonts w:cstheme="minorHAnsi"/>
        </w:rPr>
        <w:t xml:space="preserve">veřejné podpory (včetně části výnosů </w:t>
      </w:r>
      <w:r w:rsidRPr="0092047B">
        <w:rPr>
          <w:rFonts w:cstheme="minorHAnsi"/>
        </w:rPr>
        <w:t>z aukcí emisních povolenek</w:t>
      </w:r>
      <w:r w:rsidR="006C4F9F">
        <w:rPr>
          <w:rFonts w:cstheme="minorHAnsi"/>
        </w:rPr>
        <w:t>)</w:t>
      </w:r>
      <w:r w:rsidRPr="0092047B">
        <w:rPr>
          <w:rFonts w:cstheme="minorHAnsi"/>
        </w:rPr>
        <w:t xml:space="preserve"> </w:t>
      </w:r>
      <w:r w:rsidR="00755B8E">
        <w:rPr>
          <w:rFonts w:cstheme="minorHAnsi"/>
        </w:rPr>
        <w:t xml:space="preserve">pro opatření zaměřená na zvyšování energetické účinnosti (např. </w:t>
      </w:r>
      <w:r w:rsidRPr="0092047B">
        <w:rPr>
          <w:rFonts w:cstheme="minorHAnsi"/>
        </w:rPr>
        <w:t>při rekonstrukcích a rozvoji SZT</w:t>
      </w:r>
      <w:r w:rsidR="00755B8E">
        <w:rPr>
          <w:rFonts w:cstheme="minorHAnsi"/>
        </w:rPr>
        <w:t>)</w:t>
      </w:r>
      <w:r w:rsidRPr="0092047B">
        <w:rPr>
          <w:rFonts w:cstheme="minorHAnsi"/>
        </w:rPr>
        <w:t>.</w:t>
      </w:r>
    </w:p>
    <w:p w:rsidR="00897AF9" w:rsidRPr="0092047B" w:rsidRDefault="00897AF9" w:rsidP="0068563D">
      <w:pPr>
        <w:pStyle w:val="Zkladntext"/>
        <w:spacing w:before="240" w:after="120"/>
        <w:rPr>
          <w:rFonts w:cstheme="minorHAnsi"/>
          <w:bCs/>
          <w:u w:val="single"/>
        </w:rPr>
      </w:pPr>
      <w:r w:rsidRPr="0092047B">
        <w:rPr>
          <w:rFonts w:cstheme="minorHAnsi"/>
          <w:bCs/>
          <w:u w:val="single"/>
        </w:rPr>
        <w:t>Dílčí cíle a jejich specifikace v jednotlivých oblastech:</w:t>
      </w:r>
    </w:p>
    <w:p w:rsidR="00897AF9" w:rsidRPr="0092047B" w:rsidRDefault="00897AF9" w:rsidP="0068563D">
      <w:pPr>
        <w:numPr>
          <w:ilvl w:val="0"/>
          <w:numId w:val="65"/>
        </w:numPr>
        <w:autoSpaceDE w:val="0"/>
        <w:autoSpaceDN w:val="0"/>
        <w:adjustRightInd w:val="0"/>
        <w:spacing w:before="120" w:after="120"/>
        <w:ind w:left="721" w:hanging="437"/>
        <w:rPr>
          <w:rFonts w:cstheme="minorHAnsi"/>
          <w:b/>
        </w:rPr>
      </w:pPr>
      <w:r w:rsidRPr="0092047B">
        <w:rPr>
          <w:rFonts w:cstheme="minorHAnsi"/>
          <w:b/>
        </w:rPr>
        <w:t>Energeticky úsporné spotřebiče a výrobky</w:t>
      </w:r>
    </w:p>
    <w:p w:rsidR="00897AF9" w:rsidRPr="0092047B" w:rsidRDefault="00897AF9" w:rsidP="00184DC1">
      <w:pPr>
        <w:numPr>
          <w:ilvl w:val="1"/>
          <w:numId w:val="65"/>
        </w:numPr>
        <w:autoSpaceDE w:val="0"/>
        <w:autoSpaceDN w:val="0"/>
        <w:adjustRightInd w:val="0"/>
        <w:spacing w:before="120" w:after="157"/>
        <w:ind w:left="1134" w:hanging="708"/>
        <w:contextualSpacing/>
        <w:rPr>
          <w:rFonts w:cstheme="minorHAnsi"/>
        </w:rPr>
      </w:pPr>
      <w:r w:rsidRPr="0092047B">
        <w:rPr>
          <w:rFonts w:cstheme="minorHAnsi"/>
        </w:rPr>
        <w:t xml:space="preserve">Podporovat trvalý přechod </w:t>
      </w:r>
      <w:r w:rsidR="006A3A52">
        <w:rPr>
          <w:rFonts w:cstheme="minorHAnsi"/>
        </w:rPr>
        <w:t>na energeticky úsporné výrobky</w:t>
      </w:r>
      <w:r w:rsidR="005710FC">
        <w:rPr>
          <w:rFonts w:cstheme="minorHAnsi"/>
        </w:rPr>
        <w:t xml:space="preserve"> a snahu o</w:t>
      </w:r>
      <w:r w:rsidR="0073494A">
        <w:rPr>
          <w:rFonts w:cstheme="minorHAnsi"/>
        </w:rPr>
        <w:t xml:space="preserve"> </w:t>
      </w:r>
      <w:r w:rsidRPr="0092047B">
        <w:rPr>
          <w:rFonts w:cstheme="minorHAnsi"/>
        </w:rPr>
        <w:t>zvyšující se požadavky na stanovení minimální účinnosti prodávaných výrobků,</w:t>
      </w:r>
      <w:r w:rsidR="005710FC" w:rsidRPr="0092047B">
        <w:rPr>
          <w:rFonts w:cstheme="minorHAnsi"/>
        </w:rPr>
        <w:t xml:space="preserve"> </w:t>
      </w:r>
      <w:r w:rsidR="005710FC">
        <w:rPr>
          <w:rFonts w:cstheme="minorHAnsi"/>
        </w:rPr>
        <w:t>zajistit kvalitní</w:t>
      </w:r>
      <w:r w:rsidR="0073494A">
        <w:rPr>
          <w:rFonts w:cstheme="minorHAnsi"/>
        </w:rPr>
        <w:t xml:space="preserve"> </w:t>
      </w:r>
      <w:r w:rsidRPr="0092047B">
        <w:rPr>
          <w:rFonts w:cstheme="minorHAnsi"/>
        </w:rPr>
        <w:t xml:space="preserve">informace pro spotřebitele </w:t>
      </w:r>
      <w:r w:rsidR="005710FC">
        <w:rPr>
          <w:rFonts w:cstheme="minorHAnsi"/>
        </w:rPr>
        <w:t xml:space="preserve">(informační podpora vzdělávání o </w:t>
      </w:r>
      <w:r w:rsidRPr="0092047B">
        <w:rPr>
          <w:rFonts w:cstheme="minorHAnsi"/>
        </w:rPr>
        <w:t>štítkování a</w:t>
      </w:r>
      <w:r w:rsidR="006A3A52">
        <w:rPr>
          <w:rFonts w:cstheme="minorHAnsi"/>
        </w:rPr>
        <w:t> </w:t>
      </w:r>
      <w:r w:rsidRPr="0092047B">
        <w:rPr>
          <w:rFonts w:cstheme="minorHAnsi"/>
        </w:rPr>
        <w:t>informace v</w:t>
      </w:r>
      <w:r w:rsidR="005710FC">
        <w:rPr>
          <w:rFonts w:cstheme="minorHAnsi"/>
        </w:rPr>
        <w:t> </w:t>
      </w:r>
      <w:r w:rsidRPr="0092047B">
        <w:rPr>
          <w:rFonts w:cstheme="minorHAnsi"/>
        </w:rPr>
        <w:t>reklamě</w:t>
      </w:r>
      <w:r w:rsidR="005710FC">
        <w:rPr>
          <w:rFonts w:cstheme="minorHAnsi"/>
        </w:rPr>
        <w:t>)</w:t>
      </w:r>
      <w:r w:rsidRPr="0092047B">
        <w:rPr>
          <w:rFonts w:cstheme="minorHAnsi"/>
        </w:rPr>
        <w:t>.</w:t>
      </w:r>
    </w:p>
    <w:p w:rsidR="00897AF9" w:rsidRPr="0092047B" w:rsidRDefault="009D7B9E" w:rsidP="00184DC1">
      <w:pPr>
        <w:numPr>
          <w:ilvl w:val="1"/>
          <w:numId w:val="65"/>
        </w:numPr>
        <w:autoSpaceDE w:val="0"/>
        <w:autoSpaceDN w:val="0"/>
        <w:adjustRightInd w:val="0"/>
        <w:spacing w:before="120" w:after="157"/>
        <w:ind w:left="1134" w:hanging="708"/>
        <w:contextualSpacing/>
        <w:rPr>
          <w:rFonts w:cstheme="minorHAnsi"/>
        </w:rPr>
      </w:pPr>
      <w:r w:rsidRPr="0092047B">
        <w:rPr>
          <w:rFonts w:cstheme="minorHAnsi"/>
        </w:rPr>
        <w:t>Dohlížet na striktní dodržování požadavku zavedeného u vybraných výrobků</w:t>
      </w:r>
      <w:r w:rsidRPr="005827C8">
        <w:rPr>
          <w:rFonts w:cstheme="minorHAnsi"/>
        </w:rPr>
        <w:t xml:space="preserve"> </w:t>
      </w:r>
      <w:r w:rsidRPr="0092047B">
        <w:rPr>
          <w:rFonts w:cstheme="minorHAnsi"/>
        </w:rPr>
        <w:t>spojených se spotřebou energie, uvádět na trh pouze ty výrobky, které splňují požadavky na ekodesign</w:t>
      </w:r>
      <w:r w:rsidR="005710FC">
        <w:rPr>
          <w:rFonts w:cstheme="minorHAnsi"/>
        </w:rPr>
        <w:t>, a zajistit příkladnou roli státu formou nákupu energeticky nejúspornějších spotřebičů na trhu</w:t>
      </w:r>
      <w:r w:rsidR="006A3A52">
        <w:rPr>
          <w:rFonts w:cstheme="minorHAnsi"/>
        </w:rPr>
        <w:t>.</w:t>
      </w:r>
    </w:p>
    <w:p w:rsidR="00897AF9" w:rsidRPr="0092047B" w:rsidRDefault="005710FC" w:rsidP="0068563D">
      <w:pPr>
        <w:numPr>
          <w:ilvl w:val="1"/>
          <w:numId w:val="65"/>
        </w:numPr>
        <w:autoSpaceDE w:val="0"/>
        <w:autoSpaceDN w:val="0"/>
        <w:adjustRightInd w:val="0"/>
        <w:spacing w:before="120" w:after="120"/>
        <w:ind w:left="1134" w:hanging="709"/>
        <w:rPr>
          <w:rFonts w:cstheme="minorHAnsi"/>
        </w:rPr>
      </w:pPr>
      <w:r>
        <w:rPr>
          <w:rFonts w:cstheme="minorHAnsi"/>
        </w:rPr>
        <w:t>Podporovat</w:t>
      </w:r>
      <w:r w:rsidR="00897AF9" w:rsidRPr="0092047B">
        <w:rPr>
          <w:rFonts w:cstheme="minorHAnsi"/>
        </w:rPr>
        <w:t xml:space="preserve"> záměn</w:t>
      </w:r>
      <w:r>
        <w:rPr>
          <w:rFonts w:cstheme="minorHAnsi"/>
        </w:rPr>
        <w:t>u</w:t>
      </w:r>
      <w:r w:rsidR="00897AF9" w:rsidRPr="0092047B">
        <w:rPr>
          <w:rFonts w:cstheme="minorHAnsi"/>
        </w:rPr>
        <w:t xml:space="preserve"> přímotopných systémů za tepelná čerpadla a jejich další rozšíření, včetně zapojení do řízení v inteligentních sítích.</w:t>
      </w:r>
    </w:p>
    <w:p w:rsidR="00897AF9" w:rsidRPr="0092047B" w:rsidRDefault="00897AF9" w:rsidP="0068563D">
      <w:pPr>
        <w:numPr>
          <w:ilvl w:val="0"/>
          <w:numId w:val="65"/>
        </w:numPr>
        <w:tabs>
          <w:tab w:val="left" w:pos="567"/>
          <w:tab w:val="left" w:pos="709"/>
          <w:tab w:val="left" w:pos="993"/>
        </w:tabs>
        <w:autoSpaceDE w:val="0"/>
        <w:autoSpaceDN w:val="0"/>
        <w:adjustRightInd w:val="0"/>
        <w:spacing w:before="120" w:after="120"/>
        <w:ind w:left="721" w:hanging="437"/>
        <w:rPr>
          <w:rFonts w:cstheme="minorHAnsi"/>
          <w:b/>
        </w:rPr>
      </w:pPr>
      <w:r w:rsidRPr="0092047B">
        <w:rPr>
          <w:rFonts w:cstheme="minorHAnsi"/>
          <w:b/>
        </w:rPr>
        <w:t>Účinnost přeměn energie</w:t>
      </w:r>
    </w:p>
    <w:p w:rsidR="00897AF9" w:rsidRPr="0092047B" w:rsidRDefault="00897AF9" w:rsidP="00184DC1">
      <w:pPr>
        <w:pStyle w:val="Odstavecseseznamem"/>
        <w:numPr>
          <w:ilvl w:val="1"/>
          <w:numId w:val="96"/>
        </w:numPr>
        <w:tabs>
          <w:tab w:val="left" w:pos="1134"/>
        </w:tabs>
        <w:spacing w:before="120" w:after="157" w:line="240" w:lineRule="auto"/>
        <w:ind w:left="1134" w:hanging="708"/>
        <w:contextualSpacing/>
        <w:rPr>
          <w:rFonts w:cstheme="minorHAnsi"/>
          <w:sz w:val="24"/>
        </w:rPr>
      </w:pPr>
      <w:r w:rsidRPr="0092047B">
        <w:rPr>
          <w:rFonts w:cstheme="minorHAnsi"/>
          <w:sz w:val="24"/>
        </w:rPr>
        <w:t>Stanovení minimální účinnosti u nových výrobních zařízení.</w:t>
      </w:r>
    </w:p>
    <w:p w:rsidR="00897AF9" w:rsidRPr="0092047B" w:rsidRDefault="00897AF9" w:rsidP="00184DC1">
      <w:pPr>
        <w:pStyle w:val="Odstavecseseznamem"/>
        <w:numPr>
          <w:ilvl w:val="1"/>
          <w:numId w:val="96"/>
        </w:numPr>
        <w:spacing w:before="120" w:after="157" w:line="240" w:lineRule="auto"/>
        <w:ind w:left="1134" w:hanging="708"/>
        <w:contextualSpacing/>
        <w:rPr>
          <w:rFonts w:cstheme="minorHAnsi"/>
          <w:sz w:val="24"/>
        </w:rPr>
      </w:pPr>
      <w:r w:rsidRPr="0092047B">
        <w:rPr>
          <w:rFonts w:cstheme="minorHAnsi"/>
          <w:sz w:val="24"/>
        </w:rPr>
        <w:t>Dodržování požadavků týkajících se emisních parametrů a účinnosti kotlů, klimatizačních systémů a lokálních otopných systémů.</w:t>
      </w:r>
    </w:p>
    <w:p w:rsidR="00897AF9" w:rsidRPr="0092047B" w:rsidRDefault="00897AF9" w:rsidP="00184DC1">
      <w:pPr>
        <w:pStyle w:val="Odstavecseseznamem"/>
        <w:numPr>
          <w:ilvl w:val="1"/>
          <w:numId w:val="96"/>
        </w:numPr>
        <w:spacing w:before="120" w:after="157" w:line="240" w:lineRule="auto"/>
        <w:ind w:left="1134" w:hanging="708"/>
        <w:contextualSpacing/>
        <w:rPr>
          <w:rFonts w:cstheme="minorHAnsi"/>
          <w:sz w:val="24"/>
        </w:rPr>
      </w:pPr>
      <w:r w:rsidRPr="0092047B">
        <w:rPr>
          <w:rFonts w:cstheme="minorHAnsi"/>
          <w:sz w:val="24"/>
        </w:rPr>
        <w:t>Přechod na vysokoúčinnou kombinovanou výrobu elektřiny a tepla ve všech soustavách zásobování teplem.</w:t>
      </w:r>
    </w:p>
    <w:p w:rsidR="00897AF9" w:rsidRPr="0092047B" w:rsidRDefault="00897AF9" w:rsidP="00184DC1">
      <w:pPr>
        <w:pStyle w:val="Odstavecseseznamem"/>
        <w:numPr>
          <w:ilvl w:val="1"/>
          <w:numId w:val="96"/>
        </w:numPr>
        <w:spacing w:before="120" w:after="157" w:line="240" w:lineRule="auto"/>
        <w:ind w:left="1134" w:hanging="708"/>
        <w:contextualSpacing/>
        <w:rPr>
          <w:rFonts w:cstheme="minorHAnsi"/>
          <w:sz w:val="24"/>
        </w:rPr>
      </w:pPr>
      <w:r w:rsidRPr="0092047B">
        <w:rPr>
          <w:rFonts w:cstheme="minorHAnsi"/>
          <w:sz w:val="24"/>
        </w:rPr>
        <w:t>Snížení ztrát v rozvodných systémech tepelných zařízení.</w:t>
      </w:r>
    </w:p>
    <w:p w:rsidR="00897AF9" w:rsidRPr="0092047B" w:rsidRDefault="00897AF9" w:rsidP="0068563D">
      <w:pPr>
        <w:pStyle w:val="Odstavecseseznamem"/>
        <w:numPr>
          <w:ilvl w:val="1"/>
          <w:numId w:val="96"/>
        </w:numPr>
        <w:spacing w:before="120" w:after="120" w:line="240" w:lineRule="auto"/>
        <w:ind w:left="1134" w:hanging="709"/>
        <w:contextualSpacing/>
        <w:rPr>
          <w:rFonts w:cstheme="minorHAnsi"/>
          <w:sz w:val="24"/>
        </w:rPr>
      </w:pPr>
      <w:r w:rsidRPr="0092047B">
        <w:rPr>
          <w:rFonts w:cstheme="minorHAnsi"/>
          <w:sz w:val="24"/>
        </w:rPr>
        <w:t>Podpora obnovy vozového parku v elektrické trakci v kolejové a trolejbusové dopravě s využitím rekuperace.</w:t>
      </w:r>
    </w:p>
    <w:p w:rsidR="00897AF9" w:rsidRPr="0092047B" w:rsidRDefault="00897AF9" w:rsidP="0068563D">
      <w:pPr>
        <w:numPr>
          <w:ilvl w:val="0"/>
          <w:numId w:val="65"/>
        </w:numPr>
        <w:autoSpaceDE w:val="0"/>
        <w:autoSpaceDN w:val="0"/>
        <w:adjustRightInd w:val="0"/>
        <w:spacing w:before="120" w:after="120"/>
        <w:ind w:left="721" w:hanging="437"/>
        <w:rPr>
          <w:rFonts w:cstheme="minorHAnsi"/>
          <w:b/>
        </w:rPr>
      </w:pPr>
      <w:r w:rsidRPr="0092047B">
        <w:rPr>
          <w:rFonts w:cstheme="minorHAnsi"/>
          <w:b/>
        </w:rPr>
        <w:t>Účinnost distribuce energie a řízení spotřeby</w:t>
      </w:r>
    </w:p>
    <w:p w:rsidR="00897AF9" w:rsidRPr="0092047B" w:rsidRDefault="00897AF9" w:rsidP="00184DC1">
      <w:pPr>
        <w:pStyle w:val="Odstavecseseznamem"/>
        <w:numPr>
          <w:ilvl w:val="1"/>
          <w:numId w:val="100"/>
        </w:numPr>
        <w:tabs>
          <w:tab w:val="left" w:pos="709"/>
        </w:tabs>
        <w:spacing w:before="120" w:after="157" w:line="240" w:lineRule="auto"/>
        <w:ind w:left="1134" w:hanging="708"/>
        <w:contextualSpacing/>
        <w:rPr>
          <w:rFonts w:cstheme="minorHAnsi"/>
          <w:sz w:val="24"/>
        </w:rPr>
      </w:pPr>
      <w:r w:rsidRPr="0092047B">
        <w:rPr>
          <w:rFonts w:cstheme="minorHAnsi"/>
          <w:sz w:val="24"/>
        </w:rPr>
        <w:t>Zajistit rozvoj infrastruktury rozšiřující možnosti řízení spotřeby u zákazníků na úrovni nízkého napětí jako součást systémů inteligentní sítě.</w:t>
      </w:r>
    </w:p>
    <w:p w:rsidR="00897AF9" w:rsidRPr="0092047B" w:rsidRDefault="00897AF9" w:rsidP="00184DC1">
      <w:pPr>
        <w:pStyle w:val="Odstavecseseznamem"/>
        <w:numPr>
          <w:ilvl w:val="1"/>
          <w:numId w:val="100"/>
        </w:numPr>
        <w:spacing w:before="120" w:after="157" w:line="240" w:lineRule="auto"/>
        <w:ind w:left="1134" w:hanging="708"/>
        <w:contextualSpacing/>
        <w:rPr>
          <w:rFonts w:cstheme="minorHAnsi"/>
          <w:sz w:val="24"/>
        </w:rPr>
      </w:pPr>
      <w:r w:rsidRPr="0092047B">
        <w:rPr>
          <w:rFonts w:cstheme="minorHAnsi"/>
          <w:sz w:val="24"/>
        </w:rPr>
        <w:t>Podporovat další rozvoj distribučních tarifů stimulujících využívání řízení spotřeby u konečných zákazníků a podporujících přechod na tepelná čerpadla jako náhrad</w:t>
      </w:r>
      <w:r w:rsidR="009D7B9E">
        <w:rPr>
          <w:rFonts w:cstheme="minorHAnsi"/>
          <w:sz w:val="24"/>
        </w:rPr>
        <w:t>y</w:t>
      </w:r>
      <w:r w:rsidRPr="0092047B">
        <w:rPr>
          <w:rFonts w:cstheme="minorHAnsi"/>
          <w:sz w:val="24"/>
        </w:rPr>
        <w:t xml:space="preserve"> lokální spotřeby uhlí a přímotopných elektrických spotřebičů.</w:t>
      </w:r>
    </w:p>
    <w:p w:rsidR="00897AF9" w:rsidRPr="0092047B" w:rsidRDefault="00897AF9" w:rsidP="00184DC1">
      <w:pPr>
        <w:pStyle w:val="Odstavecseseznamem"/>
        <w:numPr>
          <w:ilvl w:val="1"/>
          <w:numId w:val="100"/>
        </w:numPr>
        <w:spacing w:before="120" w:after="157" w:line="240" w:lineRule="auto"/>
        <w:ind w:left="1134" w:hanging="708"/>
        <w:contextualSpacing/>
        <w:rPr>
          <w:rFonts w:cstheme="minorHAnsi"/>
          <w:sz w:val="24"/>
        </w:rPr>
      </w:pPr>
      <w:r w:rsidRPr="0092047B">
        <w:rPr>
          <w:rFonts w:cstheme="minorHAnsi"/>
          <w:sz w:val="24"/>
        </w:rPr>
        <w:t>Využít synergických efektů budováním společného systému měření napříč dodávkou jednotlivých energetických komodit (elektřina, plyn</w:t>
      </w:r>
      <w:r w:rsidR="00AA05F2">
        <w:rPr>
          <w:rFonts w:cstheme="minorHAnsi"/>
          <w:sz w:val="24"/>
        </w:rPr>
        <w:t>, případně teplo a voda</w:t>
      </w:r>
      <w:r w:rsidRPr="0092047B">
        <w:rPr>
          <w:rFonts w:cstheme="minorHAnsi"/>
          <w:sz w:val="24"/>
        </w:rPr>
        <w:t>).</w:t>
      </w:r>
    </w:p>
    <w:p w:rsidR="00897AF9" w:rsidRPr="0092047B" w:rsidRDefault="00897AF9" w:rsidP="0068563D">
      <w:pPr>
        <w:pStyle w:val="Odstavecseseznamem"/>
        <w:numPr>
          <w:ilvl w:val="1"/>
          <w:numId w:val="100"/>
        </w:numPr>
        <w:spacing w:before="120" w:after="120" w:line="240" w:lineRule="auto"/>
        <w:ind w:left="1134" w:hanging="709"/>
        <w:contextualSpacing/>
        <w:rPr>
          <w:rFonts w:cstheme="minorHAnsi"/>
          <w:sz w:val="24"/>
        </w:rPr>
      </w:pPr>
      <w:r w:rsidRPr="0092047B">
        <w:rPr>
          <w:rFonts w:cstheme="minorHAnsi"/>
          <w:sz w:val="24"/>
        </w:rPr>
        <w:t>Snížení ztrát v napájecích soustavách a zařízeních elektrické trakce v dopravě, především na železnici, ale i v systémech MHD (tramvajové a trolejbusové sítě).</w:t>
      </w:r>
    </w:p>
    <w:p w:rsidR="00897AF9" w:rsidRPr="0092047B" w:rsidRDefault="00897AF9" w:rsidP="0068563D">
      <w:pPr>
        <w:numPr>
          <w:ilvl w:val="0"/>
          <w:numId w:val="65"/>
        </w:numPr>
        <w:autoSpaceDE w:val="0"/>
        <w:autoSpaceDN w:val="0"/>
        <w:adjustRightInd w:val="0"/>
        <w:spacing w:before="120" w:after="120"/>
        <w:ind w:left="721" w:hanging="437"/>
        <w:rPr>
          <w:rFonts w:cstheme="minorHAnsi"/>
          <w:b/>
        </w:rPr>
      </w:pPr>
      <w:r w:rsidRPr="0092047B">
        <w:rPr>
          <w:rFonts w:cstheme="minorHAnsi"/>
          <w:b/>
        </w:rPr>
        <w:t>Energetická náročnost budov</w:t>
      </w:r>
    </w:p>
    <w:p w:rsidR="00897AF9" w:rsidRPr="0092047B" w:rsidRDefault="00897AF9" w:rsidP="00184DC1">
      <w:pPr>
        <w:pStyle w:val="Odstavecseseznamem"/>
        <w:numPr>
          <w:ilvl w:val="1"/>
          <w:numId w:val="102"/>
        </w:numPr>
        <w:spacing w:before="120" w:after="157" w:line="240" w:lineRule="auto"/>
        <w:ind w:left="1134" w:hanging="708"/>
        <w:contextualSpacing/>
        <w:rPr>
          <w:rFonts w:cstheme="minorHAnsi"/>
          <w:sz w:val="24"/>
        </w:rPr>
      </w:pPr>
      <w:r w:rsidRPr="0092047B">
        <w:rPr>
          <w:rFonts w:cstheme="minorHAnsi"/>
          <w:sz w:val="24"/>
        </w:rPr>
        <w:t>V oblasti budov je hlavním cílem přejít od roku 2020 k nízkoenergetickému standardu nových budov, resp. k výstavbě budov s téměř nulovou spotřebou energie.</w:t>
      </w:r>
    </w:p>
    <w:p w:rsidR="00897AF9" w:rsidRPr="0092047B" w:rsidRDefault="00897AF9" w:rsidP="00184DC1">
      <w:pPr>
        <w:pStyle w:val="Odstavecseseznamem"/>
        <w:numPr>
          <w:ilvl w:val="1"/>
          <w:numId w:val="102"/>
        </w:numPr>
        <w:spacing w:before="120" w:after="157" w:line="240" w:lineRule="auto"/>
        <w:ind w:left="1134" w:hanging="708"/>
        <w:contextualSpacing/>
        <w:rPr>
          <w:rFonts w:cstheme="minorHAnsi"/>
          <w:sz w:val="24"/>
        </w:rPr>
      </w:pPr>
      <w:r w:rsidRPr="0092047B">
        <w:rPr>
          <w:rFonts w:cstheme="minorHAnsi"/>
          <w:sz w:val="24"/>
        </w:rPr>
        <w:t>Při stavbě nových a rekonstrukci stávajících budov dbát na striktní plnění požadavků na jejich energetickou náročnost</w:t>
      </w:r>
      <w:r w:rsidR="001346D5">
        <w:rPr>
          <w:rFonts w:cstheme="minorHAnsi"/>
          <w:sz w:val="24"/>
        </w:rPr>
        <w:t xml:space="preserve"> dle platné legislativy</w:t>
      </w:r>
      <w:r w:rsidR="001346D5" w:rsidRPr="0092047B">
        <w:rPr>
          <w:rFonts w:cstheme="minorHAnsi"/>
          <w:sz w:val="24"/>
        </w:rPr>
        <w:t xml:space="preserve"> </w:t>
      </w:r>
      <w:r w:rsidR="001346D5">
        <w:rPr>
          <w:rFonts w:cstheme="minorHAnsi"/>
          <w:sz w:val="24"/>
        </w:rPr>
        <w:t xml:space="preserve">(nákladově efektivní způsob) </w:t>
      </w:r>
      <w:r w:rsidRPr="0092047B">
        <w:rPr>
          <w:rFonts w:cstheme="minorHAnsi"/>
          <w:sz w:val="24"/>
        </w:rPr>
        <w:t>a na veřejných budovách realizovat vzorové příklady.</w:t>
      </w:r>
    </w:p>
    <w:p w:rsidR="00897AF9" w:rsidRDefault="00897AF9" w:rsidP="00184DC1">
      <w:pPr>
        <w:pStyle w:val="Odstavecseseznamem"/>
        <w:numPr>
          <w:ilvl w:val="1"/>
          <w:numId w:val="102"/>
        </w:numPr>
        <w:spacing w:before="120" w:after="157" w:line="240" w:lineRule="auto"/>
        <w:ind w:left="1134" w:hanging="708"/>
        <w:contextualSpacing/>
        <w:rPr>
          <w:rFonts w:cstheme="minorHAnsi"/>
          <w:sz w:val="24"/>
        </w:rPr>
      </w:pPr>
      <w:r w:rsidRPr="0092047B">
        <w:rPr>
          <w:rFonts w:cstheme="minorHAnsi"/>
          <w:sz w:val="24"/>
        </w:rPr>
        <w:t>Ekonomicky efektivním způsobem využívat technologie zateplování</w:t>
      </w:r>
      <w:r w:rsidR="005710FC" w:rsidRPr="0092047B">
        <w:rPr>
          <w:rFonts w:cstheme="minorHAnsi"/>
          <w:sz w:val="24"/>
        </w:rPr>
        <w:t xml:space="preserve"> </w:t>
      </w:r>
      <w:r w:rsidR="005710FC" w:rsidRPr="008E758E">
        <w:rPr>
          <w:rFonts w:cstheme="minorHAnsi"/>
          <w:sz w:val="24"/>
        </w:rPr>
        <w:t xml:space="preserve">a úpravy vnitřního prostředí s rekuperací energie </w:t>
      </w:r>
      <w:r w:rsidR="005710FC">
        <w:rPr>
          <w:rFonts w:cstheme="minorHAnsi"/>
          <w:sz w:val="24"/>
        </w:rPr>
        <w:t>u</w:t>
      </w:r>
      <w:r w:rsidR="006C5E73">
        <w:rPr>
          <w:rFonts w:cstheme="minorHAnsi"/>
          <w:sz w:val="24"/>
        </w:rPr>
        <w:t xml:space="preserve"> </w:t>
      </w:r>
      <w:r w:rsidRPr="0092047B">
        <w:rPr>
          <w:rFonts w:cstheme="minorHAnsi"/>
          <w:sz w:val="24"/>
        </w:rPr>
        <w:t>existujících budov při respektování památkové ochrany.</w:t>
      </w:r>
    </w:p>
    <w:p w:rsidR="00CF2F8B" w:rsidRPr="00CF2F8B" w:rsidRDefault="00CF2F8B" w:rsidP="00184DC1">
      <w:pPr>
        <w:pStyle w:val="Odstavecseseznamem"/>
        <w:numPr>
          <w:ilvl w:val="1"/>
          <w:numId w:val="102"/>
        </w:numPr>
        <w:spacing w:before="120" w:after="157" w:line="240" w:lineRule="auto"/>
        <w:ind w:left="1134" w:hanging="708"/>
        <w:contextualSpacing/>
        <w:rPr>
          <w:rFonts w:cstheme="minorHAnsi"/>
          <w:sz w:val="24"/>
        </w:rPr>
      </w:pPr>
      <w:r w:rsidRPr="0092047B">
        <w:rPr>
          <w:rFonts w:cstheme="minorHAnsi"/>
          <w:sz w:val="24"/>
          <w:szCs w:val="24"/>
        </w:rPr>
        <w:t>Zvýšit informovanost o energetické spotřebě budov prostřednictvím průkazu energetické náročnosti budov.</w:t>
      </w:r>
    </w:p>
    <w:p w:rsidR="00CF2F8B" w:rsidRPr="0092047B" w:rsidRDefault="00CF2F8B" w:rsidP="0068563D">
      <w:pPr>
        <w:pStyle w:val="Odstavecseseznamem"/>
        <w:numPr>
          <w:ilvl w:val="1"/>
          <w:numId w:val="102"/>
        </w:numPr>
        <w:spacing w:before="120" w:after="120" w:line="240" w:lineRule="auto"/>
        <w:ind w:left="1134" w:hanging="709"/>
        <w:contextualSpacing/>
        <w:rPr>
          <w:rFonts w:cstheme="minorHAnsi"/>
          <w:sz w:val="24"/>
        </w:rPr>
      </w:pPr>
      <w:r w:rsidRPr="0092047B">
        <w:rPr>
          <w:rFonts w:cstheme="minorHAnsi"/>
          <w:sz w:val="24"/>
          <w:szCs w:val="24"/>
        </w:rPr>
        <w:t xml:space="preserve">Doplnit legislativní úpravu v oblasti oceňování staveb s ohledem na zhodnocení </w:t>
      </w:r>
      <w:r w:rsidR="00B124A1" w:rsidRPr="0092047B">
        <w:rPr>
          <w:rFonts w:cstheme="minorHAnsi"/>
          <w:sz w:val="24"/>
          <w:szCs w:val="24"/>
        </w:rPr>
        <w:t xml:space="preserve">použitého </w:t>
      </w:r>
      <w:r w:rsidRPr="0092047B">
        <w:rPr>
          <w:rFonts w:cstheme="minorHAnsi"/>
          <w:sz w:val="24"/>
          <w:szCs w:val="24"/>
        </w:rPr>
        <w:t>nízkoenergetického standardu budov a jejich</w:t>
      </w:r>
      <w:r>
        <w:rPr>
          <w:rFonts w:cstheme="minorHAnsi"/>
          <w:sz w:val="24"/>
          <w:szCs w:val="24"/>
        </w:rPr>
        <w:t xml:space="preserve"> technických systémů</w:t>
      </w:r>
      <w:r w:rsidRPr="0092047B">
        <w:rPr>
          <w:rFonts w:cstheme="minorHAnsi"/>
          <w:sz w:val="24"/>
          <w:szCs w:val="24"/>
        </w:rPr>
        <w:t>.</w:t>
      </w:r>
    </w:p>
    <w:p w:rsidR="00897AF9" w:rsidRPr="0092047B" w:rsidRDefault="00897AF9" w:rsidP="0068563D">
      <w:pPr>
        <w:numPr>
          <w:ilvl w:val="0"/>
          <w:numId w:val="65"/>
        </w:numPr>
        <w:autoSpaceDE w:val="0"/>
        <w:autoSpaceDN w:val="0"/>
        <w:adjustRightInd w:val="0"/>
        <w:spacing w:before="120" w:after="120"/>
        <w:ind w:left="721" w:hanging="437"/>
        <w:rPr>
          <w:rFonts w:cstheme="minorHAnsi"/>
          <w:b/>
        </w:rPr>
      </w:pPr>
      <w:r w:rsidRPr="0092047B">
        <w:rPr>
          <w:rFonts w:cstheme="minorHAnsi"/>
          <w:b/>
        </w:rPr>
        <w:t>Podpora využívání energetických auditů</w:t>
      </w:r>
      <w:r w:rsidR="00CF2F8B">
        <w:rPr>
          <w:rFonts w:cstheme="minorHAnsi"/>
          <w:b/>
        </w:rPr>
        <w:t xml:space="preserve"> a posudků</w:t>
      </w:r>
      <w:r w:rsidRPr="0092047B">
        <w:rPr>
          <w:rFonts w:cstheme="minorHAnsi"/>
          <w:b/>
        </w:rPr>
        <w:t>, energetického manag</w:t>
      </w:r>
      <w:r w:rsidR="00CF2F8B">
        <w:rPr>
          <w:rFonts w:cstheme="minorHAnsi"/>
          <w:b/>
        </w:rPr>
        <w:t>ementu (monitoring a targeting) a</w:t>
      </w:r>
      <w:r w:rsidRPr="0092047B">
        <w:rPr>
          <w:rFonts w:cstheme="minorHAnsi"/>
          <w:b/>
        </w:rPr>
        <w:t xml:space="preserve"> metody Energy Performance Contracting (energetické služby se zárukou)</w:t>
      </w:r>
    </w:p>
    <w:p w:rsidR="00897AF9" w:rsidRPr="0092047B" w:rsidRDefault="00897AF9" w:rsidP="00184DC1">
      <w:pPr>
        <w:pStyle w:val="Odstavecseseznamem"/>
        <w:numPr>
          <w:ilvl w:val="1"/>
          <w:numId w:val="103"/>
        </w:numPr>
        <w:spacing w:before="120" w:after="157" w:line="240" w:lineRule="auto"/>
        <w:ind w:left="1134" w:hanging="708"/>
        <w:contextualSpacing/>
        <w:rPr>
          <w:rFonts w:cstheme="minorHAnsi"/>
          <w:sz w:val="24"/>
          <w:szCs w:val="24"/>
        </w:rPr>
      </w:pPr>
      <w:r w:rsidRPr="0092047B">
        <w:rPr>
          <w:rFonts w:cstheme="minorHAnsi"/>
          <w:sz w:val="24"/>
          <w:szCs w:val="24"/>
        </w:rPr>
        <w:t xml:space="preserve">Dohlížet na dodržování požadavku dokladování energetického auditu u budov a energetických objektů při žádosti o dotaci </w:t>
      </w:r>
      <w:r w:rsidR="00CF2F8B">
        <w:rPr>
          <w:rFonts w:cstheme="minorHAnsi"/>
          <w:sz w:val="24"/>
          <w:szCs w:val="24"/>
        </w:rPr>
        <w:t xml:space="preserve">(vyjma rodinných domů) </w:t>
      </w:r>
      <w:r w:rsidRPr="0092047B">
        <w:rPr>
          <w:rFonts w:cstheme="minorHAnsi"/>
          <w:sz w:val="24"/>
          <w:szCs w:val="24"/>
        </w:rPr>
        <w:t>včetně realizací doporučených opatření uvedených v auditu u veřejných budov.</w:t>
      </w:r>
    </w:p>
    <w:p w:rsidR="00897AF9" w:rsidRPr="0092047B" w:rsidRDefault="00897AF9" w:rsidP="00184DC1">
      <w:pPr>
        <w:pStyle w:val="Odstavecseseznamem"/>
        <w:numPr>
          <w:ilvl w:val="1"/>
          <w:numId w:val="103"/>
        </w:numPr>
        <w:spacing w:before="120" w:after="157" w:line="240" w:lineRule="auto"/>
        <w:ind w:left="1134" w:hanging="708"/>
        <w:contextualSpacing/>
        <w:rPr>
          <w:rFonts w:cstheme="minorHAnsi"/>
          <w:sz w:val="24"/>
          <w:szCs w:val="24"/>
        </w:rPr>
      </w:pPr>
      <w:r w:rsidRPr="0092047B">
        <w:rPr>
          <w:rFonts w:cstheme="minorHAnsi"/>
          <w:sz w:val="24"/>
          <w:szCs w:val="24"/>
        </w:rPr>
        <w:t>Podporovat rozšiřování subjektů, které mohou vyhotovovat energetické audity</w:t>
      </w:r>
      <w:r w:rsidR="00CF2F8B">
        <w:rPr>
          <w:rFonts w:cstheme="minorHAnsi"/>
          <w:sz w:val="24"/>
          <w:szCs w:val="24"/>
        </w:rPr>
        <w:t xml:space="preserve"> a posudky</w:t>
      </w:r>
      <w:r w:rsidRPr="0092047B">
        <w:rPr>
          <w:rFonts w:cstheme="minorHAnsi"/>
          <w:sz w:val="24"/>
          <w:szCs w:val="24"/>
        </w:rPr>
        <w:t xml:space="preserve">, včetně </w:t>
      </w:r>
      <w:r w:rsidR="009D7B9E">
        <w:rPr>
          <w:rFonts w:cstheme="minorHAnsi"/>
          <w:sz w:val="24"/>
          <w:szCs w:val="24"/>
        </w:rPr>
        <w:t xml:space="preserve">podpory </w:t>
      </w:r>
      <w:r w:rsidRPr="0092047B">
        <w:rPr>
          <w:rFonts w:cstheme="minorHAnsi"/>
          <w:sz w:val="24"/>
          <w:szCs w:val="24"/>
        </w:rPr>
        <w:t>jejich dalšího vzdělávání.</w:t>
      </w:r>
    </w:p>
    <w:p w:rsidR="00897AF9" w:rsidRDefault="00897AF9" w:rsidP="00184DC1">
      <w:pPr>
        <w:pStyle w:val="Odstavecseseznamem"/>
        <w:numPr>
          <w:ilvl w:val="1"/>
          <w:numId w:val="103"/>
        </w:numPr>
        <w:spacing w:before="120" w:after="157" w:line="240" w:lineRule="auto"/>
        <w:ind w:left="1134" w:hanging="708"/>
        <w:contextualSpacing/>
        <w:rPr>
          <w:rFonts w:cstheme="minorHAnsi"/>
          <w:sz w:val="24"/>
          <w:szCs w:val="24"/>
        </w:rPr>
      </w:pPr>
      <w:r w:rsidRPr="00CF2F8B">
        <w:rPr>
          <w:rFonts w:cstheme="minorHAnsi"/>
          <w:sz w:val="24"/>
          <w:szCs w:val="24"/>
        </w:rPr>
        <w:t>Podporovat zavádění energetického managementu a metody EPC ve ve</w:t>
      </w:r>
      <w:r w:rsidR="00CF2F8B" w:rsidRPr="00CF2F8B">
        <w:rPr>
          <w:rFonts w:cstheme="minorHAnsi"/>
          <w:sz w:val="24"/>
          <w:szCs w:val="24"/>
        </w:rPr>
        <w:t xml:space="preserve">řejném a podnikatelském sektoru, mj. </w:t>
      </w:r>
      <w:r w:rsidR="00CF2F8B">
        <w:rPr>
          <w:rFonts w:cstheme="minorHAnsi"/>
          <w:sz w:val="24"/>
          <w:szCs w:val="24"/>
        </w:rPr>
        <w:t>p</w:t>
      </w:r>
      <w:r w:rsidRPr="00CF2F8B">
        <w:rPr>
          <w:rFonts w:cstheme="minorHAnsi"/>
          <w:sz w:val="24"/>
          <w:szCs w:val="24"/>
        </w:rPr>
        <w:t>odmiňov</w:t>
      </w:r>
      <w:r w:rsidR="00CF2F8B">
        <w:rPr>
          <w:rFonts w:cstheme="minorHAnsi"/>
          <w:sz w:val="24"/>
          <w:szCs w:val="24"/>
        </w:rPr>
        <w:t>áním</w:t>
      </w:r>
      <w:r w:rsidRPr="00CF2F8B">
        <w:rPr>
          <w:rFonts w:cstheme="minorHAnsi"/>
          <w:sz w:val="24"/>
          <w:szCs w:val="24"/>
        </w:rPr>
        <w:t xml:space="preserve"> poskytnutí finanční podpory na úsporná opatření certifikací žadatele v oblasti veřejného a soukromého sektoru normou ČSN EN ISO 50001 – Systémy managementu hospodaření s energií – </w:t>
      </w:r>
      <w:r w:rsidR="00CF2F8B">
        <w:rPr>
          <w:rFonts w:cstheme="minorHAnsi"/>
          <w:sz w:val="24"/>
          <w:szCs w:val="24"/>
        </w:rPr>
        <w:t>Požadavky s návodem na použití.</w:t>
      </w:r>
    </w:p>
    <w:p w:rsidR="00CF2F8B" w:rsidRPr="00CF2F8B" w:rsidRDefault="00CF2F8B" w:rsidP="0068563D">
      <w:pPr>
        <w:pStyle w:val="Odstavecseseznamem"/>
        <w:numPr>
          <w:ilvl w:val="1"/>
          <w:numId w:val="103"/>
        </w:numPr>
        <w:spacing w:before="120" w:after="240" w:line="240" w:lineRule="auto"/>
        <w:ind w:left="1134" w:hanging="709"/>
        <w:contextualSpacing/>
        <w:rPr>
          <w:rFonts w:cstheme="minorHAnsi"/>
          <w:sz w:val="24"/>
          <w:szCs w:val="24"/>
        </w:rPr>
      </w:pPr>
      <w:r>
        <w:rPr>
          <w:sz w:val="24"/>
          <w:szCs w:val="24"/>
        </w:rPr>
        <w:t>Stimulovat k realizaci doporučených opatření vyplývajících z energetického auditu</w:t>
      </w:r>
    </w:p>
    <w:p w:rsidR="00897AF9" w:rsidRPr="0092047B" w:rsidRDefault="00897AF9" w:rsidP="00184DC1">
      <w:pPr>
        <w:pStyle w:val="Nadpis2"/>
      </w:pPr>
      <w:bookmarkStart w:id="804" w:name="_Toc396923400"/>
      <w:r w:rsidRPr="0092047B">
        <w:t>Výzkum, vývoj, inovace a školství</w:t>
      </w:r>
      <w:bookmarkEnd w:id="804"/>
    </w:p>
    <w:p w:rsidR="00897AF9" w:rsidRPr="0092047B" w:rsidRDefault="00897AF9" w:rsidP="0068563D">
      <w:pPr>
        <w:pStyle w:val="Zkladntext"/>
        <w:spacing w:before="240" w:after="120"/>
        <w:rPr>
          <w:rFonts w:cstheme="minorHAnsi"/>
          <w:b/>
          <w:bCs/>
        </w:rPr>
      </w:pPr>
      <w:r w:rsidRPr="0092047B">
        <w:rPr>
          <w:rFonts w:cstheme="minorHAnsi"/>
          <w:b/>
          <w:bCs/>
        </w:rPr>
        <w:t>Vize</w:t>
      </w:r>
    </w:p>
    <w:p w:rsidR="00897AF9" w:rsidRPr="001E7F95" w:rsidRDefault="00897AF9" w:rsidP="00184DC1">
      <w:pPr>
        <w:pStyle w:val="Zkladntext"/>
        <w:rPr>
          <w:rFonts w:cstheme="minorHAnsi"/>
        </w:rPr>
      </w:pPr>
      <w:r w:rsidRPr="0092047B">
        <w:rPr>
          <w:rFonts w:cstheme="minorHAnsi"/>
        </w:rPr>
        <w:t>Vysoce inovativní výzkum a vývoj v energetice a energetickém strojírenství směřovaný do oblastí s konkurenční výhodou ČR bude jedním z klíčových faktorů konkurenceschopnosti české energetiky a průmyslu. Hlavním zdrojem přidané hodnoty je dodávka inovativních řešení, služeb a investičních celků spíše než samotná dodávka strojů a zařízení. Vzdělávací systém zajistí generační obměnu pracovní</w:t>
      </w:r>
      <w:r w:rsidRPr="001E7F95">
        <w:rPr>
          <w:rFonts w:cstheme="minorHAnsi"/>
        </w:rPr>
        <w:t xml:space="preserve">ků v energetice a energetickém průmyslu a dostatek kvalifikovaných pracovníků pro jejich další rozvoj i pro vývoz znalostí. Technické a technickoekonomické obory budou mít vysokou prestiž ve struktuře studijních oborů. </w:t>
      </w:r>
      <w:r w:rsidR="00D278FA" w:rsidRPr="001E7F95">
        <w:rPr>
          <w:rFonts w:cstheme="minorHAnsi"/>
          <w:bCs/>
          <w:iCs/>
        </w:rPr>
        <w:t>Zásadní pro rozvoj základního výzkumu je spolupráce českých vědeckých ústavů a univerzit se zahraničními partnery, kteří jsou na špičce v jednotlivých oborech. Analogicky platí pro příslušné tuzemské výzkumné, vývojové a inovační instituce.</w:t>
      </w:r>
    </w:p>
    <w:p w:rsidR="00897AF9" w:rsidRPr="001E7F95" w:rsidRDefault="00897AF9" w:rsidP="0068563D">
      <w:pPr>
        <w:pStyle w:val="Zkladntext"/>
        <w:spacing w:before="240" w:after="120"/>
        <w:rPr>
          <w:rFonts w:cstheme="minorHAnsi"/>
          <w:b/>
          <w:bCs/>
        </w:rPr>
      </w:pPr>
      <w:r w:rsidRPr="001E7F95">
        <w:rPr>
          <w:rFonts w:cstheme="minorHAnsi"/>
          <w:b/>
          <w:bCs/>
        </w:rPr>
        <w:t>Hlavní cíle</w:t>
      </w:r>
    </w:p>
    <w:p w:rsidR="00897AF9" w:rsidRPr="001E7F95" w:rsidRDefault="00897AF9" w:rsidP="0068563D">
      <w:pPr>
        <w:pStyle w:val="Zkladntext"/>
        <w:spacing w:before="240" w:after="120"/>
        <w:rPr>
          <w:rFonts w:cstheme="minorHAnsi"/>
          <w:b/>
          <w:bCs/>
        </w:rPr>
      </w:pPr>
      <w:r w:rsidRPr="001E7F95">
        <w:rPr>
          <w:rFonts w:cstheme="minorHAnsi"/>
          <w:b/>
          <w:bCs/>
        </w:rPr>
        <w:t>Výzkum, vývoj a inovace</w:t>
      </w:r>
    </w:p>
    <w:p w:rsidR="00897AF9" w:rsidRPr="0092047B" w:rsidRDefault="00897AF9" w:rsidP="00184DC1">
      <w:pPr>
        <w:numPr>
          <w:ilvl w:val="1"/>
          <w:numId w:val="66"/>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Zvýšit zapojení tuzemských výzkumných kapacit do stávajících i budoucích mezinárodních aktivit a projektů jako jsou jaderné reaktory IV. generace, jaderná fúze, vývoj nových materiálů využitelných v energetice a energetickém strojírenství a využití dalších možností vědy, výzkumu a inovací.</w:t>
      </w:r>
    </w:p>
    <w:p w:rsidR="00897AF9" w:rsidRPr="0092047B" w:rsidRDefault="00897AF9" w:rsidP="00184DC1">
      <w:pPr>
        <w:numPr>
          <w:ilvl w:val="1"/>
          <w:numId w:val="66"/>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Zlepšit a prohloubit spolupráci základního a aplikovaného výzkumu v oblasti energetiky. Navázat na dosavadní výsledky a maximální podporu orientovat na aplikovaný výzkum a vývoj pro omezený počet lidských zdrojů a omezený vědecko-výzkumný potenciál ČR. V oblasti základního výzkumu definovat a podporovat oblasti, ve kterých je současná úroveň konkurenceschopná v evropském i ve světovém měřítku.</w:t>
      </w:r>
    </w:p>
    <w:p w:rsidR="00897AF9" w:rsidRPr="0092047B" w:rsidRDefault="00897AF9" w:rsidP="00184DC1">
      <w:pPr>
        <w:numPr>
          <w:ilvl w:val="1"/>
          <w:numId w:val="66"/>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Podporovat projekty výzkumu a vývoje v oblasti nových inovativních materiálů, zařízení, technologií, informačních a řídicích systémů.</w:t>
      </w:r>
    </w:p>
    <w:p w:rsidR="00897AF9" w:rsidRPr="0092047B" w:rsidRDefault="00897AF9" w:rsidP="00184DC1">
      <w:pPr>
        <w:numPr>
          <w:ilvl w:val="1"/>
          <w:numId w:val="66"/>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Podporovat projekty výzkumu a vývoje specificky zaměřené na zvýšení účinnosti energetických zdrojů, snížení ztrát při přenosu energií, sofistikovanější řízení sítí, vývoj energeticky úspornějších spotřebičů a pohonů a akumulace energií. V této souvislosti pak zejména na vývoj nové generace dopravních systémů využívajících tuzemské zdroje energie (elektromobily, vodíkové systémy) a na vývoj a budování potřebné infrastruktury včetně pilotních projektů akumulace v přenosové a distribučních sítích.</w:t>
      </w:r>
    </w:p>
    <w:p w:rsidR="00897AF9" w:rsidRPr="0092047B" w:rsidRDefault="00897AF9" w:rsidP="00184DC1">
      <w:pPr>
        <w:numPr>
          <w:ilvl w:val="1"/>
          <w:numId w:val="66"/>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Posílit vazby mezi výzkumem, školstvím, státní správou a praxí formou dlouhodobé strategie definující prioritní oblasti a cíle. Koordinovat státní programy a podporu z veřejných zdrojů se soukromými prostředky s cílem dosažení maximální efektivity.</w:t>
      </w:r>
      <w:r w:rsidR="005710FC">
        <w:rPr>
          <w:rFonts w:ascii="Calibri" w:hAnsi="Calibri" w:cs="Calibri"/>
        </w:rPr>
        <w:t xml:space="preserve"> Podporovat spolupráci mezi výzkumnými organizacemi a průmyslem.</w:t>
      </w:r>
    </w:p>
    <w:p w:rsidR="00897AF9" w:rsidRDefault="00897AF9" w:rsidP="00184DC1">
      <w:pPr>
        <w:numPr>
          <w:ilvl w:val="1"/>
          <w:numId w:val="66"/>
        </w:numPr>
        <w:autoSpaceDE w:val="0"/>
        <w:autoSpaceDN w:val="0"/>
        <w:adjustRightInd w:val="0"/>
        <w:spacing w:before="120" w:after="157"/>
        <w:ind w:left="1134" w:hanging="708"/>
        <w:contextualSpacing/>
        <w:rPr>
          <w:rFonts w:ascii="Calibri" w:hAnsi="Calibri" w:cs="Calibri"/>
        </w:rPr>
      </w:pPr>
      <w:r w:rsidRPr="0092047B">
        <w:rPr>
          <w:rFonts w:ascii="Calibri" w:hAnsi="Calibri" w:cs="Calibri"/>
        </w:rPr>
        <w:t>Rozvíjet činnost technologických platforem (např. Udržitelná energetika ČR). Zaměřit se na stanovení a dosažení konkrétních cílů.</w:t>
      </w:r>
    </w:p>
    <w:p w:rsidR="00797B1E" w:rsidRPr="0092047B" w:rsidRDefault="00797B1E" w:rsidP="0068563D">
      <w:pPr>
        <w:numPr>
          <w:ilvl w:val="1"/>
          <w:numId w:val="66"/>
        </w:numPr>
        <w:autoSpaceDE w:val="0"/>
        <w:autoSpaceDN w:val="0"/>
        <w:adjustRightInd w:val="0"/>
        <w:spacing w:before="120"/>
        <w:ind w:left="1134" w:hanging="709"/>
        <w:rPr>
          <w:rFonts w:ascii="Calibri" w:hAnsi="Calibri" w:cs="Calibri"/>
        </w:rPr>
      </w:pPr>
      <w:r>
        <w:rPr>
          <w:rFonts w:ascii="Calibri" w:hAnsi="Calibri" w:cs="Calibri"/>
        </w:rPr>
        <w:t>Vytvořit seznam priorit VaV v energetice pro časový horizont do roku 2020</w:t>
      </w:r>
      <w:r w:rsidR="001E7F95">
        <w:rPr>
          <w:rFonts w:ascii="Calibri" w:hAnsi="Calibri" w:cs="Calibri"/>
        </w:rPr>
        <w:t xml:space="preserve"> a seznam dlouhodobých priorit </w:t>
      </w:r>
      <w:r>
        <w:rPr>
          <w:rFonts w:ascii="Calibri" w:hAnsi="Calibri" w:cs="Calibri"/>
        </w:rPr>
        <w:t>v horizontu Státní energetické koncepce.</w:t>
      </w:r>
    </w:p>
    <w:p w:rsidR="00897AF9" w:rsidRPr="0092047B" w:rsidRDefault="00897AF9" w:rsidP="0068563D">
      <w:pPr>
        <w:tabs>
          <w:tab w:val="left" w:pos="2700"/>
        </w:tabs>
        <w:spacing w:before="240" w:after="120"/>
        <w:rPr>
          <w:rFonts w:cstheme="minorHAnsi"/>
          <w:b/>
          <w:bCs/>
        </w:rPr>
      </w:pPr>
      <w:r w:rsidRPr="0092047B">
        <w:rPr>
          <w:rFonts w:cstheme="minorHAnsi"/>
          <w:b/>
          <w:bCs/>
        </w:rPr>
        <w:t>Školství a vzdělávání</w:t>
      </w:r>
    </w:p>
    <w:p w:rsidR="00897AF9" w:rsidRPr="0092047B" w:rsidRDefault="00897AF9" w:rsidP="00BD0E77">
      <w:pPr>
        <w:spacing w:before="120" w:after="120"/>
        <w:rPr>
          <w:rFonts w:cstheme="minorHAnsi"/>
          <w:szCs w:val="22"/>
        </w:rPr>
      </w:pPr>
      <w:r w:rsidRPr="0092047B">
        <w:rPr>
          <w:rFonts w:cstheme="minorHAnsi"/>
          <w:szCs w:val="22"/>
        </w:rPr>
        <w:t>Vysoké školy v rámci své samosprávní působnosti, ve spolupráci s profesními organizacemi a firmami působícími v sektoru energetiky, se budou snažit:</w:t>
      </w:r>
    </w:p>
    <w:p w:rsidR="00897AF9" w:rsidRPr="0092047B" w:rsidRDefault="00897AF9" w:rsidP="00184DC1">
      <w:pPr>
        <w:numPr>
          <w:ilvl w:val="0"/>
          <w:numId w:val="104"/>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Zvýšit zájem o studium oborů, vhodných pro přípravu odborných pracovníků v energetice a souvisejících odvětvích a podpořit zájem o uplatnění v těchto odvětvích mezi mladými lidmi.</w:t>
      </w:r>
    </w:p>
    <w:p w:rsidR="00897AF9" w:rsidRPr="0092047B" w:rsidRDefault="00897AF9" w:rsidP="00184DC1">
      <w:pPr>
        <w:numPr>
          <w:ilvl w:val="0"/>
          <w:numId w:val="104"/>
        </w:numPr>
        <w:tabs>
          <w:tab w:val="left" w:pos="709"/>
        </w:tabs>
        <w:autoSpaceDE w:val="0"/>
        <w:autoSpaceDN w:val="0"/>
        <w:adjustRightInd w:val="0"/>
        <w:spacing w:before="120" w:after="157"/>
        <w:ind w:left="1134" w:hanging="708"/>
        <w:contextualSpacing/>
        <w:rPr>
          <w:rFonts w:cstheme="minorHAnsi"/>
        </w:rPr>
      </w:pPr>
      <w:r w:rsidRPr="0092047B">
        <w:rPr>
          <w:rFonts w:cstheme="minorHAnsi"/>
        </w:rPr>
        <w:t>Zlepšit strukturu znalostí a dovedností absolventů, aby lépe vyhovovaly měnícím se požadavkům zaměstnavatelů a zajistit rozvoj nových studijních oborů podle potřeb průmyslu. U technických odborníků zajistit vyšší míru multioborových znalostí.</w:t>
      </w:r>
    </w:p>
    <w:p w:rsidR="00897AF9" w:rsidRPr="0092047B" w:rsidRDefault="00897AF9" w:rsidP="00184DC1">
      <w:pPr>
        <w:numPr>
          <w:ilvl w:val="0"/>
          <w:numId w:val="104"/>
        </w:numPr>
        <w:tabs>
          <w:tab w:val="left" w:pos="709"/>
        </w:tabs>
        <w:autoSpaceDE w:val="0"/>
        <w:autoSpaceDN w:val="0"/>
        <w:adjustRightInd w:val="0"/>
        <w:spacing w:before="120" w:after="157"/>
        <w:ind w:left="1134" w:hanging="708"/>
        <w:contextualSpacing/>
        <w:rPr>
          <w:rFonts w:cstheme="minorHAnsi"/>
        </w:rPr>
      </w:pPr>
      <w:r w:rsidRPr="0092047B">
        <w:rPr>
          <w:rFonts w:cstheme="minorHAnsi"/>
        </w:rPr>
        <w:t>Zajistit množství kvalitních odborníků pro oblast energetiky potřebné pro generační obměnu technické inteligence v energetice a průmyslu do roku 2020.</w:t>
      </w:r>
    </w:p>
    <w:p w:rsidR="00897AF9" w:rsidRPr="0092047B" w:rsidRDefault="00897AF9" w:rsidP="00BD0E77">
      <w:pPr>
        <w:numPr>
          <w:ilvl w:val="0"/>
          <w:numId w:val="104"/>
        </w:numPr>
        <w:tabs>
          <w:tab w:val="left" w:pos="709"/>
        </w:tabs>
        <w:autoSpaceDE w:val="0"/>
        <w:autoSpaceDN w:val="0"/>
        <w:adjustRightInd w:val="0"/>
        <w:spacing w:before="120"/>
        <w:ind w:left="1134" w:hanging="709"/>
        <w:contextualSpacing/>
        <w:rPr>
          <w:rFonts w:cstheme="minorHAnsi"/>
        </w:rPr>
      </w:pPr>
      <w:r w:rsidRPr="0092047B">
        <w:rPr>
          <w:rFonts w:cstheme="minorHAnsi"/>
        </w:rPr>
        <w:t>Zavést celoživotní vzdělávání o udržitelné energetice, zahrnující celý energetický mix, potřeby infrastruktury a efektivní užití energií.</w:t>
      </w:r>
    </w:p>
    <w:p w:rsidR="00897AF9" w:rsidRPr="0092047B" w:rsidRDefault="00897AF9" w:rsidP="00BD0E77">
      <w:pPr>
        <w:pStyle w:val="Zkladntext"/>
        <w:spacing w:before="240" w:after="120"/>
        <w:rPr>
          <w:rFonts w:cstheme="minorHAnsi"/>
          <w:bCs/>
          <w:u w:val="single"/>
        </w:rPr>
      </w:pPr>
      <w:r w:rsidRPr="0092047B">
        <w:rPr>
          <w:rFonts w:cstheme="minorHAnsi"/>
          <w:bCs/>
          <w:u w:val="single"/>
        </w:rPr>
        <w:t>Dílčí cíle a jejich specifikace v jednotlivých oblastech:</w:t>
      </w:r>
    </w:p>
    <w:p w:rsidR="00897AF9" w:rsidRPr="0092047B" w:rsidRDefault="00897AF9" w:rsidP="00BD0E77">
      <w:pPr>
        <w:pStyle w:val="Zkladntext"/>
        <w:spacing w:before="240" w:after="120"/>
        <w:rPr>
          <w:rFonts w:cstheme="minorHAnsi"/>
          <w:b/>
          <w:bCs/>
        </w:rPr>
      </w:pPr>
      <w:r w:rsidRPr="0092047B">
        <w:rPr>
          <w:rFonts w:cstheme="minorHAnsi"/>
          <w:b/>
          <w:bCs/>
        </w:rPr>
        <w:t>Výzkum, vývoj a inovace</w:t>
      </w:r>
    </w:p>
    <w:p w:rsidR="00897AF9" w:rsidRPr="0092047B" w:rsidRDefault="00897AF9" w:rsidP="00184DC1">
      <w:pPr>
        <w:spacing w:after="120"/>
        <w:rPr>
          <w:rFonts w:cstheme="minorHAnsi"/>
        </w:rPr>
      </w:pPr>
      <w:r w:rsidRPr="0092047B">
        <w:rPr>
          <w:rFonts w:cstheme="minorHAnsi"/>
        </w:rPr>
        <w:t>Upřednostňovat takové oblasti energetiky a technologií, které zvyšují konkurenceschopnost českého hospodářství, mají exportní potenciál s vysokou přidanou hodnotou a přispívají k ochraně životního prostředí. Podporu soustřeďovat do oblastí, ve kterých je výzkum a vývoj již na evropské či světové úrovni nebo může významně využívat konkurenční výhody (tradice, know-how, geografické podmínky, existence infrastruktury, silné postavení na mezinárodním trhu apod.). Jako základní priority energetického výzkumu a inovací se předpokládají:</w:t>
      </w:r>
    </w:p>
    <w:p w:rsidR="00897AF9" w:rsidRPr="0092047B" w:rsidRDefault="00897AF9" w:rsidP="00BD0E77">
      <w:pPr>
        <w:numPr>
          <w:ilvl w:val="0"/>
          <w:numId w:val="68"/>
        </w:numPr>
        <w:spacing w:before="120" w:after="120"/>
        <w:ind w:left="709" w:hanging="425"/>
        <w:rPr>
          <w:rFonts w:ascii="Calibri" w:hAnsi="Calibri" w:cs="Calibri"/>
          <w:b/>
        </w:rPr>
      </w:pPr>
      <w:r w:rsidRPr="0092047B">
        <w:rPr>
          <w:rFonts w:ascii="Calibri" w:hAnsi="Calibri" w:cs="Calibri"/>
          <w:b/>
        </w:rPr>
        <w:t>Obnovitelné (alternativní) zdroje energie</w:t>
      </w:r>
    </w:p>
    <w:p w:rsidR="00897AF9" w:rsidRPr="00140B8B" w:rsidRDefault="00897AF9" w:rsidP="00BD0E77">
      <w:pPr>
        <w:pStyle w:val="Odstavecseseznamem"/>
        <w:numPr>
          <w:ilvl w:val="1"/>
          <w:numId w:val="105"/>
        </w:numPr>
        <w:spacing w:before="120" w:after="120" w:line="240" w:lineRule="auto"/>
        <w:ind w:left="1134" w:hanging="709"/>
        <w:contextualSpacing/>
        <w:rPr>
          <w:rFonts w:asciiTheme="minorHAnsi" w:hAnsiTheme="minorHAnsi" w:cstheme="minorHAnsi"/>
        </w:rPr>
      </w:pPr>
      <w:r w:rsidRPr="00140B8B">
        <w:rPr>
          <w:rFonts w:asciiTheme="minorHAnsi" w:hAnsiTheme="minorHAnsi" w:cstheme="minorHAnsi"/>
          <w:sz w:val="24"/>
        </w:rPr>
        <w:t>Podpora projektů bude zaměřena na účinnější využití biomasy, na rozvoj</w:t>
      </w:r>
      <w:r w:rsidR="00140B8B" w:rsidRPr="00140B8B">
        <w:rPr>
          <w:rFonts w:asciiTheme="minorHAnsi" w:hAnsiTheme="minorHAnsi" w:cstheme="minorHAnsi"/>
        </w:rPr>
        <w:t xml:space="preserve"> pokročilých</w:t>
      </w:r>
      <w:r w:rsidR="00B374A6" w:rsidRPr="00140B8B">
        <w:rPr>
          <w:rFonts w:asciiTheme="minorHAnsi" w:hAnsiTheme="minorHAnsi" w:cstheme="minorHAnsi"/>
        </w:rPr>
        <w:t xml:space="preserve"> biopaliv</w:t>
      </w:r>
      <w:r w:rsidR="00140B8B">
        <w:rPr>
          <w:rFonts w:asciiTheme="minorHAnsi" w:hAnsiTheme="minorHAnsi" w:cstheme="minorHAnsi"/>
        </w:rPr>
        <w:t xml:space="preserve"> </w:t>
      </w:r>
      <w:r w:rsidR="00140B8B" w:rsidRPr="00140B8B">
        <w:rPr>
          <w:rFonts w:asciiTheme="minorHAnsi" w:hAnsiTheme="minorHAnsi" w:cstheme="minorHAnsi"/>
        </w:rPr>
        <w:t>vyrobených z nepotravinářské biomasy a odpadů</w:t>
      </w:r>
      <w:r w:rsidRPr="00140B8B">
        <w:rPr>
          <w:rFonts w:asciiTheme="minorHAnsi" w:hAnsiTheme="minorHAnsi" w:cstheme="minorHAnsi"/>
          <w:sz w:val="24"/>
        </w:rPr>
        <w:t>, nových fotovoltaických systémů včetně řídících prvků, geotermálních zdrojů v geo</w:t>
      </w:r>
      <w:r w:rsidR="00140B8B" w:rsidRPr="00140B8B">
        <w:rPr>
          <w:rFonts w:asciiTheme="minorHAnsi" w:hAnsiTheme="minorHAnsi" w:cstheme="minorHAnsi"/>
          <w:sz w:val="24"/>
        </w:rPr>
        <w:t>log</w:t>
      </w:r>
      <w:r w:rsidR="0073494A" w:rsidRPr="00140B8B">
        <w:rPr>
          <w:rFonts w:asciiTheme="minorHAnsi" w:hAnsiTheme="minorHAnsi" w:cstheme="minorHAnsi"/>
          <w:sz w:val="24"/>
        </w:rPr>
        <w:t>ických</w:t>
      </w:r>
      <w:r w:rsidRPr="00140B8B">
        <w:rPr>
          <w:rFonts w:asciiTheme="minorHAnsi" w:hAnsiTheme="minorHAnsi" w:cstheme="minorHAnsi"/>
          <w:sz w:val="24"/>
        </w:rPr>
        <w:t xml:space="preserve"> podmínkách ČR a dále na výrobu a energetické využití vodíku včetně palivových článků. Tepelná čerpadla všech kategorií s vysokou účinností.</w:t>
      </w:r>
    </w:p>
    <w:p w:rsidR="00897AF9" w:rsidRPr="0092047B" w:rsidRDefault="00897AF9" w:rsidP="00BD0E77">
      <w:pPr>
        <w:numPr>
          <w:ilvl w:val="0"/>
          <w:numId w:val="68"/>
        </w:numPr>
        <w:spacing w:before="120" w:after="120"/>
        <w:ind w:left="709" w:hanging="425"/>
        <w:rPr>
          <w:rFonts w:ascii="Calibri" w:hAnsi="Calibri" w:cs="Calibri"/>
          <w:b/>
        </w:rPr>
      </w:pPr>
      <w:r w:rsidRPr="0092047B">
        <w:rPr>
          <w:rFonts w:ascii="Calibri" w:hAnsi="Calibri" w:cs="Calibri"/>
          <w:b/>
        </w:rPr>
        <w:t>Jaderné technologie</w:t>
      </w:r>
    </w:p>
    <w:p w:rsidR="00897AF9" w:rsidRPr="0092047B" w:rsidRDefault="00897AF9" w:rsidP="00BD0E77">
      <w:pPr>
        <w:pStyle w:val="Odstavecseseznamem"/>
        <w:numPr>
          <w:ilvl w:val="1"/>
          <w:numId w:val="106"/>
        </w:numPr>
        <w:spacing w:before="120" w:after="120" w:line="240" w:lineRule="auto"/>
        <w:ind w:left="1134" w:hanging="709"/>
        <w:contextualSpacing/>
        <w:rPr>
          <w:rFonts w:asciiTheme="minorHAnsi" w:hAnsiTheme="minorHAnsi" w:cstheme="minorHAnsi"/>
          <w:sz w:val="24"/>
        </w:rPr>
      </w:pPr>
      <w:r w:rsidRPr="0092047B">
        <w:rPr>
          <w:rFonts w:asciiTheme="minorHAnsi" w:hAnsiTheme="minorHAnsi" w:cstheme="minorHAnsi"/>
          <w:sz w:val="24"/>
        </w:rPr>
        <w:t>Podpora projektů bude zaměřena na výzkum perspektivních jaderných technologií III+. a IV. generace. Dále bude zaměřena na zvyšování efektivnosti, životnosti a bezpečnosti jaderných zdrojů včetně řešení nakládání s radioaktivními odpady a vyhořelým jaderným palivem a řešením konce palivového cyklu. V této oblasti se předpokládá zapojení do širších mezinárodních projektů. Vývoj bude směřovat i do strojírenských, příp. speciálních stavebních technologií pro jadernou energetiku ve vazbě na materiálové inženýrství.</w:t>
      </w:r>
    </w:p>
    <w:p w:rsidR="00897AF9" w:rsidRPr="0092047B" w:rsidRDefault="00897AF9" w:rsidP="00BD0E77">
      <w:pPr>
        <w:numPr>
          <w:ilvl w:val="0"/>
          <w:numId w:val="68"/>
        </w:numPr>
        <w:spacing w:before="120" w:after="120"/>
        <w:ind w:left="709" w:hanging="425"/>
        <w:rPr>
          <w:rFonts w:ascii="Calibri" w:hAnsi="Calibri" w:cs="Calibri"/>
          <w:b/>
        </w:rPr>
      </w:pPr>
      <w:r w:rsidRPr="0092047B">
        <w:rPr>
          <w:rFonts w:ascii="Calibri" w:hAnsi="Calibri" w:cs="Calibri"/>
          <w:b/>
        </w:rPr>
        <w:t>Účinnější využívání fosilních zdrojů energie (uhlí, zemní plyn)</w:t>
      </w:r>
    </w:p>
    <w:p w:rsidR="00897AF9" w:rsidRPr="0092047B" w:rsidRDefault="00897AF9" w:rsidP="00BD0E77">
      <w:pPr>
        <w:pStyle w:val="Odstavecseseznamem"/>
        <w:numPr>
          <w:ilvl w:val="1"/>
          <w:numId w:val="107"/>
        </w:numPr>
        <w:spacing w:before="120" w:after="120" w:line="240" w:lineRule="auto"/>
        <w:ind w:left="1134" w:hanging="709"/>
        <w:contextualSpacing/>
        <w:rPr>
          <w:rFonts w:asciiTheme="minorHAnsi" w:hAnsiTheme="minorHAnsi" w:cstheme="minorHAnsi"/>
          <w:sz w:val="24"/>
        </w:rPr>
      </w:pPr>
      <w:r w:rsidRPr="0092047B">
        <w:rPr>
          <w:rFonts w:asciiTheme="minorHAnsi" w:hAnsiTheme="minorHAnsi" w:cstheme="minorHAnsi"/>
          <w:sz w:val="24"/>
        </w:rPr>
        <w:t>Podpora projektů bude zaměřen</w:t>
      </w:r>
      <w:r w:rsidR="009D7B9E">
        <w:rPr>
          <w:rFonts w:asciiTheme="minorHAnsi" w:hAnsiTheme="minorHAnsi" w:cstheme="minorHAnsi"/>
          <w:sz w:val="24"/>
        </w:rPr>
        <w:t>á</w:t>
      </w:r>
      <w:r w:rsidRPr="0092047B">
        <w:rPr>
          <w:rFonts w:asciiTheme="minorHAnsi" w:hAnsiTheme="minorHAnsi" w:cstheme="minorHAnsi"/>
          <w:sz w:val="24"/>
        </w:rPr>
        <w:t xml:space="preserve"> na výzkum účinnějších a nových technologií spalování tradičních fosilních paliv, např. technologie čistého uhlí s parametry odpovídajícími BAT nebo lepšími a budoucím ekonomicko-ekologickým požadavkům. V této souvislosti i na vývoj vysokoteplotních materiálů a na aplikovaný výzkum, inovace plynových a parních turbín, výměníků tepla, kogeneračních systémů a problematiky geologického ukládání oxidu uhličitého.</w:t>
      </w:r>
    </w:p>
    <w:p w:rsidR="00897AF9" w:rsidRPr="0092047B" w:rsidRDefault="00897AF9" w:rsidP="00BD0E77">
      <w:pPr>
        <w:numPr>
          <w:ilvl w:val="0"/>
          <w:numId w:val="68"/>
        </w:numPr>
        <w:spacing w:before="120" w:after="120"/>
        <w:ind w:left="709" w:hanging="425"/>
        <w:rPr>
          <w:rFonts w:ascii="Calibri" w:hAnsi="Calibri" w:cs="Calibri"/>
          <w:b/>
        </w:rPr>
      </w:pPr>
      <w:r w:rsidRPr="0092047B">
        <w:rPr>
          <w:rFonts w:ascii="Calibri" w:hAnsi="Calibri" w:cs="Calibri"/>
          <w:b/>
        </w:rPr>
        <w:t>Zvyšování účinnosti a spolehlivosti energetických systémů a rozvodných sítí</w:t>
      </w:r>
    </w:p>
    <w:p w:rsidR="00897AF9" w:rsidRPr="0092047B" w:rsidRDefault="00897AF9" w:rsidP="00184DC1">
      <w:pPr>
        <w:pStyle w:val="Odstavecseseznamem"/>
        <w:numPr>
          <w:ilvl w:val="1"/>
          <w:numId w:val="108"/>
        </w:numPr>
        <w:spacing w:before="120" w:after="157" w:line="240" w:lineRule="auto"/>
        <w:ind w:left="1134" w:hanging="708"/>
        <w:contextualSpacing/>
        <w:rPr>
          <w:rFonts w:asciiTheme="minorHAnsi" w:hAnsiTheme="minorHAnsi" w:cstheme="minorHAnsi"/>
          <w:sz w:val="24"/>
        </w:rPr>
      </w:pPr>
      <w:r w:rsidRPr="0092047B">
        <w:rPr>
          <w:rFonts w:asciiTheme="minorHAnsi" w:hAnsiTheme="minorHAnsi" w:cstheme="minorHAnsi"/>
          <w:sz w:val="24"/>
        </w:rPr>
        <w:t>Podpora projektů bude zaměřena na zvýšení účinnosti a spolehlivosti energetických systémů a rozvodných sítí energetických médií včetně integrace decentralizovaných energetických zdrojů a jejich zálohování pro případ rizikových situací. Speciální pozornost bude zaměřena na rozvoj řídicích systémů na úrovni přenosových i distribučních sítí.</w:t>
      </w:r>
    </w:p>
    <w:p w:rsidR="00897AF9" w:rsidRPr="0092047B" w:rsidRDefault="00897AF9" w:rsidP="00184DC1">
      <w:pPr>
        <w:pStyle w:val="Odstavecseseznamem"/>
        <w:numPr>
          <w:ilvl w:val="1"/>
          <w:numId w:val="108"/>
        </w:numPr>
        <w:spacing w:before="120" w:after="157" w:line="240" w:lineRule="auto"/>
        <w:ind w:left="1134" w:hanging="708"/>
        <w:contextualSpacing/>
        <w:rPr>
          <w:rFonts w:asciiTheme="minorHAnsi" w:hAnsiTheme="minorHAnsi" w:cstheme="minorHAnsi"/>
          <w:sz w:val="24"/>
        </w:rPr>
      </w:pPr>
      <w:r w:rsidRPr="0092047B">
        <w:rPr>
          <w:rFonts w:asciiTheme="minorHAnsi" w:hAnsiTheme="minorHAnsi" w:cstheme="minorHAnsi"/>
          <w:sz w:val="24"/>
        </w:rPr>
        <w:t>Na úrovni distribučních sítí zejména na rozvoj inteligentních sítí a využívání decentralizovaného řízení sítí, výroby a spotřeby, včetně možností řízení akumulace v centrálních i lokálních systémech.</w:t>
      </w:r>
    </w:p>
    <w:p w:rsidR="00897AF9" w:rsidRPr="0092047B" w:rsidRDefault="00897AF9" w:rsidP="00184DC1">
      <w:pPr>
        <w:pStyle w:val="Odstavecseseznamem"/>
        <w:numPr>
          <w:ilvl w:val="1"/>
          <w:numId w:val="108"/>
        </w:numPr>
        <w:spacing w:before="120" w:after="157" w:line="240" w:lineRule="auto"/>
        <w:ind w:left="1134" w:hanging="708"/>
        <w:contextualSpacing/>
        <w:rPr>
          <w:rFonts w:asciiTheme="minorHAnsi" w:hAnsiTheme="minorHAnsi" w:cstheme="minorHAnsi"/>
          <w:sz w:val="24"/>
        </w:rPr>
      </w:pPr>
      <w:r w:rsidRPr="0092047B">
        <w:rPr>
          <w:rFonts w:asciiTheme="minorHAnsi" w:hAnsiTheme="minorHAnsi" w:cstheme="minorHAnsi"/>
          <w:sz w:val="24"/>
        </w:rPr>
        <w:t>Na úrovni přenosových sítí pak na systémy řízení spolehlivosti soustav a jejich regionální integrace, systémy údržby a provozu sítí založené na monitorování prvků a řízení rizik a na havarijní mechanismy řízení ostrovních subsystémů.</w:t>
      </w:r>
    </w:p>
    <w:p w:rsidR="00897AF9" w:rsidRPr="0092047B" w:rsidRDefault="00897AF9" w:rsidP="00BD0E77">
      <w:pPr>
        <w:pStyle w:val="Odstavecseseznamem"/>
        <w:numPr>
          <w:ilvl w:val="1"/>
          <w:numId w:val="108"/>
        </w:numPr>
        <w:spacing w:before="120" w:after="120" w:line="240" w:lineRule="auto"/>
        <w:ind w:left="1134" w:hanging="709"/>
        <w:contextualSpacing/>
        <w:rPr>
          <w:rFonts w:asciiTheme="minorHAnsi" w:hAnsiTheme="minorHAnsi" w:cstheme="minorHAnsi"/>
          <w:sz w:val="24"/>
        </w:rPr>
      </w:pPr>
      <w:r w:rsidRPr="0092047B">
        <w:rPr>
          <w:rFonts w:asciiTheme="minorHAnsi" w:hAnsiTheme="minorHAnsi" w:cstheme="minorHAnsi"/>
          <w:sz w:val="24"/>
        </w:rPr>
        <w:t>Zvláštní pozornost bude věnována vývoji ochranných prostředků proti kybernetickým útokům a ochraně telekomunikačních systémů. Podporovány budou pilotní projekty v oblasti elektroakumulace.</w:t>
      </w:r>
    </w:p>
    <w:p w:rsidR="00897AF9" w:rsidRPr="0092047B" w:rsidRDefault="00897AF9" w:rsidP="00BD0E77">
      <w:pPr>
        <w:numPr>
          <w:ilvl w:val="0"/>
          <w:numId w:val="68"/>
        </w:numPr>
        <w:spacing w:before="120" w:after="120"/>
        <w:ind w:left="709" w:hanging="425"/>
        <w:rPr>
          <w:rFonts w:ascii="Calibri" w:hAnsi="Calibri" w:cs="Calibri"/>
          <w:b/>
        </w:rPr>
      </w:pPr>
      <w:r w:rsidRPr="0092047B">
        <w:rPr>
          <w:rFonts w:ascii="Calibri" w:hAnsi="Calibri" w:cs="Calibri"/>
          <w:b/>
        </w:rPr>
        <w:t>Energetické využití odpadů</w:t>
      </w:r>
    </w:p>
    <w:p w:rsidR="00897AF9" w:rsidRPr="0092047B" w:rsidRDefault="00897AF9" w:rsidP="00BD0E77">
      <w:pPr>
        <w:pStyle w:val="Odstavecseseznamem"/>
        <w:numPr>
          <w:ilvl w:val="1"/>
          <w:numId w:val="109"/>
        </w:numPr>
        <w:spacing w:before="120" w:after="120" w:line="240" w:lineRule="auto"/>
        <w:ind w:left="1134" w:hanging="709"/>
        <w:contextualSpacing/>
        <w:rPr>
          <w:rFonts w:asciiTheme="minorHAnsi" w:hAnsiTheme="minorHAnsi" w:cstheme="minorHAnsi"/>
          <w:sz w:val="24"/>
        </w:rPr>
      </w:pPr>
      <w:r w:rsidRPr="0092047B">
        <w:rPr>
          <w:rFonts w:asciiTheme="minorHAnsi" w:hAnsiTheme="minorHAnsi" w:cstheme="minorHAnsi"/>
          <w:sz w:val="24"/>
        </w:rPr>
        <w:t>Podpora projektů bude zaměřena na výzkum a vývoj nových technologií energetického využití druhotných surovin a odpadů</w:t>
      </w:r>
      <w:r w:rsidR="001E5670">
        <w:rPr>
          <w:rFonts w:asciiTheme="minorHAnsi" w:hAnsiTheme="minorHAnsi" w:cstheme="minorHAnsi"/>
          <w:sz w:val="24"/>
        </w:rPr>
        <w:t>, které nelze materiálově využít</w:t>
      </w:r>
      <w:r w:rsidRPr="0092047B">
        <w:rPr>
          <w:rFonts w:asciiTheme="minorHAnsi" w:hAnsiTheme="minorHAnsi" w:cstheme="minorHAnsi"/>
          <w:sz w:val="24"/>
        </w:rPr>
        <w:t>.</w:t>
      </w:r>
    </w:p>
    <w:p w:rsidR="00897AF9" w:rsidRPr="0092047B" w:rsidRDefault="00897AF9" w:rsidP="00BD0E77">
      <w:pPr>
        <w:numPr>
          <w:ilvl w:val="0"/>
          <w:numId w:val="68"/>
        </w:numPr>
        <w:autoSpaceDE w:val="0"/>
        <w:autoSpaceDN w:val="0"/>
        <w:adjustRightInd w:val="0"/>
        <w:spacing w:before="120" w:after="120"/>
        <w:ind w:left="709" w:hanging="425"/>
        <w:contextualSpacing/>
        <w:rPr>
          <w:rFonts w:ascii="Calibri" w:hAnsi="Calibri" w:cs="Calibri"/>
          <w:b/>
        </w:rPr>
      </w:pPr>
      <w:r w:rsidRPr="0092047B">
        <w:rPr>
          <w:rFonts w:ascii="Calibri" w:hAnsi="Calibri" w:cs="Calibri"/>
          <w:b/>
        </w:rPr>
        <w:t>Dopravní systémy</w:t>
      </w:r>
    </w:p>
    <w:p w:rsidR="00897AF9" w:rsidRPr="0092047B" w:rsidRDefault="00897AF9" w:rsidP="00184DC1">
      <w:pPr>
        <w:pStyle w:val="Odstavecseseznamem"/>
        <w:numPr>
          <w:ilvl w:val="1"/>
          <w:numId w:val="110"/>
        </w:numPr>
        <w:spacing w:before="120" w:after="157" w:line="240" w:lineRule="auto"/>
        <w:ind w:left="1134" w:hanging="708"/>
        <w:contextualSpacing/>
        <w:rPr>
          <w:rFonts w:asciiTheme="minorHAnsi" w:hAnsiTheme="minorHAnsi" w:cstheme="minorHAnsi"/>
          <w:sz w:val="24"/>
        </w:rPr>
      </w:pPr>
      <w:r w:rsidRPr="0092047B">
        <w:rPr>
          <w:rFonts w:asciiTheme="minorHAnsi" w:hAnsiTheme="minorHAnsi" w:cstheme="minorHAnsi"/>
          <w:sz w:val="24"/>
        </w:rPr>
        <w:t>Podpora výzkumu a vývoje bude směřovat zejména do zvýšení efektivnosti systémů a prostředků hromadné dopravy včetně vozidel elektrické trakce a jejich pohonů</w:t>
      </w:r>
      <w:r w:rsidR="009C767E">
        <w:rPr>
          <w:rFonts w:asciiTheme="minorHAnsi" w:hAnsiTheme="minorHAnsi" w:cstheme="minorHAnsi"/>
          <w:sz w:val="24"/>
        </w:rPr>
        <w:t>; d</w:t>
      </w:r>
      <w:r w:rsidRPr="0092047B">
        <w:rPr>
          <w:rFonts w:asciiTheme="minorHAnsi" w:hAnsiTheme="minorHAnsi" w:cstheme="minorHAnsi"/>
          <w:sz w:val="24"/>
        </w:rPr>
        <w:t>o vývoje palivových článků a do vývoje akumulátorů pro rozvoj elektromobilů</w:t>
      </w:r>
      <w:r w:rsidR="009C767E">
        <w:rPr>
          <w:rFonts w:asciiTheme="minorHAnsi" w:hAnsiTheme="minorHAnsi" w:cstheme="minorHAnsi"/>
          <w:sz w:val="24"/>
        </w:rPr>
        <w:t>; d</w:t>
      </w:r>
      <w:r w:rsidRPr="0092047B">
        <w:rPr>
          <w:rFonts w:asciiTheme="minorHAnsi" w:hAnsiTheme="minorHAnsi" w:cstheme="minorHAnsi"/>
          <w:sz w:val="24"/>
        </w:rPr>
        <w:t>o vývoje infrastruktury pro elektromobily a vodíkové hospodářství a do vývoje telematických systémů řízení dopravy směřujících k automatizaci a optimalizaci individuální dopravy.</w:t>
      </w:r>
    </w:p>
    <w:p w:rsidR="00897AF9" w:rsidRPr="0092047B" w:rsidRDefault="00897AF9" w:rsidP="00BD0E77">
      <w:pPr>
        <w:pStyle w:val="Odstavecseseznamem"/>
        <w:numPr>
          <w:ilvl w:val="1"/>
          <w:numId w:val="110"/>
        </w:numPr>
        <w:spacing w:before="120" w:after="120" w:line="240" w:lineRule="auto"/>
        <w:ind w:left="1134" w:hanging="709"/>
        <w:contextualSpacing/>
        <w:rPr>
          <w:rFonts w:asciiTheme="minorHAnsi" w:hAnsiTheme="minorHAnsi" w:cstheme="minorHAnsi"/>
          <w:sz w:val="24"/>
        </w:rPr>
      </w:pPr>
      <w:r w:rsidRPr="0092047B">
        <w:rPr>
          <w:rFonts w:asciiTheme="minorHAnsi" w:hAnsiTheme="minorHAnsi" w:cstheme="minorHAnsi"/>
          <w:sz w:val="24"/>
        </w:rPr>
        <w:t>Podporovány budou též projekty vedoucí ke snížení ztrát v napájecích soustavách a zařízeních elektrické trakce v dopravě</w:t>
      </w:r>
    </w:p>
    <w:p w:rsidR="00897AF9" w:rsidRPr="0092047B" w:rsidRDefault="00897AF9" w:rsidP="00BD0E77">
      <w:pPr>
        <w:pStyle w:val="Zkladntext"/>
        <w:keepNext/>
        <w:spacing w:before="240" w:after="120"/>
        <w:rPr>
          <w:rFonts w:cstheme="minorHAnsi"/>
          <w:b/>
          <w:bCs/>
        </w:rPr>
      </w:pPr>
      <w:r w:rsidRPr="0092047B">
        <w:rPr>
          <w:rFonts w:cstheme="minorHAnsi"/>
          <w:b/>
          <w:bCs/>
        </w:rPr>
        <w:t>Školství a vzdělávání</w:t>
      </w:r>
    </w:p>
    <w:p w:rsidR="00897AF9" w:rsidRPr="0092047B" w:rsidRDefault="00897AF9" w:rsidP="00BD0E77">
      <w:pPr>
        <w:keepNext/>
        <w:numPr>
          <w:ilvl w:val="0"/>
          <w:numId w:val="68"/>
        </w:numPr>
        <w:autoSpaceDE w:val="0"/>
        <w:autoSpaceDN w:val="0"/>
        <w:adjustRightInd w:val="0"/>
        <w:spacing w:before="120" w:after="157"/>
        <w:ind w:left="709" w:hanging="425"/>
        <w:contextualSpacing/>
        <w:rPr>
          <w:rFonts w:ascii="Calibri" w:hAnsi="Calibri" w:cs="Calibri"/>
          <w:b/>
        </w:rPr>
      </w:pPr>
      <w:r w:rsidRPr="0092047B">
        <w:rPr>
          <w:rFonts w:ascii="Calibri" w:hAnsi="Calibri" w:cs="Calibri"/>
          <w:b/>
        </w:rPr>
        <w:t>Zlepšit strukturu dovedností a schopností absolventů a jejich uplatnitelnost</w:t>
      </w:r>
    </w:p>
    <w:p w:rsidR="00897AF9" w:rsidRPr="0092047B" w:rsidRDefault="00897AF9" w:rsidP="00BD0E77">
      <w:pPr>
        <w:tabs>
          <w:tab w:val="left" w:pos="709"/>
        </w:tabs>
        <w:autoSpaceDE w:val="0"/>
        <w:autoSpaceDN w:val="0"/>
        <w:adjustRightInd w:val="0"/>
        <w:spacing w:before="120" w:after="120"/>
        <w:ind w:left="709" w:hanging="567"/>
        <w:rPr>
          <w:rFonts w:cstheme="minorHAnsi"/>
        </w:rPr>
      </w:pPr>
      <w:r w:rsidRPr="0092047B">
        <w:rPr>
          <w:rFonts w:cstheme="minorHAnsi"/>
        </w:rPr>
        <w:tab/>
        <w:t>Středoškolské vzdělávací instituce a vysoké školy v rámci své samosprávní působnosti, ve spolupráci s profesními organizacemi a firmami působícími v sektoru energetiky, se budou snažit:</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Realizovat změny ve studijních programech na sekundárním i terciárním stupni za účelem přiblížení kvality výuky současným i budoucím požadavkům trhu práce. Nastavit systém hodnocení studijních oborů z hlediska praxe.</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Zvýšit podíl praktických poznatků a dovedností ve vzdělanostním profilu absolventů. Zajistit vyšší podíl externích přednášejících a specializovaných předmětů z praxe ve všech studijních oborech.</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Zajistit spolupráci s energetickými a průmyslovými firmami při stanovování témat odborných a diplomových prací a nastavit systém vedení a oponentur tak, aby vždy reflektoval názory a zkušenosti z praxe.</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V souladu s průmyslovým vývojem kombinovat vzdělávací programy zaměřené na strojírenství a elektrotechniku, a tím poskytnout absolventům vhodnou kombinaci znalostí pro energetický sektor, pro realizaci velkých investičních celků s vazbou na stavebnictví.</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U studijních programů, připravujících na budoucí povolání obsluhy výrobních a rozvodných zařízení v energetice, se ve zvýšené míře věnovat oblasti automatizace, řídící techniky a informačních technologií, stejně jako rozvoji tzv. měkkých (osobnostních) dovedností. Podpořit studijní programy a odbornou přípravu, zaměřené na efektivní využívání obnovitelných zdrojů energie, management energií a jejich úspory.</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Vzdělávací programy v pozemním stavitelství doplnit o uplatňování zásad navrhování nízkoenergetických budov a realizaci úspor</w:t>
      </w:r>
      <w:r w:rsidR="009C767E">
        <w:rPr>
          <w:rFonts w:cstheme="minorHAnsi"/>
        </w:rPr>
        <w:t>.</w:t>
      </w:r>
    </w:p>
    <w:p w:rsidR="00897AF9" w:rsidRPr="0092047B" w:rsidRDefault="00897AF9" w:rsidP="00184DC1">
      <w:pPr>
        <w:numPr>
          <w:ilvl w:val="1"/>
          <w:numId w:val="69"/>
        </w:numPr>
        <w:autoSpaceDE w:val="0"/>
        <w:autoSpaceDN w:val="0"/>
        <w:adjustRightInd w:val="0"/>
        <w:spacing w:before="120" w:after="157"/>
        <w:ind w:left="1134" w:hanging="708"/>
        <w:contextualSpacing/>
        <w:rPr>
          <w:rFonts w:cstheme="minorHAnsi"/>
        </w:rPr>
      </w:pPr>
      <w:r w:rsidRPr="0092047B">
        <w:rPr>
          <w:rFonts w:cstheme="minorHAnsi"/>
        </w:rPr>
        <w:t>Zvýšit akcent na kvalitu absolventů v oblasti řešení problémů a interdisciplinárních poznatků. Rozšířit účast studentů na týmových projektech mezi studijními obory i mezi vysokými školami.</w:t>
      </w:r>
    </w:p>
    <w:p w:rsidR="00897AF9" w:rsidRPr="0092047B" w:rsidRDefault="00897AF9" w:rsidP="00184DC1">
      <w:pPr>
        <w:numPr>
          <w:ilvl w:val="1"/>
          <w:numId w:val="69"/>
        </w:numPr>
        <w:tabs>
          <w:tab w:val="left" w:pos="1560"/>
        </w:tabs>
        <w:autoSpaceDE w:val="0"/>
        <w:autoSpaceDN w:val="0"/>
        <w:adjustRightInd w:val="0"/>
        <w:spacing w:before="120" w:after="157"/>
        <w:ind w:left="1134" w:hanging="708"/>
        <w:contextualSpacing/>
        <w:rPr>
          <w:rFonts w:cstheme="minorHAnsi"/>
        </w:rPr>
      </w:pPr>
      <w:r w:rsidRPr="0092047B">
        <w:rPr>
          <w:rFonts w:cstheme="minorHAnsi"/>
        </w:rPr>
        <w:t>Udržet kvalitu technických dovedností při růstu kvality v měkkých dovednostech.</w:t>
      </w:r>
    </w:p>
    <w:p w:rsidR="00897AF9" w:rsidRDefault="00897AF9" w:rsidP="00BD0E77">
      <w:pPr>
        <w:numPr>
          <w:ilvl w:val="1"/>
          <w:numId w:val="69"/>
        </w:numPr>
        <w:tabs>
          <w:tab w:val="left" w:pos="1560"/>
        </w:tabs>
        <w:autoSpaceDE w:val="0"/>
        <w:autoSpaceDN w:val="0"/>
        <w:adjustRightInd w:val="0"/>
        <w:spacing w:before="120"/>
        <w:ind w:left="1134" w:hanging="709"/>
        <w:rPr>
          <w:rFonts w:cstheme="minorHAnsi"/>
        </w:rPr>
      </w:pPr>
      <w:r w:rsidRPr="0092047B">
        <w:rPr>
          <w:rFonts w:cstheme="minorHAnsi"/>
        </w:rPr>
        <w:t>Uplatnit nástroje vzdělávání a osvěty k udržitelné energetice na všech úrovních vzdělávání.</w:t>
      </w:r>
    </w:p>
    <w:p w:rsidR="00897AF9" w:rsidRPr="0092047B" w:rsidRDefault="00897AF9" w:rsidP="00BD0E77">
      <w:pPr>
        <w:numPr>
          <w:ilvl w:val="0"/>
          <w:numId w:val="68"/>
        </w:numPr>
        <w:autoSpaceDE w:val="0"/>
        <w:autoSpaceDN w:val="0"/>
        <w:adjustRightInd w:val="0"/>
        <w:spacing w:before="120" w:after="120"/>
        <w:ind w:left="709" w:hanging="425"/>
        <w:contextualSpacing/>
        <w:rPr>
          <w:rFonts w:ascii="Calibri" w:hAnsi="Calibri" w:cs="Calibri"/>
          <w:b/>
        </w:rPr>
      </w:pPr>
      <w:r w:rsidRPr="0092047B">
        <w:rPr>
          <w:rFonts w:ascii="Calibri" w:hAnsi="Calibri" w:cs="Calibri"/>
          <w:b/>
        </w:rPr>
        <w:t>Motivační vzdělávací programy a propagace energetických oborů</w:t>
      </w:r>
    </w:p>
    <w:p w:rsidR="00897AF9" w:rsidRPr="0092047B" w:rsidRDefault="00897AF9" w:rsidP="00BD0E77">
      <w:pPr>
        <w:autoSpaceDE w:val="0"/>
        <w:autoSpaceDN w:val="0"/>
        <w:adjustRightInd w:val="0"/>
        <w:spacing w:before="120" w:after="120"/>
        <w:ind w:left="709"/>
        <w:contextualSpacing/>
        <w:rPr>
          <w:rFonts w:cstheme="minorHAnsi"/>
        </w:rPr>
      </w:pPr>
      <w:r w:rsidRPr="0092047B">
        <w:rPr>
          <w:rFonts w:cstheme="minorHAnsi"/>
        </w:rPr>
        <w:t>Vysoké školy v rámci své samosprávní působnosti, ve spolupráci s profesními organizacemi a firmami působícími v sektoru energetiky, se budou snažit:</w:t>
      </w:r>
    </w:p>
    <w:p w:rsidR="00897AF9" w:rsidRPr="0092047B" w:rsidRDefault="00897AF9" w:rsidP="00184DC1">
      <w:pPr>
        <w:pStyle w:val="Odstavecseseznamem"/>
        <w:numPr>
          <w:ilvl w:val="0"/>
          <w:numId w:val="76"/>
        </w:numPr>
        <w:tabs>
          <w:tab w:val="left" w:pos="0"/>
        </w:tabs>
        <w:spacing w:before="120" w:after="157" w:line="240" w:lineRule="auto"/>
        <w:ind w:left="1134" w:hanging="708"/>
        <w:contextualSpacing/>
        <w:rPr>
          <w:rFonts w:asciiTheme="minorHAnsi" w:hAnsiTheme="minorHAnsi" w:cstheme="minorHAnsi"/>
          <w:sz w:val="24"/>
          <w:szCs w:val="24"/>
        </w:rPr>
      </w:pPr>
      <w:r w:rsidRPr="0092047B">
        <w:rPr>
          <w:rFonts w:asciiTheme="minorHAnsi" w:hAnsiTheme="minorHAnsi" w:cstheme="minorHAnsi"/>
          <w:sz w:val="24"/>
          <w:szCs w:val="24"/>
        </w:rPr>
        <w:t>Rozvíjet motivační programy pro přípravu a vzdělávání "energetiků" vč. systému podpory studentů při studiu. Podpořit vhodnými nástroji další rozvoj systému podnikových stipendií, brigád a praxí a jejich započtení do systému hodnocení v rámci studia, včetně započtení výsledků, znalostí a certifikací dosažených v rámci této praxe. V případě, že studijní praxe jsou součástí studijních plánů, jsou i součástí systému hodnocení studia.</w:t>
      </w:r>
    </w:p>
    <w:p w:rsidR="00897AF9" w:rsidRPr="0092047B" w:rsidRDefault="00897AF9" w:rsidP="00BD0E77">
      <w:pPr>
        <w:pStyle w:val="Odstavecseseznamem"/>
        <w:numPr>
          <w:ilvl w:val="0"/>
          <w:numId w:val="76"/>
        </w:numPr>
        <w:tabs>
          <w:tab w:val="left" w:pos="0"/>
        </w:tabs>
        <w:spacing w:before="120" w:after="120" w:line="240" w:lineRule="auto"/>
        <w:ind w:left="1134" w:hanging="709"/>
        <w:contextualSpacing/>
        <w:rPr>
          <w:rFonts w:asciiTheme="minorHAnsi" w:hAnsiTheme="minorHAnsi" w:cstheme="minorHAnsi"/>
          <w:sz w:val="24"/>
          <w:szCs w:val="24"/>
        </w:rPr>
      </w:pPr>
      <w:r w:rsidRPr="0092047B">
        <w:rPr>
          <w:rFonts w:asciiTheme="minorHAnsi" w:hAnsiTheme="minorHAnsi" w:cstheme="minorHAnsi"/>
          <w:sz w:val="24"/>
          <w:szCs w:val="24"/>
        </w:rPr>
        <w:t>Podpořit celkovou propagaci technického vzdělání a energetických oborů</w:t>
      </w:r>
      <w:r w:rsidR="009C767E">
        <w:rPr>
          <w:rFonts w:asciiTheme="minorHAnsi" w:hAnsiTheme="minorHAnsi" w:cstheme="minorHAnsi"/>
          <w:sz w:val="24"/>
          <w:szCs w:val="24"/>
        </w:rPr>
        <w:t>,</w:t>
      </w:r>
      <w:r w:rsidRPr="0092047B">
        <w:rPr>
          <w:rFonts w:asciiTheme="minorHAnsi" w:hAnsiTheme="minorHAnsi" w:cstheme="minorHAnsi"/>
          <w:sz w:val="24"/>
          <w:szCs w:val="24"/>
        </w:rPr>
        <w:t xml:space="preserve"> a to jak rozšířením znalostí a vědomostí o energetice v rámci základního a středního vzdělání, tak i rozšířením obecných znalostí prostřednictvím televizních vzdělávacích programů. Pro popularizaci nalézt přiměřeně zábavnou formu využívající všech masových médií a internetu. Motivovat zaměstnavatele k tomu, aby se podíleli na této propagaci a podpořit mechanismy propojující veřejné a privátní prostředky.</w:t>
      </w:r>
    </w:p>
    <w:p w:rsidR="00897AF9" w:rsidRPr="0092047B" w:rsidRDefault="00897AF9" w:rsidP="00BD0E77">
      <w:pPr>
        <w:numPr>
          <w:ilvl w:val="0"/>
          <w:numId w:val="68"/>
        </w:numPr>
        <w:autoSpaceDE w:val="0"/>
        <w:autoSpaceDN w:val="0"/>
        <w:adjustRightInd w:val="0"/>
        <w:spacing w:before="120" w:after="120"/>
        <w:ind w:left="709" w:hanging="425"/>
        <w:contextualSpacing/>
        <w:rPr>
          <w:rFonts w:ascii="Calibri" w:hAnsi="Calibri" w:cs="Calibri"/>
          <w:b/>
        </w:rPr>
      </w:pPr>
      <w:r w:rsidRPr="0092047B">
        <w:rPr>
          <w:rFonts w:ascii="Calibri" w:hAnsi="Calibri" w:cs="Calibri"/>
          <w:b/>
        </w:rPr>
        <w:t>Rekvalifikace a rozvoj odborné přípravy</w:t>
      </w:r>
    </w:p>
    <w:p w:rsidR="00897AF9" w:rsidRPr="0092047B" w:rsidRDefault="00897AF9" w:rsidP="00BD0E77">
      <w:pPr>
        <w:pStyle w:val="Odstavecseseznamem"/>
        <w:numPr>
          <w:ilvl w:val="0"/>
          <w:numId w:val="77"/>
        </w:numPr>
        <w:spacing w:before="120" w:after="240" w:line="240" w:lineRule="auto"/>
        <w:ind w:left="1134" w:hanging="709"/>
        <w:contextualSpacing/>
        <w:rPr>
          <w:rFonts w:cs="Calibri"/>
          <w:b/>
          <w:sz w:val="24"/>
          <w:szCs w:val="24"/>
        </w:rPr>
      </w:pPr>
      <w:r w:rsidRPr="0092047B">
        <w:rPr>
          <w:rFonts w:asciiTheme="minorHAnsi" w:hAnsiTheme="minorHAnsi" w:cstheme="minorHAnsi"/>
          <w:sz w:val="24"/>
          <w:szCs w:val="24"/>
        </w:rPr>
        <w:t>Posílit úlohu vysokých škol v rámci celoživotního vzdělávání zaměřeného na oblast energetiky a podporovat rekvalifikační kurzy se zaměřením na oblast energetiky a souvisejících oborů. Propojit rekvalifikační kursy s uznávanými certifikacemi odborných svazů, asociací a komor, a zajistit úzkou vazbu rekvalifikačních kursů na aktuální potřeby firem, včetně vysoké účasti odborníků z praxe.</w:t>
      </w:r>
    </w:p>
    <w:p w:rsidR="00897AF9" w:rsidRPr="0092047B" w:rsidRDefault="00897AF9" w:rsidP="00184DC1">
      <w:pPr>
        <w:pStyle w:val="Nadpis2"/>
      </w:pPr>
      <w:bookmarkStart w:id="805" w:name="_Toc396923401"/>
      <w:r w:rsidRPr="0092047B">
        <w:t>Energetické strojírenství a průmysl</w:t>
      </w:r>
      <w:bookmarkEnd w:id="805"/>
    </w:p>
    <w:p w:rsidR="00897AF9" w:rsidRPr="0092047B" w:rsidRDefault="00897AF9" w:rsidP="00BD0E77">
      <w:pPr>
        <w:pStyle w:val="Zkladntext"/>
        <w:spacing w:before="240" w:after="120"/>
        <w:rPr>
          <w:rFonts w:cstheme="minorHAnsi"/>
          <w:b/>
          <w:bCs/>
        </w:rPr>
      </w:pPr>
      <w:r w:rsidRPr="0092047B">
        <w:rPr>
          <w:rFonts w:cstheme="minorHAnsi"/>
          <w:b/>
          <w:bCs/>
        </w:rPr>
        <w:t>Vize</w:t>
      </w:r>
    </w:p>
    <w:p w:rsidR="00897AF9" w:rsidRPr="0092047B" w:rsidRDefault="00897AF9" w:rsidP="00184DC1">
      <w:pPr>
        <w:pStyle w:val="Zkladntext"/>
        <w:rPr>
          <w:rFonts w:cstheme="minorHAnsi"/>
        </w:rPr>
      </w:pPr>
      <w:r w:rsidRPr="0092047B">
        <w:rPr>
          <w:rFonts w:cstheme="minorHAnsi"/>
        </w:rPr>
        <w:t>Trvalým rozvojem energetického strojírenství a navazujících průmyslových odvětví posílit soběstačnost ve výrobě energetických komponent, a tím posílit úlohu energetické bezpečnosti a nezávislosti. Současně s tím dosáhnout návratu českého energetického strojírenství mezi přední dodavatele energetických celků ve světě a využít potenciál, který nabízí rozsáhlá obnova a modernizace energetiky ve všech částech vyspělého světa, spolu s prudkým rozvojem energetiky v rozvíjejících se zemích, jako unikátní proexportní příležitost, a to i ve vazbě na stavebnictví</w:t>
      </w:r>
      <w:r w:rsidR="009C767E">
        <w:rPr>
          <w:rFonts w:cstheme="minorHAnsi"/>
        </w:rPr>
        <w:t>,</w:t>
      </w:r>
      <w:r w:rsidRPr="0092047B">
        <w:rPr>
          <w:rFonts w:cstheme="minorHAnsi"/>
        </w:rPr>
        <w:t xml:space="preserve"> při realizaci velkých investičních celků.</w:t>
      </w:r>
    </w:p>
    <w:p w:rsidR="00897AF9" w:rsidRPr="0092047B" w:rsidRDefault="00897AF9" w:rsidP="00BD0E77">
      <w:pPr>
        <w:pStyle w:val="Zkladntext"/>
        <w:spacing w:before="240" w:after="120"/>
        <w:rPr>
          <w:rFonts w:cstheme="minorHAnsi"/>
          <w:b/>
          <w:bCs/>
        </w:rPr>
      </w:pPr>
      <w:r w:rsidRPr="0092047B">
        <w:rPr>
          <w:rFonts w:cstheme="minorHAnsi"/>
          <w:b/>
          <w:bCs/>
        </w:rPr>
        <w:t>Hlavní cíle</w:t>
      </w:r>
    </w:p>
    <w:p w:rsidR="00897AF9" w:rsidRPr="0092047B" w:rsidRDefault="00897AF9" w:rsidP="00184DC1">
      <w:pPr>
        <w:numPr>
          <w:ilvl w:val="0"/>
          <w:numId w:val="70"/>
        </w:numPr>
        <w:autoSpaceDE w:val="0"/>
        <w:autoSpaceDN w:val="0"/>
        <w:adjustRightInd w:val="0"/>
        <w:spacing w:before="120" w:after="157"/>
        <w:ind w:left="1134" w:hanging="708"/>
        <w:contextualSpacing/>
        <w:rPr>
          <w:rFonts w:cstheme="minorHAnsi"/>
        </w:rPr>
      </w:pPr>
      <w:r w:rsidRPr="0092047B">
        <w:rPr>
          <w:rFonts w:cstheme="minorHAnsi"/>
        </w:rPr>
        <w:t>Posílením domácí soběstačnosti ve výrobě energetických komponent limitovat dopady předpokládaného nedostatku výrobních kapacit předních světových výrobců (v rámci pravidel a podmínek EU týkajících se upřednostňování tuzemských výrobců).</w:t>
      </w:r>
    </w:p>
    <w:p w:rsidR="00897AF9" w:rsidRPr="0092047B" w:rsidRDefault="00897AF9" w:rsidP="00184DC1">
      <w:pPr>
        <w:numPr>
          <w:ilvl w:val="0"/>
          <w:numId w:val="70"/>
        </w:numPr>
        <w:autoSpaceDE w:val="0"/>
        <w:autoSpaceDN w:val="0"/>
        <w:adjustRightInd w:val="0"/>
        <w:spacing w:before="120" w:after="157"/>
        <w:ind w:left="1134" w:hanging="708"/>
        <w:contextualSpacing/>
        <w:rPr>
          <w:rFonts w:cstheme="minorHAnsi"/>
        </w:rPr>
      </w:pPr>
      <w:r w:rsidRPr="0092047B">
        <w:rPr>
          <w:rFonts w:cstheme="minorHAnsi"/>
        </w:rPr>
        <w:t>Dosáhnout obnovení postavení českého energetického strojírenství na mezinárodním trhu investičních celků zejména v tradičních teritoriích (Latinská Amerika, Čína, Indie, jihovýchodní Asie, Střední a Blízký východ, severní Evropa, Balkán).</w:t>
      </w:r>
    </w:p>
    <w:p w:rsidR="00897AF9" w:rsidRPr="0092047B" w:rsidRDefault="00897AF9" w:rsidP="00184DC1">
      <w:pPr>
        <w:numPr>
          <w:ilvl w:val="0"/>
          <w:numId w:val="70"/>
        </w:numPr>
        <w:autoSpaceDE w:val="0"/>
        <w:autoSpaceDN w:val="0"/>
        <w:adjustRightInd w:val="0"/>
        <w:spacing w:before="120" w:after="157"/>
        <w:ind w:left="1134" w:hanging="708"/>
        <w:contextualSpacing/>
        <w:rPr>
          <w:rFonts w:cstheme="minorHAnsi"/>
        </w:rPr>
      </w:pPr>
      <w:r w:rsidRPr="0092047B">
        <w:rPr>
          <w:rFonts w:cstheme="minorHAnsi"/>
        </w:rPr>
        <w:t>Zvýšit podíl technologicky náročných investičních celků i komponent s vysokou přidanou hodnotou z oblasti energetiky a energetického strojírenství na exportu ČR.</w:t>
      </w:r>
    </w:p>
    <w:p w:rsidR="00897AF9" w:rsidRPr="0092047B" w:rsidRDefault="00897AF9" w:rsidP="00BD0E77">
      <w:pPr>
        <w:numPr>
          <w:ilvl w:val="0"/>
          <w:numId w:val="70"/>
        </w:numPr>
        <w:autoSpaceDE w:val="0"/>
        <w:autoSpaceDN w:val="0"/>
        <w:adjustRightInd w:val="0"/>
        <w:spacing w:before="120"/>
        <w:ind w:left="1134" w:hanging="709"/>
        <w:contextualSpacing/>
        <w:rPr>
          <w:rFonts w:cstheme="minorHAnsi"/>
        </w:rPr>
      </w:pPr>
      <w:r w:rsidRPr="0092047B">
        <w:rPr>
          <w:rFonts w:cstheme="minorHAnsi"/>
        </w:rPr>
        <w:t>Dosáhnout obnovení potenciálu v oblasti vývoje, projektování a konstruování technologicky vyspělých investičních celků a jejích vývozu.</w:t>
      </w:r>
    </w:p>
    <w:p w:rsidR="00897AF9" w:rsidRPr="0092047B" w:rsidRDefault="00897AF9" w:rsidP="00BD0E77">
      <w:pPr>
        <w:pStyle w:val="Zkladntext"/>
        <w:spacing w:before="240" w:after="120"/>
        <w:rPr>
          <w:rFonts w:cstheme="minorHAnsi"/>
          <w:bCs/>
          <w:u w:val="single"/>
        </w:rPr>
      </w:pPr>
      <w:r w:rsidRPr="0092047B">
        <w:rPr>
          <w:rFonts w:cstheme="minorHAnsi"/>
          <w:bCs/>
          <w:u w:val="single"/>
        </w:rPr>
        <w:t>Dílčí cíle a jejich specifikace v jednotlivých oblastech:</w:t>
      </w:r>
    </w:p>
    <w:p w:rsidR="00897AF9" w:rsidRPr="0092047B" w:rsidRDefault="00897AF9" w:rsidP="00BD0E77">
      <w:pPr>
        <w:numPr>
          <w:ilvl w:val="0"/>
          <w:numId w:val="71"/>
        </w:numPr>
        <w:spacing w:before="240" w:after="120"/>
        <w:ind w:left="709" w:hanging="425"/>
        <w:rPr>
          <w:rFonts w:cstheme="minorHAnsi"/>
          <w:b/>
        </w:rPr>
      </w:pPr>
      <w:r w:rsidRPr="0092047B">
        <w:rPr>
          <w:rFonts w:cstheme="minorHAnsi"/>
          <w:b/>
        </w:rPr>
        <w:t>Dodávky energetických komponent</w:t>
      </w:r>
    </w:p>
    <w:p w:rsidR="00897AF9" w:rsidRPr="0092047B" w:rsidRDefault="00897AF9" w:rsidP="00184DC1">
      <w:pPr>
        <w:numPr>
          <w:ilvl w:val="1"/>
          <w:numId w:val="78"/>
        </w:numPr>
        <w:autoSpaceDE w:val="0"/>
        <w:autoSpaceDN w:val="0"/>
        <w:adjustRightInd w:val="0"/>
        <w:spacing w:before="120" w:after="157"/>
        <w:ind w:left="1134" w:hanging="708"/>
        <w:contextualSpacing/>
        <w:rPr>
          <w:rFonts w:cstheme="minorHAnsi"/>
        </w:rPr>
      </w:pPr>
      <w:r w:rsidRPr="0092047B">
        <w:rPr>
          <w:rFonts w:cstheme="minorHAnsi"/>
        </w:rPr>
        <w:t xml:space="preserve">V návaznosti na systémy podpory rozvoje </w:t>
      </w:r>
      <w:r w:rsidR="00BD0E77">
        <w:rPr>
          <w:rFonts w:cstheme="minorHAnsi"/>
        </w:rPr>
        <w:t>OZE</w:t>
      </w:r>
      <w:r w:rsidRPr="0092047B">
        <w:rPr>
          <w:rFonts w:cstheme="minorHAnsi"/>
        </w:rPr>
        <w:t xml:space="preserve"> podpořit maximální účast tuzemských dodavatelů a zvýšení technologické úrovně jejich produkce.</w:t>
      </w:r>
    </w:p>
    <w:p w:rsidR="00897AF9" w:rsidRPr="0092047B" w:rsidRDefault="00897AF9" w:rsidP="00184DC1">
      <w:pPr>
        <w:numPr>
          <w:ilvl w:val="1"/>
          <w:numId w:val="78"/>
        </w:numPr>
        <w:autoSpaceDE w:val="0"/>
        <w:autoSpaceDN w:val="0"/>
        <w:adjustRightInd w:val="0"/>
        <w:spacing w:before="120" w:after="157"/>
        <w:ind w:left="1134" w:hanging="708"/>
        <w:contextualSpacing/>
        <w:rPr>
          <w:rFonts w:cstheme="minorHAnsi"/>
        </w:rPr>
      </w:pPr>
      <w:r w:rsidRPr="0092047B">
        <w:rPr>
          <w:rFonts w:cstheme="minorHAnsi"/>
        </w:rPr>
        <w:t>Směřováním programů podpory výzkumu, vývoje a inovací, investičních pobídek a efektivních a mezinárodně respektovaných certifikačních procedur podpořit rozvoj výroby energetických komponent s vysokou technologickou úrovní.</w:t>
      </w:r>
    </w:p>
    <w:p w:rsidR="00897AF9" w:rsidRPr="0092047B" w:rsidRDefault="00897AF9" w:rsidP="00BD0E77">
      <w:pPr>
        <w:numPr>
          <w:ilvl w:val="1"/>
          <w:numId w:val="78"/>
        </w:numPr>
        <w:autoSpaceDE w:val="0"/>
        <w:autoSpaceDN w:val="0"/>
        <w:adjustRightInd w:val="0"/>
        <w:spacing w:before="120" w:after="120"/>
        <w:ind w:left="1134" w:hanging="709"/>
        <w:rPr>
          <w:rFonts w:cstheme="minorHAnsi"/>
        </w:rPr>
      </w:pPr>
      <w:r w:rsidRPr="0092047B">
        <w:rPr>
          <w:rFonts w:cstheme="minorHAnsi"/>
        </w:rPr>
        <w:t xml:space="preserve">Podporovat zapojení podniků energetického strojírenství do mezinárodních výzkumných energetických programů, a to jak z úrovně členství v mezinárodních agenturách a asociacích, tak i podporou </w:t>
      </w:r>
      <w:r w:rsidR="009C767E">
        <w:rPr>
          <w:rFonts w:cstheme="minorHAnsi"/>
        </w:rPr>
        <w:t>spolu</w:t>
      </w:r>
      <w:r w:rsidRPr="0092047B">
        <w:rPr>
          <w:rFonts w:cstheme="minorHAnsi"/>
        </w:rPr>
        <w:t>financování výzkumných a vývojových projektů z prostředků strukturálních fondů EU. K tomuto účelu směřovat zejména poradenskou činnost státní správy vůči podnikům a efektivní administraci projektů.</w:t>
      </w:r>
    </w:p>
    <w:p w:rsidR="00897AF9" w:rsidRPr="0092047B" w:rsidRDefault="00897AF9" w:rsidP="00BD0E77">
      <w:pPr>
        <w:numPr>
          <w:ilvl w:val="0"/>
          <w:numId w:val="71"/>
        </w:numPr>
        <w:spacing w:before="120" w:after="120"/>
        <w:ind w:left="709" w:hanging="425"/>
        <w:rPr>
          <w:rFonts w:cstheme="minorHAnsi"/>
          <w:b/>
        </w:rPr>
      </w:pPr>
      <w:r w:rsidRPr="0092047B">
        <w:rPr>
          <w:rFonts w:cstheme="minorHAnsi"/>
          <w:b/>
        </w:rPr>
        <w:t>Dodávky investičních celků a vazba na stavebnictví</w:t>
      </w:r>
    </w:p>
    <w:p w:rsidR="00897AF9" w:rsidRPr="0092047B" w:rsidRDefault="00897AF9" w:rsidP="00184DC1">
      <w:pPr>
        <w:numPr>
          <w:ilvl w:val="1"/>
          <w:numId w:val="79"/>
        </w:numPr>
        <w:autoSpaceDE w:val="0"/>
        <w:autoSpaceDN w:val="0"/>
        <w:adjustRightInd w:val="0"/>
        <w:spacing w:before="120" w:after="157"/>
        <w:ind w:left="1134" w:hanging="708"/>
        <w:contextualSpacing/>
        <w:rPr>
          <w:rFonts w:cstheme="minorHAnsi"/>
        </w:rPr>
      </w:pPr>
      <w:r w:rsidRPr="0092047B">
        <w:rPr>
          <w:rFonts w:cstheme="minorHAnsi"/>
        </w:rPr>
        <w:t xml:space="preserve">Podpořit velké a střední strojírenské podniky </w:t>
      </w:r>
      <w:r w:rsidR="009C767E">
        <w:rPr>
          <w:rFonts w:cstheme="minorHAnsi"/>
        </w:rPr>
        <w:t xml:space="preserve">- </w:t>
      </w:r>
      <w:r w:rsidRPr="0092047B">
        <w:rPr>
          <w:rFonts w:cstheme="minorHAnsi"/>
        </w:rPr>
        <w:t>při zachování tržních podmínek, které se zabývají energetickým strojírenstvím, zejména v oblasti veřejných zakázek. Stanovování podmínek a technických parametrů v rámci autorizačních procedur výstavby energetických zařízení.</w:t>
      </w:r>
    </w:p>
    <w:p w:rsidR="00897AF9" w:rsidRPr="0092047B" w:rsidRDefault="00897AF9" w:rsidP="00184DC1">
      <w:pPr>
        <w:numPr>
          <w:ilvl w:val="1"/>
          <w:numId w:val="79"/>
        </w:numPr>
        <w:autoSpaceDE w:val="0"/>
        <w:autoSpaceDN w:val="0"/>
        <w:adjustRightInd w:val="0"/>
        <w:spacing w:before="120" w:after="157"/>
        <w:ind w:left="1134" w:hanging="708"/>
        <w:contextualSpacing/>
        <w:rPr>
          <w:rFonts w:cstheme="minorHAnsi"/>
        </w:rPr>
      </w:pPr>
      <w:r w:rsidRPr="0092047B">
        <w:rPr>
          <w:rFonts w:cstheme="minorHAnsi"/>
        </w:rPr>
        <w:t>Vytvářet podmínky pro komplexní podporu tuzemských výrobců v oblasti energetiky s cílem posílit přenos nových vědecko-technických poznatků do praxe.</w:t>
      </w:r>
    </w:p>
    <w:p w:rsidR="00897AF9" w:rsidRPr="0092047B" w:rsidRDefault="00897AF9" w:rsidP="00BD0E77">
      <w:pPr>
        <w:numPr>
          <w:ilvl w:val="1"/>
          <w:numId w:val="79"/>
        </w:numPr>
        <w:autoSpaceDE w:val="0"/>
        <w:autoSpaceDN w:val="0"/>
        <w:adjustRightInd w:val="0"/>
        <w:spacing w:before="120" w:after="120"/>
        <w:ind w:left="1134" w:hanging="709"/>
        <w:rPr>
          <w:rFonts w:cstheme="minorHAnsi"/>
        </w:rPr>
      </w:pPr>
      <w:r w:rsidRPr="0092047B">
        <w:rPr>
          <w:rFonts w:cstheme="minorHAnsi"/>
        </w:rPr>
        <w:t>Podpořit výstavbu demonstračních jednotek a pilotních projektů u nových projektů s vysokou technologickou úrovní, a to jak v rámci povolovacích a autorizačních procedur, tak i zapojením prostředků státu v oblasti podpory výzkumu, vývoje a inovací a adresování prostředků z evropských strukturálních fondů, např. Evropský zemědělský fond pro rozvoj venkova EAFRD v energetické oblasti.</w:t>
      </w:r>
    </w:p>
    <w:p w:rsidR="00897AF9" w:rsidRPr="0092047B" w:rsidRDefault="00897AF9" w:rsidP="00BD0E77">
      <w:pPr>
        <w:numPr>
          <w:ilvl w:val="0"/>
          <w:numId w:val="71"/>
        </w:numPr>
        <w:autoSpaceDE w:val="0"/>
        <w:autoSpaceDN w:val="0"/>
        <w:adjustRightInd w:val="0"/>
        <w:spacing w:before="120" w:after="120"/>
        <w:ind w:left="709" w:hanging="425"/>
        <w:rPr>
          <w:rFonts w:cstheme="minorHAnsi"/>
          <w:b/>
        </w:rPr>
      </w:pPr>
      <w:r w:rsidRPr="0092047B">
        <w:rPr>
          <w:rFonts w:cstheme="minorHAnsi"/>
          <w:b/>
        </w:rPr>
        <w:t>Export energetických zařízení</w:t>
      </w:r>
    </w:p>
    <w:p w:rsidR="00897AF9" w:rsidRPr="0092047B" w:rsidRDefault="00897AF9" w:rsidP="00184DC1">
      <w:pPr>
        <w:numPr>
          <w:ilvl w:val="1"/>
          <w:numId w:val="80"/>
        </w:numPr>
        <w:autoSpaceDE w:val="0"/>
        <w:autoSpaceDN w:val="0"/>
        <w:adjustRightInd w:val="0"/>
        <w:spacing w:before="120" w:after="157"/>
        <w:ind w:left="1134" w:hanging="708"/>
        <w:contextualSpacing/>
        <w:rPr>
          <w:rFonts w:cstheme="minorHAnsi"/>
        </w:rPr>
      </w:pPr>
      <w:r w:rsidRPr="0092047B">
        <w:rPr>
          <w:rFonts w:cstheme="minorHAnsi"/>
        </w:rPr>
        <w:t>Podporovat export energetických zařízení a celků do zahraničí. Zajistit z úrovně státní správy a ekonomicko-obchodní diplomacie podporu pro vývoz energetických celků do třetích zemí a zařazení energetického strojírenství do of</w:t>
      </w:r>
      <w:r w:rsidR="009C767E">
        <w:rPr>
          <w:rFonts w:cstheme="minorHAnsi"/>
        </w:rPr>
        <w:t>f</w:t>
      </w:r>
      <w:r w:rsidRPr="0092047B">
        <w:rPr>
          <w:rFonts w:cstheme="minorHAnsi"/>
        </w:rPr>
        <w:t>setových programů.</w:t>
      </w:r>
    </w:p>
    <w:p w:rsidR="00897AF9" w:rsidRPr="0092047B" w:rsidRDefault="00897AF9" w:rsidP="00184DC1">
      <w:pPr>
        <w:numPr>
          <w:ilvl w:val="1"/>
          <w:numId w:val="80"/>
        </w:numPr>
        <w:autoSpaceDE w:val="0"/>
        <w:autoSpaceDN w:val="0"/>
        <w:adjustRightInd w:val="0"/>
        <w:spacing w:before="120" w:after="157"/>
        <w:ind w:left="1134" w:hanging="708"/>
        <w:contextualSpacing/>
        <w:rPr>
          <w:rFonts w:cstheme="minorHAnsi"/>
        </w:rPr>
      </w:pPr>
      <w:r w:rsidRPr="0092047B">
        <w:rPr>
          <w:rFonts w:cstheme="minorHAnsi"/>
        </w:rPr>
        <w:t>Podporovat exportní schopnosti energetických strojírenských podniků a vyhledávat exportní příležitosti pro české energetické strojírenství. Zajistit podporu zejména na úrovni vyhledávání vhodných příležitostí, exportních úvěrů a garančních nástrojů poskytovaných úvěrovou pojišťovnou EGAP a Českou exportní bankou.</w:t>
      </w:r>
    </w:p>
    <w:p w:rsidR="00897AF9" w:rsidRPr="0092047B" w:rsidRDefault="00897AF9" w:rsidP="00184DC1">
      <w:pPr>
        <w:numPr>
          <w:ilvl w:val="1"/>
          <w:numId w:val="80"/>
        </w:numPr>
        <w:autoSpaceDE w:val="0"/>
        <w:autoSpaceDN w:val="0"/>
        <w:adjustRightInd w:val="0"/>
        <w:spacing w:before="120" w:after="157"/>
        <w:ind w:left="1134" w:hanging="708"/>
        <w:contextualSpacing/>
        <w:rPr>
          <w:rFonts w:cstheme="minorHAnsi"/>
        </w:rPr>
      </w:pPr>
      <w:r w:rsidRPr="0092047B">
        <w:rPr>
          <w:rFonts w:cstheme="minorHAnsi"/>
        </w:rPr>
        <w:t>Posilovat spolupráci mezi jednotlivými výrobci-exportéry, odbornými vysokými školami a výzkumnými ústavy v ČR i v zahraničí s cílem zvýšit obchodně-technické znalosti pracovníků.</w:t>
      </w:r>
    </w:p>
    <w:p w:rsidR="00897AF9" w:rsidRPr="0092047B" w:rsidRDefault="00897AF9" w:rsidP="00BD0E77">
      <w:pPr>
        <w:numPr>
          <w:ilvl w:val="1"/>
          <w:numId w:val="80"/>
        </w:numPr>
        <w:autoSpaceDE w:val="0"/>
        <w:autoSpaceDN w:val="0"/>
        <w:adjustRightInd w:val="0"/>
        <w:spacing w:before="120"/>
        <w:ind w:left="1134" w:hanging="709"/>
        <w:contextualSpacing/>
        <w:rPr>
          <w:rFonts w:cstheme="minorHAnsi"/>
        </w:rPr>
      </w:pPr>
      <w:r w:rsidRPr="0092047B">
        <w:rPr>
          <w:rFonts w:cstheme="minorHAnsi"/>
        </w:rPr>
        <w:t>V rámci vývoje legislativy EU podporovat otevřené prostředí umožňující účast strojírenských podniků na energetických zakázkách v zemích EU i v dodávkách pro vývojové a demonstrační projekty financované EU.</w:t>
      </w:r>
    </w:p>
    <w:p w:rsidR="00897AF9" w:rsidRPr="0092047B" w:rsidRDefault="00897AF9" w:rsidP="00BD0E77">
      <w:pPr>
        <w:pStyle w:val="Nadpis2"/>
      </w:pPr>
      <w:bookmarkStart w:id="806" w:name="_Toc396923402"/>
      <w:r w:rsidRPr="0092047B">
        <w:t>Vnější energetická politika a mezinárodní vazby v energetice</w:t>
      </w:r>
      <w:bookmarkEnd w:id="806"/>
    </w:p>
    <w:p w:rsidR="00897AF9" w:rsidRPr="0092047B" w:rsidRDefault="00897AF9" w:rsidP="00BD0E77">
      <w:pPr>
        <w:pStyle w:val="Zkladntext"/>
        <w:keepNext/>
        <w:spacing w:before="240" w:after="120"/>
        <w:rPr>
          <w:rFonts w:cstheme="minorHAnsi"/>
          <w:b/>
          <w:bCs/>
        </w:rPr>
      </w:pPr>
      <w:r w:rsidRPr="0092047B">
        <w:rPr>
          <w:rFonts w:cstheme="minorHAnsi"/>
          <w:b/>
          <w:bCs/>
        </w:rPr>
        <w:t>Vize</w:t>
      </w:r>
    </w:p>
    <w:p w:rsidR="00897AF9" w:rsidRDefault="00897AF9" w:rsidP="00BD0E77">
      <w:pPr>
        <w:keepLines/>
        <w:spacing w:after="120"/>
        <w:rPr>
          <w:rFonts w:cstheme="minorHAnsi"/>
          <w:bCs/>
        </w:rPr>
      </w:pPr>
      <w:r w:rsidRPr="0092047B">
        <w:rPr>
          <w:rFonts w:cstheme="minorHAnsi"/>
          <w:bCs/>
        </w:rPr>
        <w:t>Účinná, stabilní, transparentní a důvěryhodná vnější energetická politika jako významný nástroj pro naplnění cílů energetické politiky ČR, kterými jsou zabezpečení dodávek, konkurenceschopnost a udržitelnost, posílení energetické bezpečnosti středoevropského regionu a zajištění energetických zájmů ČR v rámci zahraniční politiky ČR, včetně efektivního zapojení do mnohostranných strategických negociací o aktuálních otázkách světové energetické politiky (členství ČR v OECD a EU k podílu na těchto aktivitách zavazuje).</w:t>
      </w:r>
    </w:p>
    <w:p w:rsidR="002D2EF5" w:rsidRPr="0092047B" w:rsidRDefault="002D2EF5" w:rsidP="002D2EF5">
      <w:pPr>
        <w:pStyle w:val="Zkladntext"/>
        <w:spacing w:before="240" w:after="120"/>
        <w:rPr>
          <w:rFonts w:cstheme="minorHAnsi"/>
          <w:b/>
          <w:bCs/>
        </w:rPr>
      </w:pPr>
      <w:r w:rsidRPr="0092047B">
        <w:rPr>
          <w:rFonts w:cstheme="minorHAnsi"/>
          <w:b/>
          <w:bCs/>
        </w:rPr>
        <w:t>Hlavní cíle</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BD0E77">
        <w:rPr>
          <w:rFonts w:cstheme="minorHAnsi"/>
        </w:rPr>
        <w:t>Rozvíjet mezinárodní energetickou politiku sledující základní cíle, které tvoří</w:t>
      </w:r>
      <w:r w:rsidRPr="0092047B">
        <w:rPr>
          <w:rFonts w:cstheme="minorHAnsi"/>
        </w:rPr>
        <w:t xml:space="preserve"> bezpečnost dodávek, konkurenceschopnost a udržitelnost, a podporující roli ČR jako významné tranzitní země v oblasti energie.</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Podporovat vytváření účinné a akceschopné společné energetické politiky EU založené na rovnoprávnosti členských zemí s cílem vytvoření soudržné, strategické a cílené vnější politiky v oblasti energetiky a jejího jednotného prosazování vůči třetím zemím, jak dodavatelským a tranzitním zemím, tak významným spotřebitelským zemím, rozvíjejícím se ekonomikám a rozvojovým zemím.</w:t>
      </w:r>
    </w:p>
    <w:p w:rsidR="000C472C" w:rsidRPr="0092047B" w:rsidRDefault="000C472C"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V rámci klimaticko-energetické politiky EU hájit suverenitu členských států nad volbou energetického mixu a technologickou</w:t>
      </w:r>
      <w:r w:rsidR="00D060A6" w:rsidRPr="0092047B">
        <w:rPr>
          <w:rFonts w:cstheme="minorHAnsi"/>
        </w:rPr>
        <w:t xml:space="preserve"> </w:t>
      </w:r>
      <w:r w:rsidRPr="0092047B">
        <w:rPr>
          <w:rFonts w:cstheme="minorHAnsi"/>
        </w:rPr>
        <w:t>neutralitu a nákladovou</w:t>
      </w:r>
      <w:r w:rsidR="009C767E">
        <w:rPr>
          <w:rFonts w:cstheme="minorHAnsi"/>
        </w:rPr>
        <w:t xml:space="preserve"> </w:t>
      </w:r>
      <w:r w:rsidRPr="0092047B">
        <w:rPr>
          <w:rFonts w:cstheme="minorHAnsi"/>
        </w:rPr>
        <w:t>efektivitu pro realizování dekarbonizačních cílů v kontextu závazků hlavních světových emitentů.</w:t>
      </w:r>
      <w:r w:rsidR="006B3BB3" w:rsidRPr="0092047B">
        <w:rPr>
          <w:rFonts w:cstheme="minorHAnsi"/>
        </w:rPr>
        <w:t xml:space="preserve"> Pro dlouhodobé cíle podporovat snižování </w:t>
      </w:r>
      <w:r w:rsidR="00BD0E77">
        <w:rPr>
          <w:rFonts w:cstheme="minorHAnsi"/>
        </w:rPr>
        <w:t xml:space="preserve">emisí </w:t>
      </w:r>
      <w:r w:rsidR="006B3BB3" w:rsidRPr="0092047B">
        <w:rPr>
          <w:rFonts w:cstheme="minorHAnsi"/>
        </w:rPr>
        <w:t>CO</w:t>
      </w:r>
      <w:r w:rsidR="006B3BB3" w:rsidRPr="0092047B">
        <w:rPr>
          <w:rFonts w:cstheme="minorHAnsi"/>
          <w:vertAlign w:val="subscript"/>
        </w:rPr>
        <w:t>2</w:t>
      </w:r>
      <w:r w:rsidR="006B3BB3" w:rsidRPr="0092047B">
        <w:rPr>
          <w:rFonts w:cstheme="minorHAnsi"/>
        </w:rPr>
        <w:t>.</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Realizovat energetickou politiku ČR v souladu s energetickou politikou EU a Smlouvou o fungování EU, s přihlédnutím k národním zájmům a preferencím ČR a zajistit rozvoj zahraničních vztahů za účelem zajištění bezpečnosti dodávek energie při současném zachování národní suverenity v otázce energetického mixu a využití domácích zdrojů surovin a energií.</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Začlenit plně energetické cíle ČR do obchodní politiky a podporovat tyto cíle i prostřednictvím obchodní politiky EU.</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Posílení funkce energetické diplomacie, zaměřené mj. na:</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Zlepšování prostředí pro investice českých společností ve třetích zemích a otevření produkce a dovozu zdrojů energie pro průmysl ČR.</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Vytvoření vnější energetické politiky EU posilující energetickou bezpečnost EU.</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Zajištění rovných podmínek a koordinovaných postupů mezi členskými státy EU při řešení krizových situací v dodávce energie.</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Prosazování zájmů průmyslu a energetiky ČR v legislativě EU (rozvoj a financování sítí z fondů EU, kontrola emisí, administrativní zátěž podnikání).</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Prosazování jaderné energie jako nízkouhlíkové technologie přispívající k přechodu na nízkouhlíkovou energetiku v rámci EU.</w:t>
      </w:r>
    </w:p>
    <w:p w:rsidR="000C472C" w:rsidRPr="0092047B" w:rsidRDefault="000C472C"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Prosazovat cílené odstraňování</w:t>
      </w:r>
      <w:r w:rsidR="00897AF9" w:rsidRPr="0092047B">
        <w:rPr>
          <w:rFonts w:cstheme="minorHAnsi"/>
        </w:rPr>
        <w:t xml:space="preserve"> </w:t>
      </w:r>
      <w:r w:rsidRPr="0092047B">
        <w:rPr>
          <w:rFonts w:cstheme="minorHAnsi"/>
        </w:rPr>
        <w:t>tržních deformací v zemích EU. V případ</w:t>
      </w:r>
      <w:r w:rsidR="009C767E">
        <w:rPr>
          <w:rFonts w:cstheme="minorHAnsi"/>
        </w:rPr>
        <w:t>ě</w:t>
      </w:r>
      <w:r w:rsidRPr="0092047B">
        <w:rPr>
          <w:rFonts w:cstheme="minorHAnsi"/>
        </w:rPr>
        <w:t xml:space="preserve"> zavádění různých forem podpůrných a kompenzačních mechanism</w:t>
      </w:r>
      <w:r w:rsidR="001553E5">
        <w:rPr>
          <w:rFonts w:cstheme="minorHAnsi"/>
        </w:rPr>
        <w:t>ů</w:t>
      </w:r>
      <w:r w:rsidRPr="0092047B">
        <w:rPr>
          <w:rFonts w:cstheme="minorHAnsi"/>
        </w:rPr>
        <w:t xml:space="preserve"> řešících otázku </w:t>
      </w:r>
      <w:r w:rsidR="00B124A1">
        <w:rPr>
          <w:rFonts w:cstheme="minorHAnsi"/>
        </w:rPr>
        <w:t xml:space="preserve">přiměřenosti </w:t>
      </w:r>
      <w:r w:rsidRPr="0092047B">
        <w:rPr>
          <w:rFonts w:cstheme="minorHAnsi"/>
        </w:rPr>
        <w:t>výrobní</w:t>
      </w:r>
      <w:r w:rsidR="00B124A1">
        <w:rPr>
          <w:rFonts w:cstheme="minorHAnsi"/>
        </w:rPr>
        <w:t>ch</w:t>
      </w:r>
      <w:r w:rsidRPr="0092047B">
        <w:rPr>
          <w:rFonts w:cstheme="minorHAnsi"/>
        </w:rPr>
        <w:t xml:space="preserve"> </w:t>
      </w:r>
      <w:r w:rsidR="00B124A1">
        <w:rPr>
          <w:rFonts w:cstheme="minorHAnsi"/>
        </w:rPr>
        <w:t>kapacit nebo</w:t>
      </w:r>
      <w:r w:rsidRPr="0092047B">
        <w:rPr>
          <w:rFonts w:cstheme="minorHAnsi"/>
        </w:rPr>
        <w:t xml:space="preserve"> systémové přiměřenosti prosazovat jejich celoevropskou harmonizaci v souladu </w:t>
      </w:r>
      <w:r w:rsidR="00B124A1">
        <w:rPr>
          <w:rFonts w:cstheme="minorHAnsi"/>
        </w:rPr>
        <w:t xml:space="preserve">s </w:t>
      </w:r>
      <w:r w:rsidRPr="0092047B">
        <w:rPr>
          <w:rFonts w:cstheme="minorHAnsi"/>
        </w:rPr>
        <w:t>pravidly hospodářské soutěže a státní</w:t>
      </w:r>
      <w:r w:rsidR="001553E5">
        <w:rPr>
          <w:rFonts w:cstheme="minorHAnsi"/>
        </w:rPr>
        <w:t xml:space="preserve"> </w:t>
      </w:r>
      <w:r w:rsidRPr="0092047B">
        <w:rPr>
          <w:rFonts w:cstheme="minorHAnsi"/>
        </w:rPr>
        <w:t xml:space="preserve">pomoci v energetice s cílem minimalizace negativních dopadů na českou energetiku.  </w:t>
      </w:r>
    </w:p>
    <w:p w:rsidR="00897AF9" w:rsidRPr="0092047B" w:rsidRDefault="000C472C"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 xml:space="preserve">Odstraňování </w:t>
      </w:r>
      <w:r w:rsidR="00897AF9" w:rsidRPr="0092047B">
        <w:rPr>
          <w:rFonts w:cstheme="minorHAnsi"/>
        </w:rPr>
        <w:t>bariér přístupu na trhy s </w:t>
      </w:r>
      <w:r w:rsidRPr="0092047B">
        <w:rPr>
          <w:rFonts w:cstheme="minorHAnsi"/>
        </w:rPr>
        <w:t xml:space="preserve">elektřinou a plynem, včetně přístupu k energetické infrastruktuře pro české subjekty. </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Trvalý tlak na plné dodržování směrnic vnitřního trhu ve všech zemích EU.</w:t>
      </w:r>
    </w:p>
    <w:p w:rsidR="00897AF9" w:rsidRPr="0092047B" w:rsidRDefault="00897AF9" w:rsidP="00184DC1">
      <w:pPr>
        <w:numPr>
          <w:ilvl w:val="1"/>
          <w:numId w:val="72"/>
        </w:numPr>
        <w:autoSpaceDE w:val="0"/>
        <w:autoSpaceDN w:val="0"/>
        <w:adjustRightInd w:val="0"/>
        <w:spacing w:before="120" w:after="157"/>
        <w:ind w:left="1418" w:hanging="567"/>
        <w:contextualSpacing/>
        <w:rPr>
          <w:rFonts w:cstheme="minorHAnsi"/>
        </w:rPr>
      </w:pPr>
      <w:r w:rsidRPr="0092047B">
        <w:rPr>
          <w:rFonts w:cstheme="minorHAnsi"/>
        </w:rPr>
        <w:t>Realizace cílů energetické politiky EU jednotným celoevropským tržním nástrojem, stabilizujícím cenu uhlíku, s dlouhodobě robustní implementací v horizontu roku 2040.</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Podporovat rychlou integraci vnitřního trhu s elektřinou, propojení trhů střední a západní Evropy formou implicitních aukcí a rovnoprávnost v mechanismech alokace kapacit a využití sítí</w:t>
      </w:r>
      <w:r w:rsidR="00B124A1">
        <w:rPr>
          <w:rFonts w:cstheme="minorHAnsi"/>
        </w:rPr>
        <w:t>.</w:t>
      </w:r>
    </w:p>
    <w:p w:rsidR="00897AF9" w:rsidRPr="0092047B" w:rsidRDefault="00B124A1" w:rsidP="00184DC1">
      <w:pPr>
        <w:numPr>
          <w:ilvl w:val="0"/>
          <w:numId w:val="72"/>
        </w:numPr>
        <w:autoSpaceDE w:val="0"/>
        <w:autoSpaceDN w:val="0"/>
        <w:adjustRightInd w:val="0"/>
        <w:spacing w:before="120" w:after="157"/>
        <w:ind w:left="1134" w:hanging="708"/>
        <w:contextualSpacing/>
        <w:rPr>
          <w:rFonts w:cstheme="minorHAnsi"/>
        </w:rPr>
      </w:pPr>
      <w:r>
        <w:rPr>
          <w:rFonts w:cstheme="minorHAnsi"/>
        </w:rPr>
        <w:t>Zajistit ú</w:t>
      </w:r>
      <w:r w:rsidR="00897AF9" w:rsidRPr="0092047B">
        <w:rPr>
          <w:rFonts w:cstheme="minorHAnsi"/>
        </w:rPr>
        <w:t>činn</w:t>
      </w:r>
      <w:r>
        <w:rPr>
          <w:rFonts w:cstheme="minorHAnsi"/>
        </w:rPr>
        <w:t>ou</w:t>
      </w:r>
      <w:r w:rsidR="00897AF9" w:rsidRPr="0092047B">
        <w:rPr>
          <w:rFonts w:cstheme="minorHAnsi"/>
        </w:rPr>
        <w:t xml:space="preserve"> koordinac</w:t>
      </w:r>
      <w:r>
        <w:rPr>
          <w:rFonts w:cstheme="minorHAnsi"/>
        </w:rPr>
        <w:t>i</w:t>
      </w:r>
      <w:r w:rsidR="00897AF9" w:rsidRPr="0092047B">
        <w:rPr>
          <w:rFonts w:cstheme="minorHAnsi"/>
        </w:rPr>
        <w:t xml:space="preserve"> realizace zahraniční energetické politiky mezi orgány státní správy a vytvoření a fungování stálého koordinačního mechanismu.</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Profilovat ČR v rámci EU v otázkách energetické bezpečnosti</w:t>
      </w:r>
      <w:r w:rsidR="00B55A6D">
        <w:rPr>
          <w:rFonts w:cstheme="minorHAnsi"/>
        </w:rPr>
        <w:t>,</w:t>
      </w:r>
      <w:r w:rsidR="00140B8B">
        <w:rPr>
          <w:rFonts w:cstheme="minorHAnsi"/>
        </w:rPr>
        <w:t xml:space="preserve"> účinnosti užití energie</w:t>
      </w:r>
      <w:r w:rsidR="00140B8B" w:rsidRPr="0092047B">
        <w:rPr>
          <w:rFonts w:cstheme="minorHAnsi"/>
        </w:rPr>
        <w:t>,</w:t>
      </w:r>
      <w:r w:rsidRPr="0092047B">
        <w:rPr>
          <w:rFonts w:cstheme="minorHAnsi"/>
        </w:rPr>
        <w:t xml:space="preserve"> jaderné energetiky, </w:t>
      </w:r>
      <w:r w:rsidR="00B124A1" w:rsidRPr="0092047B">
        <w:rPr>
          <w:rFonts w:cstheme="minorHAnsi"/>
        </w:rPr>
        <w:t>teplárenství</w:t>
      </w:r>
      <w:r w:rsidR="00140B8B">
        <w:rPr>
          <w:rFonts w:cstheme="minorHAnsi"/>
        </w:rPr>
        <w:t>, využívání OZE</w:t>
      </w:r>
      <w:r w:rsidR="00B124A1">
        <w:rPr>
          <w:rFonts w:cstheme="minorHAnsi"/>
        </w:rPr>
        <w:t xml:space="preserve"> a</w:t>
      </w:r>
      <w:r w:rsidR="00B124A1" w:rsidRPr="0092047B">
        <w:rPr>
          <w:rFonts w:cstheme="minorHAnsi"/>
        </w:rPr>
        <w:t xml:space="preserve"> </w:t>
      </w:r>
      <w:r w:rsidRPr="0092047B">
        <w:rPr>
          <w:rFonts w:cstheme="minorHAnsi"/>
        </w:rPr>
        <w:t xml:space="preserve">spolupráce s regiony východní a jihovýchodní Evropy a </w:t>
      </w:r>
      <w:r w:rsidR="00B124A1">
        <w:rPr>
          <w:rFonts w:cstheme="minorHAnsi"/>
        </w:rPr>
        <w:t xml:space="preserve">se </w:t>
      </w:r>
      <w:r w:rsidRPr="0092047B">
        <w:rPr>
          <w:rFonts w:cstheme="minorHAnsi"/>
        </w:rPr>
        <w:t>zeměmi tzv. Jižního koridoru.</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Zajistit koordinované a účinné prosazování energetických zájmů ČR ve strukturách EU na formální i neformální úrovni</w:t>
      </w:r>
      <w:r w:rsidR="00140B8B">
        <w:rPr>
          <w:rFonts w:cstheme="minorHAnsi"/>
        </w:rPr>
        <w:t xml:space="preserve"> </w:t>
      </w:r>
      <w:r w:rsidR="00140B8B" w:rsidRPr="00121478">
        <w:rPr>
          <w:rFonts w:cstheme="minorHAnsi"/>
        </w:rPr>
        <w:t>(např. při přípravě referenčních dokumentů o BAT)</w:t>
      </w:r>
      <w:r w:rsidR="00D060A6" w:rsidRPr="0092047B">
        <w:rPr>
          <w:rFonts w:cstheme="minorHAnsi"/>
        </w:rPr>
        <w:t>, včetně příslušných dopadových analýz na českou energetiku a hospodářství, za účelem kvalitní argumentační podpory vyjednávacích týmů</w:t>
      </w:r>
      <w:r w:rsidRPr="0092047B">
        <w:rPr>
          <w:rFonts w:cstheme="minorHAnsi"/>
        </w:rPr>
        <w:t>.</w:t>
      </w:r>
    </w:p>
    <w:p w:rsidR="00897AF9" w:rsidRPr="0092047B" w:rsidRDefault="00897AF9" w:rsidP="00184DC1">
      <w:pPr>
        <w:numPr>
          <w:ilvl w:val="0"/>
          <w:numId w:val="72"/>
        </w:numPr>
        <w:autoSpaceDE w:val="0"/>
        <w:autoSpaceDN w:val="0"/>
        <w:adjustRightInd w:val="0"/>
        <w:spacing w:before="120" w:after="157"/>
        <w:ind w:left="1134" w:hanging="708"/>
        <w:contextualSpacing/>
        <w:rPr>
          <w:rFonts w:cstheme="minorHAnsi"/>
        </w:rPr>
      </w:pPr>
      <w:r w:rsidRPr="0092047B">
        <w:rPr>
          <w:rFonts w:cstheme="minorHAnsi"/>
        </w:rPr>
        <w:t>Identifikovat a pravidelně aktualizovat oblasti prioritních zájmů ČR a posílit aktivitu a odbornou kapacitu zastoupení v pracovních skupinách</w:t>
      </w:r>
      <w:r w:rsidR="009C767E">
        <w:rPr>
          <w:rFonts w:cstheme="minorHAnsi"/>
        </w:rPr>
        <w:t>,</w:t>
      </w:r>
      <w:r w:rsidRPr="0092047B">
        <w:rPr>
          <w:rFonts w:cstheme="minorHAnsi"/>
        </w:rPr>
        <w:t xml:space="preserve"> zejména v časných fázích příprav nových koncepcí a legislativních dokumentů.</w:t>
      </w:r>
    </w:p>
    <w:p w:rsidR="00897AF9" w:rsidRPr="0092047B" w:rsidRDefault="00897AF9" w:rsidP="00BD0E77">
      <w:pPr>
        <w:numPr>
          <w:ilvl w:val="0"/>
          <w:numId w:val="72"/>
        </w:numPr>
        <w:autoSpaceDE w:val="0"/>
        <w:autoSpaceDN w:val="0"/>
        <w:adjustRightInd w:val="0"/>
        <w:spacing w:before="120" w:after="120"/>
        <w:ind w:left="1134" w:hanging="709"/>
        <w:contextualSpacing/>
        <w:rPr>
          <w:rFonts w:cstheme="minorHAnsi"/>
        </w:rPr>
      </w:pPr>
      <w:r w:rsidRPr="0092047B">
        <w:rPr>
          <w:rFonts w:cstheme="minorHAnsi"/>
        </w:rPr>
        <w:t xml:space="preserve">Monitorovat projednávání strategických, koncepčních a legislativních dokumentů EU (Evropské komise) týkajících se odvětví a pododvětví energetiky a odvětví dopravy tak, aby nedocházelo ke kontraproduktivním postupům a paralelnímu schvalování legislativních dokumentů na úrovni EU. Toto sledování zahrnuje i monitorování činnosti evropských asociací pro příslušná odvětví s cílem usměrňovat jejich činnost v souladu s touto </w:t>
      </w:r>
      <w:r w:rsidR="009C767E">
        <w:rPr>
          <w:rFonts w:cstheme="minorHAnsi"/>
        </w:rPr>
        <w:t xml:space="preserve">koncepcí </w:t>
      </w:r>
      <w:r w:rsidRPr="0092047B">
        <w:rPr>
          <w:rFonts w:cstheme="minorHAnsi"/>
        </w:rPr>
        <w:t>a ostatními strategickými dokumenty ČR.</w:t>
      </w:r>
    </w:p>
    <w:p w:rsidR="00897AF9" w:rsidRPr="0092047B" w:rsidRDefault="00897AF9" w:rsidP="00BD0E77">
      <w:pPr>
        <w:pStyle w:val="Zkladntext"/>
        <w:spacing w:before="240" w:after="120"/>
        <w:rPr>
          <w:rFonts w:cstheme="minorHAnsi"/>
          <w:bCs/>
          <w:u w:val="single"/>
        </w:rPr>
      </w:pPr>
      <w:r w:rsidRPr="0092047B">
        <w:rPr>
          <w:rFonts w:cstheme="minorHAnsi"/>
          <w:bCs/>
          <w:u w:val="single"/>
        </w:rPr>
        <w:t>Dílčí cíle a jejich specifikace:</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Podporovat včasnou výměnu informací a koordinaci energetických politik zemí regionu, ale i v rámci EU</w:t>
      </w:r>
      <w:r w:rsidR="009C767E">
        <w:rPr>
          <w:rFonts w:cstheme="minorHAnsi"/>
        </w:rPr>
        <w:t>,</w:t>
      </w:r>
      <w:r w:rsidRPr="0092047B">
        <w:rPr>
          <w:rFonts w:cstheme="minorHAnsi"/>
        </w:rPr>
        <w:t xml:space="preserve"> a jejich vazbu na společné analýzy bezpečnosti a spolehlivosti dodávek všech forem energie.</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Vytvoření regionálního trhu s elektřinou a s plynem v oblasti střední Evropy, resp. v EU, zajišťujícího plně otevřený přístup na trh bez bariér pro konečné zákazníky. V souladu se závěry Evropské rady dokončení integrace vnitřního trhu s energií v EU a odstranění všech bariér mezi členskými státy a regiony.</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Podporovat rychlou integraci trhu s elektřinou na principu implicitních aukcí v celém regionu střední a východní Evropy (CEE) a její propojení s regionem severozápadní Evropy a rozvoj trhů s elektřinou, službami a finančními nástroji zajišťující stabilitu trhu s elektřinou. S ohledem na geostrategickou polohu v regionu podporovat roli ČR při integraci trhů a vytváření a koordinaci tržních mechanismů a institucí.</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Zlepšit spolupráci členských zemí regionu při monitorování trhů s elektřinou a plynem, podpoře hospodářské soutěže a zajištění transparentnosti trhů. Podporovat rozvoj účinných koordinačních mechanismů a institucí v oblasti řízení a rozvoje energetických sítí a regulace založených na principech rovnoprávnosti členských zemí a zajišťujících bezpečnost dodávek ve všech státech.</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Vytvořit účinný společný mechanismus plánování rozvoje přenosových sítí v regionu CEE, zajišťující optimální rozvoj sítí s ohledem na vývoj elektroenergetiky v celém regionu i ve vazbě na rozvoj ostatních regionů. Podpořit koordinací postupů (zejména v oblasti povolovacích procedur a přístupu k pozemkům), zajišťujících na úrovni všech států regionu včasnou realizaci přijatých rozvojových plánů.</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Podporovat vznik a účinné fungování společných mechanismů pro koordinaci, řízení energetických sítí a zajištění spolehlivosti a společné řízení přetížení a dalších mimořádných situací.</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Podporovat diverzifikaci evropských přepravních tras zemního plynu a terminálů LNG relevantních pro potenciální dodávky do ČR a jejich propojení na přepravní soustavu ČR.</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Při stanovování jakýchkoliv dalších závazných cílů v oblasti snižování emisí skleníkových plynů vázat rozhodnutí na zapojení ostatních nejvýznamnějších globálních emitentů</w:t>
      </w:r>
      <w:r w:rsidR="00140B8B" w:rsidRPr="0092047B">
        <w:rPr>
          <w:rFonts w:cstheme="minorHAnsi"/>
        </w:rPr>
        <w:t>, vč</w:t>
      </w:r>
      <w:r w:rsidR="00140B8B">
        <w:rPr>
          <w:rFonts w:cstheme="minorHAnsi"/>
        </w:rPr>
        <w:t>etně</w:t>
      </w:r>
      <w:r w:rsidRPr="0092047B">
        <w:rPr>
          <w:rFonts w:cstheme="minorHAnsi"/>
        </w:rPr>
        <w:t xml:space="preserve"> hospodářsky vyspělých rozvojových států.</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Stanovení dalších administrativních omezení a opatření EU v oblasti výroby, přepravy a konečného užití energie podporovat pouze na základě úplných a kvalitních analýz ekonomických dopadů na konkurenceschopnost průmyslu a životní úroveň domácností.</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Rozvíjet spolupráci ČR v oblasti energetiky, a to včetně dodávek investičních celků od tuzemských výrobců a exportu energetických zařízení, s významnými dodavatelskými a tranzitními zeměmi energií z EU i mimo EU.</w:t>
      </w:r>
    </w:p>
    <w:p w:rsidR="00897AF9" w:rsidRPr="0092047B" w:rsidRDefault="00B124A1" w:rsidP="00184DC1">
      <w:pPr>
        <w:numPr>
          <w:ilvl w:val="1"/>
          <w:numId w:val="73"/>
        </w:numPr>
        <w:tabs>
          <w:tab w:val="left" w:pos="1134"/>
        </w:tabs>
        <w:autoSpaceDE w:val="0"/>
        <w:autoSpaceDN w:val="0"/>
        <w:adjustRightInd w:val="0"/>
        <w:spacing w:before="120" w:after="157"/>
        <w:ind w:left="1134" w:hanging="708"/>
        <w:contextualSpacing/>
        <w:rPr>
          <w:rFonts w:cstheme="minorHAnsi"/>
        </w:rPr>
      </w:pPr>
      <w:r>
        <w:rPr>
          <w:rFonts w:cstheme="minorHAnsi"/>
        </w:rPr>
        <w:t>Využí</w:t>
      </w:r>
      <w:r w:rsidR="00897AF9" w:rsidRPr="0092047B">
        <w:rPr>
          <w:rFonts w:cstheme="minorHAnsi"/>
        </w:rPr>
        <w:t>t specialist</w:t>
      </w:r>
      <w:r>
        <w:rPr>
          <w:rFonts w:cstheme="minorHAnsi"/>
        </w:rPr>
        <w:t>y</w:t>
      </w:r>
      <w:r w:rsidR="00897AF9" w:rsidRPr="0092047B">
        <w:rPr>
          <w:rFonts w:cstheme="minorHAnsi"/>
        </w:rPr>
        <w:t xml:space="preserve"> z českých průmyslových a energetických společností se zkušenostmi z oblasti energetické legislativy, ener</w:t>
      </w:r>
      <w:r w:rsidR="002D6612">
        <w:rPr>
          <w:rFonts w:cstheme="minorHAnsi"/>
        </w:rPr>
        <w:t>getické mezinárodní spolupráce v</w:t>
      </w:r>
      <w:r w:rsidR="00897AF9" w:rsidRPr="0092047B">
        <w:rPr>
          <w:rFonts w:cstheme="minorHAnsi"/>
        </w:rPr>
        <w:t xml:space="preserve"> aktivit</w:t>
      </w:r>
      <w:r w:rsidR="002D6612">
        <w:rPr>
          <w:rFonts w:cstheme="minorHAnsi"/>
        </w:rPr>
        <w:t>ách</w:t>
      </w:r>
      <w:r w:rsidR="00897AF9" w:rsidRPr="0092047B">
        <w:rPr>
          <w:rFonts w:cstheme="minorHAnsi"/>
        </w:rPr>
        <w:t xml:space="preserve"> orgánů EU.</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Aktivně spolupracovat v rámci energetických regionálních sdružení a organizací. Udržovat aktivní spolupráci v rámci zemí V4 a koordinovat postoje v oblastech společných zájmů. Posílit roli a váhu V4 v rámci EU.</w:t>
      </w:r>
    </w:p>
    <w:p w:rsidR="00897AF9" w:rsidRPr="0092047B" w:rsidRDefault="00897AF9" w:rsidP="00184DC1">
      <w:pPr>
        <w:numPr>
          <w:ilvl w:val="1"/>
          <w:numId w:val="73"/>
        </w:numPr>
        <w:tabs>
          <w:tab w:val="left" w:pos="1134"/>
        </w:tabs>
        <w:autoSpaceDE w:val="0"/>
        <w:autoSpaceDN w:val="0"/>
        <w:adjustRightInd w:val="0"/>
        <w:spacing w:before="120" w:after="157"/>
        <w:ind w:left="1134" w:hanging="708"/>
        <w:contextualSpacing/>
        <w:rPr>
          <w:rFonts w:cstheme="minorHAnsi"/>
        </w:rPr>
      </w:pPr>
      <w:r w:rsidRPr="0092047B">
        <w:rPr>
          <w:rFonts w:cstheme="minorHAnsi"/>
        </w:rPr>
        <w:t>Pokračovat ve strategickém energetickém dialogu se zeměmi mimo EU.</w:t>
      </w:r>
    </w:p>
    <w:p w:rsidR="00897AF9" w:rsidRPr="0092047B" w:rsidRDefault="00897AF9" w:rsidP="00BD0E77">
      <w:pPr>
        <w:numPr>
          <w:ilvl w:val="1"/>
          <w:numId w:val="73"/>
        </w:numPr>
        <w:tabs>
          <w:tab w:val="left" w:pos="1134"/>
        </w:tabs>
        <w:autoSpaceDE w:val="0"/>
        <w:autoSpaceDN w:val="0"/>
        <w:adjustRightInd w:val="0"/>
        <w:spacing w:before="120"/>
        <w:ind w:left="1134" w:hanging="709"/>
        <w:rPr>
          <w:rFonts w:cstheme="minorHAnsi"/>
        </w:rPr>
      </w:pPr>
      <w:r w:rsidRPr="0092047B">
        <w:rPr>
          <w:rFonts w:cstheme="minorHAnsi"/>
        </w:rPr>
        <w:t>Podporovat efektivní zapojení výzkumu</w:t>
      </w:r>
      <w:r w:rsidR="009C767E">
        <w:rPr>
          <w:rFonts w:cstheme="minorHAnsi"/>
        </w:rPr>
        <w:t xml:space="preserve"> a vývoje</w:t>
      </w:r>
      <w:r w:rsidRPr="0092047B">
        <w:rPr>
          <w:rFonts w:cstheme="minorHAnsi"/>
        </w:rPr>
        <w:t xml:space="preserve"> v ČR do mezinárodní spolupráce.</w:t>
      </w:r>
    </w:p>
    <w:p w:rsidR="00897AF9" w:rsidRPr="0092047B" w:rsidRDefault="00897AF9" w:rsidP="00184DC1">
      <w:pPr>
        <w:rPr>
          <w:rFonts w:cstheme="minorHAnsi"/>
        </w:rPr>
      </w:pPr>
      <w:r w:rsidRPr="0092047B">
        <w:rPr>
          <w:rFonts w:cstheme="minorHAnsi"/>
        </w:rPr>
        <w:br w:type="page"/>
      </w:r>
      <w:bookmarkStart w:id="807" w:name="Temp"/>
      <w:bookmarkStart w:id="808" w:name="_Toc362276666"/>
      <w:bookmarkStart w:id="809" w:name="_Toc361127212"/>
      <w:bookmarkStart w:id="810" w:name="_Toc361127334"/>
      <w:bookmarkStart w:id="811" w:name="_Toc361127386"/>
      <w:bookmarkStart w:id="812" w:name="_Toc361127504"/>
      <w:bookmarkStart w:id="813" w:name="_Toc361127213"/>
      <w:bookmarkStart w:id="814" w:name="_Toc361127335"/>
      <w:bookmarkStart w:id="815" w:name="_Toc361127387"/>
      <w:bookmarkStart w:id="816" w:name="_Toc361127505"/>
      <w:bookmarkStart w:id="817" w:name="_Toc361127214"/>
      <w:bookmarkStart w:id="818" w:name="_Toc361127336"/>
      <w:bookmarkStart w:id="819" w:name="_Toc361127388"/>
      <w:bookmarkStart w:id="820" w:name="_Toc361127506"/>
      <w:bookmarkStart w:id="821" w:name="_Toc361127215"/>
      <w:bookmarkStart w:id="822" w:name="_Toc361127337"/>
      <w:bookmarkStart w:id="823" w:name="_Toc361127389"/>
      <w:bookmarkStart w:id="824" w:name="_Toc361127507"/>
      <w:bookmarkStart w:id="825" w:name="_Toc361127211"/>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9724DD" w:rsidRPr="0092047B" w:rsidRDefault="009724DD" w:rsidP="00184DC1">
      <w:pPr>
        <w:pStyle w:val="Nadpis1"/>
      </w:pPr>
      <w:bookmarkStart w:id="826" w:name="_Toc361039051"/>
      <w:bookmarkStart w:id="827" w:name="_Ref367886188"/>
      <w:bookmarkStart w:id="828" w:name="_Toc396923403"/>
      <w:r w:rsidRPr="0092047B">
        <w:t>Nástroje na prosazování SEK</w:t>
      </w:r>
      <w:bookmarkStart w:id="829" w:name="_Toc362276670"/>
      <w:bookmarkStart w:id="830" w:name="_Toc362281712"/>
      <w:bookmarkStart w:id="831" w:name="_Toc362775816"/>
      <w:bookmarkStart w:id="832" w:name="_Toc362775900"/>
      <w:bookmarkStart w:id="833" w:name="_Toc366046052"/>
      <w:bookmarkEnd w:id="826"/>
      <w:bookmarkEnd w:id="827"/>
      <w:bookmarkEnd w:id="828"/>
      <w:bookmarkEnd w:id="829"/>
      <w:bookmarkEnd w:id="830"/>
      <w:bookmarkEnd w:id="831"/>
      <w:bookmarkEnd w:id="832"/>
      <w:bookmarkEnd w:id="833"/>
    </w:p>
    <w:p w:rsidR="009724DD" w:rsidRPr="0092047B" w:rsidRDefault="009724DD" w:rsidP="00184DC1">
      <w:pPr>
        <w:pStyle w:val="Nadpis2"/>
      </w:pPr>
      <w:bookmarkStart w:id="834" w:name="_Toc396923404"/>
      <w:r w:rsidRPr="0092047B">
        <w:t>Nástroje v oblasti legislativní</w:t>
      </w:r>
      <w:bookmarkEnd w:id="834"/>
      <w:r w:rsidRPr="0092047B">
        <w:t xml:space="preserve"> </w:t>
      </w:r>
    </w:p>
    <w:p w:rsidR="009724DD" w:rsidRPr="0092047B" w:rsidRDefault="009724DD" w:rsidP="00BD0E77">
      <w:pPr>
        <w:pStyle w:val="Zkladntext"/>
        <w:numPr>
          <w:ilvl w:val="1"/>
          <w:numId w:val="12"/>
        </w:numPr>
        <w:spacing w:before="240" w:after="120"/>
        <w:ind w:left="709" w:hanging="567"/>
        <w:rPr>
          <w:rFonts w:cstheme="minorHAnsi"/>
          <w:u w:val="single"/>
        </w:rPr>
      </w:pPr>
      <w:r w:rsidRPr="0092047B">
        <w:rPr>
          <w:rFonts w:cstheme="minorHAnsi"/>
          <w:u w:val="single"/>
        </w:rPr>
        <w:t>Návrh novelizace energetického zákona</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Rozšíření povinností OTE v oblasti provádění a zveřejňování energetických statistik a prognóz, a v oblasti analýz vývoje energetiky prováděných pro potřeby státu. Rozšíření pravomocí OTE na získání příslušných dat pro uvedené analýzy od účastníků trhu (obchodníci, zákazníci, PDS, PPS, apod.).</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Zpřesnění definic technické infrastruktury.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Prověření rozsahu a úplnosti zmocňovacích ustanovení pro sekundární legislativu.</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Upravit postavení ERÚ a závaznost Státní energetické koncepce pro výkon regulace energetických odvětví. </w:t>
      </w:r>
      <w:r w:rsidR="00E56201" w:rsidRPr="0092047B">
        <w:rPr>
          <w:rFonts w:cstheme="minorHAnsi"/>
        </w:rPr>
        <w:t>Z</w:t>
      </w:r>
      <w:r w:rsidR="006B3BB3" w:rsidRPr="0092047B">
        <w:rPr>
          <w:rFonts w:cstheme="minorHAnsi"/>
        </w:rPr>
        <w:t>ajistit nezávislou kontrolu činností ERÚ</w:t>
      </w:r>
      <w:r w:rsidRPr="0092047B">
        <w:rPr>
          <w:rFonts w:cstheme="minorHAnsi"/>
        </w:rPr>
        <w:t>.</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Zpřesnit podmínky pro </w:t>
      </w:r>
      <w:r w:rsidR="001E1368">
        <w:rPr>
          <w:rFonts w:cstheme="minorHAnsi"/>
        </w:rPr>
        <w:t>vydávání</w:t>
      </w:r>
      <w:r w:rsidR="001E1368" w:rsidRPr="0092047B">
        <w:rPr>
          <w:rFonts w:cstheme="minorHAnsi"/>
        </w:rPr>
        <w:t xml:space="preserve"> </w:t>
      </w:r>
      <w:r w:rsidRPr="0092047B">
        <w:rPr>
          <w:rFonts w:cstheme="minorHAnsi"/>
        </w:rPr>
        <w:t>autorizací</w:t>
      </w:r>
      <w:r w:rsidR="001E1368">
        <w:rPr>
          <w:rFonts w:cstheme="minorHAnsi"/>
        </w:rPr>
        <w:t xml:space="preserve"> jako účinného nástroje pro realizaci cílů Státní energetické koncepce</w:t>
      </w:r>
      <w:r w:rsidRPr="0092047B">
        <w:rPr>
          <w:rFonts w:cstheme="minorHAnsi"/>
        </w:rPr>
        <w:t>.</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Zjednodušení administrativy při výstavbě a připojování nových zdrojů.</w:t>
      </w:r>
    </w:p>
    <w:p w:rsidR="009724DD" w:rsidRPr="0092047B" w:rsidRDefault="009724DD" w:rsidP="00940EEB">
      <w:pPr>
        <w:pStyle w:val="Zkladntext"/>
        <w:numPr>
          <w:ilvl w:val="2"/>
          <w:numId w:val="17"/>
        </w:numPr>
        <w:spacing w:before="120" w:after="120"/>
        <w:ind w:left="992" w:hanging="567"/>
        <w:rPr>
          <w:rFonts w:cstheme="minorHAnsi"/>
        </w:rPr>
      </w:pPr>
      <w:r w:rsidRPr="0092047B">
        <w:rPr>
          <w:rFonts w:cstheme="minorHAnsi"/>
        </w:rPr>
        <w:t>Zpřesnění legislativního rámce pro regulaci s cílem dlouhodobé legislativně-regulatorní stability sektoru.</w:t>
      </w:r>
    </w:p>
    <w:p w:rsidR="009724DD" w:rsidRPr="0092047B" w:rsidRDefault="00125933" w:rsidP="00940EEB">
      <w:pPr>
        <w:pStyle w:val="Zkladntext"/>
        <w:spacing w:before="120" w:after="120"/>
        <w:ind w:firstLine="709"/>
        <w:rPr>
          <w:rFonts w:cstheme="minorHAnsi"/>
        </w:rPr>
      </w:pPr>
      <w:r>
        <w:rPr>
          <w:rFonts w:cstheme="minorHAnsi"/>
          <w:u w:val="single"/>
        </w:rPr>
        <w:t>Zajistí:</w:t>
      </w:r>
      <w:r w:rsidR="009724DD" w:rsidRPr="0092047B">
        <w:rPr>
          <w:rFonts w:cstheme="minorHAnsi"/>
        </w:rPr>
        <w:tab/>
      </w:r>
      <w:r>
        <w:rPr>
          <w:rFonts w:cstheme="minorHAnsi"/>
        </w:rPr>
        <w:tab/>
      </w:r>
      <w:r w:rsidR="009724DD" w:rsidRPr="0092047B">
        <w:rPr>
          <w:rFonts w:cstheme="minorHAnsi"/>
        </w:rPr>
        <w:t>MPO, ERÚ</w:t>
      </w:r>
    </w:p>
    <w:p w:rsidR="009724DD" w:rsidRPr="0092047B" w:rsidRDefault="009724DD" w:rsidP="00184DC1">
      <w:pPr>
        <w:pStyle w:val="Zkladntext"/>
        <w:spacing w:before="120"/>
        <w:ind w:firstLine="708"/>
        <w:rPr>
          <w:rFonts w:cstheme="minorHAnsi"/>
        </w:rPr>
      </w:pPr>
      <w:r w:rsidRPr="0092047B">
        <w:rPr>
          <w:rFonts w:cstheme="minorHAnsi"/>
          <w:u w:val="single"/>
        </w:rPr>
        <w:t>Termín</w:t>
      </w:r>
      <w:r w:rsidRPr="00125933">
        <w:rPr>
          <w:rFonts w:cstheme="minorHAnsi"/>
          <w:u w:val="single"/>
        </w:rPr>
        <w:t>:</w:t>
      </w:r>
      <w:r w:rsidRPr="0092047B">
        <w:rPr>
          <w:rFonts w:cstheme="minorHAnsi"/>
        </w:rPr>
        <w:tab/>
        <w:t xml:space="preserve">31. 12. </w:t>
      </w:r>
      <w:r w:rsidR="00543E99" w:rsidRPr="0092047B">
        <w:rPr>
          <w:rFonts w:cstheme="minorHAnsi"/>
        </w:rPr>
        <w:t>201</w:t>
      </w:r>
      <w:r w:rsidR="001E7F95">
        <w:rPr>
          <w:rFonts w:cstheme="minorHAnsi"/>
        </w:rPr>
        <w:t>5</w:t>
      </w:r>
    </w:p>
    <w:p w:rsidR="009724DD" w:rsidRPr="0092047B" w:rsidRDefault="009724DD" w:rsidP="00BD0E77">
      <w:pPr>
        <w:pStyle w:val="Zkladntext"/>
        <w:numPr>
          <w:ilvl w:val="1"/>
          <w:numId w:val="12"/>
        </w:numPr>
        <w:spacing w:before="240" w:after="120"/>
        <w:ind w:left="709" w:hanging="567"/>
        <w:rPr>
          <w:rFonts w:cstheme="minorHAnsi"/>
          <w:u w:val="single"/>
        </w:rPr>
      </w:pPr>
      <w:r w:rsidRPr="0092047B">
        <w:rPr>
          <w:rFonts w:cstheme="minorHAnsi"/>
          <w:u w:val="single"/>
        </w:rPr>
        <w:t>Návrh novelizace zákona o podporovaných zdrojích energie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Stanovení mechanismu zajištění finančních zdrojů pro úhradu nákladů na podporu OZE mimo ceny elektřiny (například využití poplatků a daní v energetice).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Podpora nových OZE prostřednictvím aukcí, nebo tendrů na nové kapacity, anebo prostřednictvím případných vyrovnávacích plateb, nebo investiční podporou vítězům tendrů</w:t>
      </w:r>
      <w:r w:rsidR="0057752E">
        <w:rPr>
          <w:rFonts w:cstheme="minorHAnsi"/>
        </w:rPr>
        <w:t>, případně způsobem obchodování net metering</w:t>
      </w:r>
      <w:r w:rsidRPr="0092047B">
        <w:rPr>
          <w:rFonts w:cstheme="minorHAnsi"/>
        </w:rPr>
        <w:t>.</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Zavedení korekčního mechanismu kontroly přiměřenosti rozsahu poskytované veřejné podpory.</w:t>
      </w:r>
    </w:p>
    <w:p w:rsidR="009724DD" w:rsidRPr="0092047B" w:rsidRDefault="009724DD" w:rsidP="00940EEB">
      <w:pPr>
        <w:pStyle w:val="Zkladntext"/>
        <w:spacing w:before="120" w:after="120"/>
        <w:ind w:firstLine="708"/>
        <w:rPr>
          <w:rFonts w:cstheme="minorHAnsi"/>
        </w:rPr>
      </w:pPr>
      <w:r w:rsidRPr="0092047B">
        <w:rPr>
          <w:rFonts w:cstheme="minorHAnsi"/>
          <w:u w:val="single"/>
        </w:rPr>
        <w:t>Zajistí:</w:t>
      </w:r>
      <w:r w:rsidRPr="0092047B">
        <w:rPr>
          <w:rFonts w:cstheme="minorHAnsi"/>
        </w:rPr>
        <w:tab/>
      </w:r>
      <w:r w:rsidRPr="0092047B">
        <w:rPr>
          <w:rFonts w:cstheme="minorHAnsi"/>
        </w:rPr>
        <w:tab/>
        <w:t>MPO</w:t>
      </w:r>
    </w:p>
    <w:p w:rsidR="009724DD" w:rsidRPr="0092047B" w:rsidRDefault="009724DD" w:rsidP="00BD0E77">
      <w:pPr>
        <w:pStyle w:val="Zkladntext"/>
        <w:spacing w:before="120"/>
        <w:ind w:firstLine="708"/>
        <w:rPr>
          <w:rFonts w:cstheme="minorHAnsi"/>
          <w:u w:val="single"/>
        </w:rPr>
      </w:pPr>
      <w:r w:rsidRPr="0092047B">
        <w:rPr>
          <w:rFonts w:cstheme="minorHAnsi"/>
          <w:u w:val="single"/>
        </w:rPr>
        <w:t>Termín:</w:t>
      </w:r>
      <w:r w:rsidRPr="0092047B">
        <w:rPr>
          <w:rFonts w:cstheme="minorHAnsi"/>
        </w:rPr>
        <w:tab/>
        <w:t xml:space="preserve">31. 12. </w:t>
      </w:r>
      <w:r w:rsidR="00543E99" w:rsidRPr="0092047B">
        <w:rPr>
          <w:rFonts w:cstheme="minorHAnsi"/>
        </w:rPr>
        <w:t>201</w:t>
      </w:r>
      <w:r w:rsidR="001E7F95">
        <w:rPr>
          <w:rFonts w:cstheme="minorHAnsi"/>
        </w:rPr>
        <w:t>5</w:t>
      </w:r>
    </w:p>
    <w:p w:rsidR="009724DD" w:rsidRPr="0092047B" w:rsidRDefault="009724DD" w:rsidP="00BD0E77">
      <w:pPr>
        <w:pStyle w:val="Zkladntext"/>
        <w:keepNext/>
        <w:numPr>
          <w:ilvl w:val="1"/>
          <w:numId w:val="12"/>
        </w:numPr>
        <w:spacing w:before="240" w:after="120"/>
        <w:ind w:left="709" w:hanging="567"/>
        <w:rPr>
          <w:rFonts w:cstheme="minorHAnsi"/>
          <w:u w:val="single"/>
        </w:rPr>
      </w:pPr>
      <w:r w:rsidRPr="0092047B">
        <w:rPr>
          <w:rFonts w:cstheme="minorHAnsi"/>
          <w:u w:val="single"/>
        </w:rPr>
        <w:t>Návrh novelizace zákona o hospodaření energií</w:t>
      </w:r>
    </w:p>
    <w:p w:rsidR="009724DD" w:rsidRPr="0092047B" w:rsidRDefault="009724DD" w:rsidP="00184DC1">
      <w:pPr>
        <w:pStyle w:val="Zkladntext"/>
        <w:numPr>
          <w:ilvl w:val="2"/>
          <w:numId w:val="17"/>
        </w:numPr>
        <w:spacing w:before="120"/>
        <w:ind w:leftChars="177" w:left="991" w:hangingChars="236" w:hanging="566"/>
        <w:contextualSpacing/>
        <w:rPr>
          <w:rFonts w:cstheme="minorHAnsi"/>
        </w:rPr>
      </w:pPr>
      <w:r w:rsidRPr="0092047B">
        <w:rPr>
          <w:rFonts w:cstheme="minorHAnsi"/>
        </w:rPr>
        <w:t>Podrobnější popis obsahu a rozsahu Státní energetické koncepce a způsobu zajištění její</w:t>
      </w:r>
      <w:r w:rsidR="00354108">
        <w:rPr>
          <w:rFonts w:cstheme="minorHAnsi"/>
        </w:rPr>
        <w:t xml:space="preserve"> </w:t>
      </w:r>
      <w:r w:rsidR="00DC01D4">
        <w:rPr>
          <w:rFonts w:cstheme="minorHAnsi"/>
        </w:rPr>
        <w:t>závaznosti pro orgány státní správy</w:t>
      </w:r>
      <w:r w:rsidR="00644D66">
        <w:rPr>
          <w:rFonts w:cstheme="minorHAnsi"/>
        </w:rPr>
        <w:t xml:space="preserve"> v oblasti hospodaření s energií</w:t>
      </w:r>
      <w:r w:rsidRPr="0092047B">
        <w:rPr>
          <w:rFonts w:cstheme="minorHAnsi"/>
        </w:rPr>
        <w:t>. Popis postupu aktualizace.</w:t>
      </w:r>
    </w:p>
    <w:p w:rsidR="009724DD" w:rsidRPr="0092047B" w:rsidRDefault="009724DD" w:rsidP="00184DC1">
      <w:pPr>
        <w:pStyle w:val="Zkladntext"/>
        <w:numPr>
          <w:ilvl w:val="2"/>
          <w:numId w:val="17"/>
        </w:numPr>
        <w:spacing w:before="120"/>
        <w:ind w:leftChars="177" w:left="991" w:hangingChars="236" w:hanging="566"/>
        <w:contextualSpacing/>
        <w:rPr>
          <w:rFonts w:cstheme="minorHAnsi"/>
        </w:rPr>
      </w:pPr>
      <w:r w:rsidRPr="0092047B">
        <w:rPr>
          <w:rFonts w:cstheme="minorHAnsi"/>
        </w:rPr>
        <w:t>Povinnost a termíny zpracování Územních energetických koncepcí (ÚEK) ve vazbě na aktualizaci SEK a závazný postup koordinace souladu ÚEK a SEK.</w:t>
      </w:r>
    </w:p>
    <w:p w:rsidR="009724DD" w:rsidRPr="0092047B" w:rsidRDefault="009724DD" w:rsidP="00184DC1">
      <w:pPr>
        <w:pStyle w:val="Zkladntext"/>
        <w:numPr>
          <w:ilvl w:val="2"/>
          <w:numId w:val="17"/>
        </w:numPr>
        <w:spacing w:before="120"/>
        <w:ind w:leftChars="177" w:left="991" w:hangingChars="236" w:hanging="566"/>
        <w:contextualSpacing/>
        <w:rPr>
          <w:rFonts w:cstheme="minorHAnsi"/>
        </w:rPr>
      </w:pPr>
      <w:r w:rsidRPr="0092047B">
        <w:rPr>
          <w:rFonts w:cstheme="minorHAnsi"/>
        </w:rPr>
        <w:t>Dopracování sekundární legislativy v oblasti minimálních účinností energetických zdrojů a sankčních plateb za neplnění standardů.</w:t>
      </w:r>
    </w:p>
    <w:p w:rsidR="009724DD" w:rsidRPr="0092047B" w:rsidRDefault="006F3F45" w:rsidP="00184DC1">
      <w:pPr>
        <w:pStyle w:val="Zkladntext"/>
        <w:numPr>
          <w:ilvl w:val="2"/>
          <w:numId w:val="17"/>
        </w:numPr>
        <w:spacing w:before="120"/>
        <w:ind w:leftChars="177" w:left="991" w:hangingChars="236" w:hanging="566"/>
        <w:contextualSpacing/>
        <w:rPr>
          <w:rFonts w:cstheme="minorHAnsi"/>
        </w:rPr>
      </w:pPr>
      <w:r w:rsidRPr="0092047B">
        <w:rPr>
          <w:rFonts w:cstheme="minorHAnsi"/>
        </w:rPr>
        <w:t>Zachovat</w:t>
      </w:r>
      <w:r w:rsidR="009724DD" w:rsidRPr="0092047B">
        <w:rPr>
          <w:rFonts w:cstheme="minorHAnsi"/>
        </w:rPr>
        <w:t xml:space="preserve"> vazbu SEK, PÚR, ZÚR a stanovit způsob zapracování ÚEK do územně plánovací dokumentace.</w:t>
      </w:r>
    </w:p>
    <w:p w:rsidR="009724DD" w:rsidRPr="0092047B" w:rsidRDefault="00860558" w:rsidP="00184DC1">
      <w:pPr>
        <w:pStyle w:val="Zkladntext"/>
        <w:numPr>
          <w:ilvl w:val="2"/>
          <w:numId w:val="17"/>
        </w:numPr>
        <w:spacing w:before="120"/>
        <w:ind w:leftChars="177" w:left="991" w:hangingChars="236" w:hanging="566"/>
        <w:contextualSpacing/>
        <w:rPr>
          <w:rFonts w:cstheme="minorHAnsi"/>
        </w:rPr>
      </w:pPr>
      <w:r>
        <w:rPr>
          <w:rFonts w:cstheme="minorHAnsi"/>
        </w:rPr>
        <w:t xml:space="preserve">Zajistit </w:t>
      </w:r>
      <w:r w:rsidR="005667D0" w:rsidRPr="0092047B">
        <w:rPr>
          <w:rFonts w:cstheme="minorHAnsi"/>
        </w:rPr>
        <w:t xml:space="preserve">co nejrychlejší </w:t>
      </w:r>
      <w:r w:rsidR="009724DD" w:rsidRPr="0092047B">
        <w:rPr>
          <w:rFonts w:cstheme="minorHAnsi"/>
        </w:rPr>
        <w:t xml:space="preserve">zavedení malusů pro </w:t>
      </w:r>
      <w:r w:rsidR="00C57D63" w:rsidRPr="0092047B">
        <w:rPr>
          <w:rFonts w:cstheme="minorHAnsi"/>
        </w:rPr>
        <w:t>nízko</w:t>
      </w:r>
      <w:r w:rsidR="00636961">
        <w:rPr>
          <w:rFonts w:cstheme="minorHAnsi"/>
        </w:rPr>
        <w:t>-</w:t>
      </w:r>
      <w:r w:rsidR="00C57D63" w:rsidRPr="0092047B">
        <w:rPr>
          <w:rFonts w:cstheme="minorHAnsi"/>
        </w:rPr>
        <w:t>účinn</w:t>
      </w:r>
      <w:r w:rsidR="00C57D63">
        <w:rPr>
          <w:rFonts w:cstheme="minorHAnsi"/>
        </w:rPr>
        <w:t>ě</w:t>
      </w:r>
      <w:r w:rsidR="00777F75">
        <w:rPr>
          <w:rFonts w:cstheme="minorHAnsi"/>
        </w:rPr>
        <w:t xml:space="preserve"> kondenzačně vyrobenou elektřinu</w:t>
      </w:r>
      <w:r w:rsidR="009724DD" w:rsidRPr="0092047B">
        <w:rPr>
          <w:rFonts w:cstheme="minorHAnsi"/>
        </w:rPr>
        <w:t xml:space="preserve"> z uhlí.</w:t>
      </w:r>
    </w:p>
    <w:p w:rsidR="009724DD" w:rsidRPr="0092047B" w:rsidRDefault="009724DD" w:rsidP="00940EEB">
      <w:pPr>
        <w:pStyle w:val="Zkladntext"/>
        <w:numPr>
          <w:ilvl w:val="2"/>
          <w:numId w:val="17"/>
        </w:numPr>
        <w:spacing w:before="120" w:after="120"/>
        <w:ind w:leftChars="177" w:left="991" w:hangingChars="236" w:hanging="566"/>
        <w:rPr>
          <w:rFonts w:cstheme="minorHAnsi"/>
        </w:rPr>
      </w:pPr>
      <w:r w:rsidRPr="0092047B">
        <w:rPr>
          <w:rFonts w:cstheme="minorHAnsi"/>
        </w:rPr>
        <w:t>Zjednodušit a zefektivnit administrativu a předpisy v oblasti kontroly energetických úspor.</w:t>
      </w:r>
    </w:p>
    <w:p w:rsidR="009724DD" w:rsidRPr="0092047B" w:rsidRDefault="009724DD" w:rsidP="00940EEB">
      <w:pPr>
        <w:pStyle w:val="Zkladntext"/>
        <w:spacing w:before="120" w:after="120"/>
        <w:ind w:left="720"/>
        <w:rPr>
          <w:rFonts w:cstheme="minorHAnsi"/>
          <w:u w:val="single"/>
        </w:rPr>
      </w:pPr>
      <w:r w:rsidRPr="0092047B">
        <w:rPr>
          <w:rFonts w:cstheme="minorHAnsi"/>
          <w:u w:val="single"/>
        </w:rPr>
        <w:t>Zajistí:</w:t>
      </w:r>
      <w:r w:rsidRPr="0092047B">
        <w:rPr>
          <w:rFonts w:cstheme="minorHAnsi"/>
        </w:rPr>
        <w:tab/>
      </w:r>
      <w:r w:rsidRPr="0092047B">
        <w:rPr>
          <w:rFonts w:cstheme="minorHAnsi"/>
        </w:rPr>
        <w:tab/>
        <w:t>MPO</w:t>
      </w:r>
    </w:p>
    <w:p w:rsidR="009724DD" w:rsidRPr="0092047B" w:rsidRDefault="009724DD" w:rsidP="00940EEB">
      <w:pPr>
        <w:pStyle w:val="Zkladntext"/>
        <w:spacing w:before="120"/>
        <w:ind w:left="720"/>
        <w:rPr>
          <w:rFonts w:cstheme="minorHAnsi"/>
          <w:u w:val="single"/>
        </w:rPr>
      </w:pPr>
      <w:r w:rsidRPr="0092047B">
        <w:rPr>
          <w:rFonts w:cstheme="minorHAnsi"/>
          <w:u w:val="single"/>
        </w:rPr>
        <w:t>Termín:</w:t>
      </w:r>
      <w:r w:rsidRPr="0092047B">
        <w:rPr>
          <w:rFonts w:cstheme="minorHAnsi"/>
        </w:rPr>
        <w:tab/>
        <w:t>31. 12. 201</w:t>
      </w:r>
      <w:r w:rsidR="001E7F95">
        <w:rPr>
          <w:rFonts w:cstheme="minorHAnsi"/>
        </w:rPr>
        <w:t>5</w:t>
      </w:r>
    </w:p>
    <w:p w:rsidR="009724DD" w:rsidRPr="0092047B" w:rsidRDefault="009724DD" w:rsidP="00940EEB">
      <w:pPr>
        <w:pStyle w:val="Zkladntext"/>
        <w:numPr>
          <w:ilvl w:val="1"/>
          <w:numId w:val="12"/>
        </w:numPr>
        <w:spacing w:before="240" w:after="120"/>
        <w:ind w:left="709" w:hanging="567"/>
        <w:rPr>
          <w:rFonts w:cstheme="minorHAnsi"/>
          <w:u w:val="single"/>
        </w:rPr>
      </w:pPr>
      <w:r w:rsidRPr="0092047B">
        <w:rPr>
          <w:rFonts w:cstheme="minorHAnsi"/>
          <w:u w:val="single"/>
        </w:rPr>
        <w:t xml:space="preserve">Návrh novelizace stavebního </w:t>
      </w:r>
      <w:r w:rsidR="006C5E73">
        <w:rPr>
          <w:rFonts w:cstheme="minorHAnsi"/>
          <w:u w:val="single"/>
        </w:rPr>
        <w:t>zákona a</w:t>
      </w:r>
      <w:r w:rsidR="0057752E">
        <w:rPr>
          <w:rFonts w:cstheme="minorHAnsi"/>
          <w:u w:val="single"/>
        </w:rPr>
        <w:t xml:space="preserve"> novelizace</w:t>
      </w:r>
      <w:r w:rsidR="006C5E73">
        <w:rPr>
          <w:rFonts w:cstheme="minorHAnsi"/>
          <w:u w:val="single"/>
        </w:rPr>
        <w:t xml:space="preserve"> </w:t>
      </w:r>
      <w:r w:rsidR="006C5E73" w:rsidRPr="0092047B">
        <w:rPr>
          <w:rFonts w:cstheme="minorHAnsi"/>
          <w:u w:val="single"/>
        </w:rPr>
        <w:t>zákona o posuzování vlivů na životní prostředí (EIA)</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Analýza a implementace nástrojů umožňujících u významných infrastrukturních staveb</w:t>
      </w:r>
      <w:r w:rsidR="00982067">
        <w:rPr>
          <w:rFonts w:cstheme="minorHAnsi"/>
        </w:rPr>
        <w:t xml:space="preserve"> a výroben elektřiny a tepla</w:t>
      </w:r>
      <w:r w:rsidRPr="0092047B">
        <w:rPr>
          <w:rFonts w:cstheme="minorHAnsi"/>
        </w:rPr>
        <w:t xml:space="preserve"> zrychlit proces aktualizace ZÚR ve vazbě na změny PÚR.</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Provázání státní energetické koncepce, územních energetických koncepcí a územních plánů.</w:t>
      </w:r>
    </w:p>
    <w:p w:rsidR="0071057D" w:rsidRPr="0092047B" w:rsidRDefault="0071057D" w:rsidP="00940EEB">
      <w:pPr>
        <w:pStyle w:val="Zkladntext"/>
        <w:numPr>
          <w:ilvl w:val="2"/>
          <w:numId w:val="17"/>
        </w:numPr>
        <w:spacing w:before="120" w:after="120"/>
        <w:ind w:left="993" w:hanging="567"/>
        <w:rPr>
          <w:rFonts w:cstheme="minorHAnsi"/>
        </w:rPr>
      </w:pPr>
      <w:r w:rsidRPr="0092047B">
        <w:rPr>
          <w:rFonts w:cstheme="minorHAnsi"/>
        </w:rPr>
        <w:t>Analyzovat možnost vydávání územního rozhodnutí nebo rozhodnutí, které by ho nahrazovalo, přímo na základě PÚR při nezpochybnění požadavků na EIA</w:t>
      </w:r>
      <w:r w:rsidR="00860558">
        <w:rPr>
          <w:rFonts w:cstheme="minorHAnsi"/>
        </w:rPr>
        <w:t>.</w:t>
      </w:r>
    </w:p>
    <w:p w:rsidR="009724DD" w:rsidRPr="0092047B" w:rsidRDefault="009724DD" w:rsidP="00940EEB">
      <w:pPr>
        <w:pStyle w:val="Zkladntext"/>
        <w:spacing w:before="120" w:after="120"/>
        <w:ind w:left="720"/>
        <w:rPr>
          <w:rFonts w:cstheme="minorHAnsi"/>
          <w:u w:val="single"/>
        </w:rPr>
      </w:pPr>
      <w:r w:rsidRPr="0092047B">
        <w:rPr>
          <w:rFonts w:cstheme="minorHAnsi"/>
          <w:u w:val="single"/>
        </w:rPr>
        <w:t>Zajistí:</w:t>
      </w:r>
      <w:r w:rsidRPr="0092047B">
        <w:rPr>
          <w:rFonts w:cstheme="minorHAnsi"/>
        </w:rPr>
        <w:tab/>
      </w:r>
      <w:r w:rsidRPr="0092047B">
        <w:rPr>
          <w:rFonts w:cstheme="minorHAnsi"/>
        </w:rPr>
        <w:tab/>
        <w:t>MMR</w:t>
      </w:r>
      <w:r w:rsidR="0057752E">
        <w:rPr>
          <w:rFonts w:cstheme="minorHAnsi"/>
        </w:rPr>
        <w:t xml:space="preserve"> a MŽP dle své gesční příslušnosti</w:t>
      </w:r>
      <w:r w:rsidR="00D060A6" w:rsidRPr="0092047B">
        <w:rPr>
          <w:rFonts w:cstheme="minorHAnsi"/>
        </w:rPr>
        <w:t xml:space="preserve">, </w:t>
      </w:r>
      <w:r w:rsidR="0071057D" w:rsidRPr="0092047B">
        <w:rPr>
          <w:rFonts w:cstheme="minorHAnsi"/>
        </w:rPr>
        <w:t>ve spolupráci s</w:t>
      </w:r>
      <w:r w:rsidR="006C5E73">
        <w:rPr>
          <w:rFonts w:cstheme="minorHAnsi"/>
        </w:rPr>
        <w:t> </w:t>
      </w:r>
      <w:r w:rsidR="0071057D" w:rsidRPr="0092047B">
        <w:rPr>
          <w:rFonts w:cstheme="minorHAnsi"/>
        </w:rPr>
        <w:t>MPO</w:t>
      </w:r>
    </w:p>
    <w:p w:rsidR="009724DD" w:rsidRDefault="009724DD" w:rsidP="00940EEB">
      <w:pPr>
        <w:pStyle w:val="Zkladntext"/>
        <w:spacing w:before="120"/>
        <w:ind w:left="720"/>
        <w:rPr>
          <w:rFonts w:cstheme="minorHAnsi"/>
        </w:rPr>
      </w:pPr>
      <w:r w:rsidRPr="0092047B">
        <w:rPr>
          <w:rFonts w:cstheme="minorHAnsi"/>
          <w:u w:val="single"/>
        </w:rPr>
        <w:t>Termín:</w:t>
      </w:r>
      <w:r w:rsidRPr="0092047B">
        <w:rPr>
          <w:rFonts w:cstheme="minorHAnsi"/>
        </w:rPr>
        <w:tab/>
        <w:t>31. 12. 2015</w:t>
      </w:r>
    </w:p>
    <w:p w:rsidR="009724DD" w:rsidRPr="0092047B" w:rsidRDefault="001015F1" w:rsidP="00940EEB">
      <w:pPr>
        <w:pStyle w:val="Zkladntext"/>
        <w:numPr>
          <w:ilvl w:val="1"/>
          <w:numId w:val="12"/>
        </w:numPr>
        <w:spacing w:before="240" w:after="120"/>
        <w:ind w:left="709" w:hanging="567"/>
        <w:rPr>
          <w:rFonts w:cstheme="minorHAnsi"/>
          <w:u w:val="single"/>
        </w:rPr>
      </w:pPr>
      <w:r>
        <w:rPr>
          <w:rFonts w:cstheme="minorHAnsi"/>
          <w:u w:val="single"/>
        </w:rPr>
        <w:t xml:space="preserve">Návrh </w:t>
      </w:r>
      <w:r w:rsidR="0057752E">
        <w:rPr>
          <w:rFonts w:cstheme="minorHAnsi"/>
          <w:u w:val="single"/>
        </w:rPr>
        <w:t>nového</w:t>
      </w:r>
      <w:r w:rsidR="009724DD" w:rsidRPr="0092047B">
        <w:rPr>
          <w:rFonts w:cstheme="minorHAnsi"/>
          <w:u w:val="single"/>
        </w:rPr>
        <w:t xml:space="preserve"> atomového zákona</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Aktualizace činnosti a kompetencí SÚJB v návaznosti na Evropskou legislativu.</w:t>
      </w:r>
    </w:p>
    <w:p w:rsidR="009724DD" w:rsidRPr="0092047B" w:rsidRDefault="009724DD" w:rsidP="00940EEB">
      <w:pPr>
        <w:pStyle w:val="Zkladntext"/>
        <w:spacing w:before="120" w:after="120"/>
        <w:ind w:left="709"/>
        <w:rPr>
          <w:rFonts w:cstheme="minorHAnsi"/>
          <w:u w:val="single"/>
        </w:rPr>
      </w:pPr>
      <w:r w:rsidRPr="0092047B">
        <w:rPr>
          <w:rFonts w:cstheme="minorHAnsi"/>
          <w:u w:val="single"/>
        </w:rPr>
        <w:t>Zajistí:</w:t>
      </w:r>
      <w:r w:rsidRPr="0092047B">
        <w:rPr>
          <w:rFonts w:cstheme="minorHAnsi"/>
        </w:rPr>
        <w:tab/>
      </w:r>
      <w:r w:rsidRPr="0092047B">
        <w:rPr>
          <w:rFonts w:cstheme="minorHAnsi"/>
        </w:rPr>
        <w:tab/>
        <w:t>MPO, SÚJB</w:t>
      </w:r>
    </w:p>
    <w:p w:rsidR="009724DD" w:rsidRPr="0092047B" w:rsidRDefault="009724DD" w:rsidP="00184DC1">
      <w:pPr>
        <w:pStyle w:val="Zkladntext"/>
        <w:spacing w:before="120"/>
        <w:ind w:left="709"/>
        <w:rPr>
          <w:rFonts w:cstheme="minorHAnsi"/>
          <w:u w:val="single"/>
        </w:rPr>
      </w:pPr>
      <w:r w:rsidRPr="0092047B">
        <w:rPr>
          <w:rFonts w:cstheme="minorHAnsi"/>
          <w:u w:val="single"/>
        </w:rPr>
        <w:t>Termín:</w:t>
      </w:r>
      <w:r w:rsidRPr="0092047B">
        <w:rPr>
          <w:rFonts w:cstheme="minorHAnsi"/>
        </w:rPr>
        <w:tab/>
        <w:t>31. 12. 2015</w:t>
      </w:r>
    </w:p>
    <w:p w:rsidR="009724DD" w:rsidRPr="0092047B" w:rsidRDefault="009724DD" w:rsidP="00940EEB">
      <w:pPr>
        <w:pStyle w:val="Zkladntext"/>
        <w:numPr>
          <w:ilvl w:val="1"/>
          <w:numId w:val="12"/>
        </w:numPr>
        <w:spacing w:before="240" w:after="120"/>
        <w:ind w:left="709" w:hanging="567"/>
        <w:rPr>
          <w:rFonts w:cstheme="minorHAnsi"/>
          <w:u w:val="single"/>
        </w:rPr>
      </w:pPr>
      <w:r w:rsidRPr="0092047B">
        <w:rPr>
          <w:rFonts w:cstheme="minorHAnsi"/>
          <w:u w:val="single"/>
        </w:rPr>
        <w:t>Návrh novelizace zákona o odpadech</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Zvýšení poplatků za skládkování a směřování jejich výnosů do podpory odpadového hospodářství.</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Podporovat energetické využívání odpadů při respektování hierarchie nakládání s odpady.</w:t>
      </w:r>
    </w:p>
    <w:p w:rsidR="009724DD" w:rsidRPr="0092047B" w:rsidRDefault="009724DD" w:rsidP="00940EEB">
      <w:pPr>
        <w:pStyle w:val="Zkladntext"/>
        <w:spacing w:before="120" w:after="120"/>
        <w:ind w:left="720"/>
        <w:rPr>
          <w:rFonts w:cstheme="minorHAnsi"/>
        </w:rPr>
      </w:pPr>
      <w:r w:rsidRPr="0092047B">
        <w:rPr>
          <w:rFonts w:cstheme="minorHAnsi"/>
          <w:u w:val="single"/>
        </w:rPr>
        <w:t>Zajistí:</w:t>
      </w:r>
      <w:r w:rsidRPr="0092047B">
        <w:rPr>
          <w:rFonts w:cstheme="minorHAnsi"/>
        </w:rPr>
        <w:tab/>
      </w:r>
      <w:r w:rsidRPr="0092047B">
        <w:rPr>
          <w:rFonts w:cstheme="minorHAnsi"/>
        </w:rPr>
        <w:tab/>
        <w:t>MŽP</w:t>
      </w:r>
    </w:p>
    <w:p w:rsidR="009724DD" w:rsidRPr="0092047B" w:rsidRDefault="009724DD" w:rsidP="00940EEB">
      <w:pPr>
        <w:pStyle w:val="Zkladntext"/>
        <w:spacing w:before="120"/>
        <w:ind w:left="720"/>
        <w:rPr>
          <w:rFonts w:cstheme="minorHAnsi"/>
        </w:rPr>
      </w:pPr>
      <w:r w:rsidRPr="0092047B">
        <w:rPr>
          <w:rFonts w:cstheme="minorHAnsi"/>
          <w:u w:val="single"/>
        </w:rPr>
        <w:t>Termín</w:t>
      </w:r>
      <w:r w:rsidRPr="00125933">
        <w:rPr>
          <w:rFonts w:cstheme="minorHAnsi"/>
          <w:u w:val="single"/>
        </w:rPr>
        <w:t>:</w:t>
      </w:r>
      <w:r w:rsidRPr="0092047B">
        <w:rPr>
          <w:rFonts w:cstheme="minorHAnsi"/>
        </w:rPr>
        <w:tab/>
        <w:t>31. 12. 2015</w:t>
      </w:r>
    </w:p>
    <w:p w:rsidR="009724DD" w:rsidRPr="0092047B" w:rsidRDefault="009724DD" w:rsidP="00940EEB">
      <w:pPr>
        <w:pStyle w:val="Zkladntext"/>
        <w:keepNext/>
        <w:numPr>
          <w:ilvl w:val="1"/>
          <w:numId w:val="12"/>
        </w:numPr>
        <w:spacing w:before="240" w:after="120"/>
        <w:ind w:left="709" w:hanging="567"/>
        <w:rPr>
          <w:rFonts w:cstheme="minorHAnsi"/>
          <w:u w:val="single"/>
        </w:rPr>
      </w:pPr>
      <w:r w:rsidRPr="0092047B">
        <w:rPr>
          <w:rFonts w:cstheme="minorHAnsi"/>
          <w:u w:val="single"/>
        </w:rPr>
        <w:t>Návrh novelizace zákona o ochraně ovzduší</w:t>
      </w:r>
    </w:p>
    <w:p w:rsidR="009724DD" w:rsidRPr="0092047B" w:rsidRDefault="009724DD" w:rsidP="00940EEB">
      <w:pPr>
        <w:pStyle w:val="Zkladntext"/>
        <w:keepNext/>
        <w:numPr>
          <w:ilvl w:val="2"/>
          <w:numId w:val="17"/>
        </w:numPr>
        <w:spacing w:before="120" w:after="120"/>
        <w:ind w:left="993" w:hanging="567"/>
        <w:rPr>
          <w:rFonts w:cstheme="minorHAnsi"/>
        </w:rPr>
      </w:pPr>
      <w:r w:rsidRPr="0092047B">
        <w:rPr>
          <w:rFonts w:cstheme="minorHAnsi"/>
        </w:rPr>
        <w:t>Omezit sortiment paliv využitelných v malých spalovacích stacionárních zdrojích</w:t>
      </w:r>
      <w:r w:rsidR="0057752E">
        <w:rPr>
          <w:rFonts w:cstheme="minorHAnsi"/>
        </w:rPr>
        <w:t xml:space="preserve"> provozovaných na úrovni domácností</w:t>
      </w:r>
      <w:r w:rsidR="004B0E0E">
        <w:rPr>
          <w:rFonts w:cstheme="minorHAnsi"/>
        </w:rPr>
        <w:t>.</w:t>
      </w:r>
    </w:p>
    <w:p w:rsidR="009724DD" w:rsidRPr="0092047B" w:rsidRDefault="009724DD" w:rsidP="00940EEB">
      <w:pPr>
        <w:pStyle w:val="Zkladntext"/>
        <w:keepNext/>
        <w:spacing w:before="120" w:after="120"/>
        <w:ind w:left="720"/>
        <w:rPr>
          <w:rFonts w:cstheme="minorHAnsi"/>
          <w:u w:val="single"/>
        </w:rPr>
      </w:pPr>
      <w:r w:rsidRPr="0092047B">
        <w:rPr>
          <w:rFonts w:cstheme="minorHAnsi"/>
          <w:u w:val="single"/>
        </w:rPr>
        <w:t>Zajistí:</w:t>
      </w:r>
      <w:r w:rsidRPr="0092047B">
        <w:rPr>
          <w:rFonts w:cstheme="minorHAnsi"/>
        </w:rPr>
        <w:tab/>
      </w:r>
      <w:r w:rsidRPr="0092047B">
        <w:rPr>
          <w:rFonts w:cstheme="minorHAnsi"/>
        </w:rPr>
        <w:tab/>
        <w:t>MŽP, v součinnosti s M</w:t>
      </w:r>
      <w:r w:rsidR="00466A5B">
        <w:rPr>
          <w:rFonts w:cstheme="minorHAnsi"/>
        </w:rPr>
        <w:t>PO</w:t>
      </w:r>
    </w:p>
    <w:p w:rsidR="009724DD" w:rsidRPr="0092047B" w:rsidRDefault="009724DD" w:rsidP="00940EEB">
      <w:pPr>
        <w:pStyle w:val="Zkladntext"/>
        <w:spacing w:before="120"/>
        <w:ind w:left="720"/>
        <w:rPr>
          <w:rFonts w:cstheme="minorHAnsi"/>
        </w:rPr>
      </w:pPr>
      <w:r w:rsidRPr="0092047B">
        <w:rPr>
          <w:rFonts w:cstheme="minorHAnsi"/>
          <w:u w:val="single"/>
        </w:rPr>
        <w:t>Termín:</w:t>
      </w:r>
      <w:r w:rsidRPr="0092047B">
        <w:rPr>
          <w:rFonts w:cstheme="minorHAnsi"/>
        </w:rPr>
        <w:t xml:space="preserve"> </w:t>
      </w:r>
      <w:r w:rsidRPr="0092047B">
        <w:rPr>
          <w:rFonts w:cstheme="minorHAnsi"/>
        </w:rPr>
        <w:tab/>
        <w:t>31. 12. 2015</w:t>
      </w:r>
    </w:p>
    <w:p w:rsidR="009724DD" w:rsidRPr="0092047B" w:rsidRDefault="009724DD" w:rsidP="00940EEB">
      <w:pPr>
        <w:pStyle w:val="Zkladntext"/>
        <w:numPr>
          <w:ilvl w:val="1"/>
          <w:numId w:val="12"/>
        </w:numPr>
        <w:spacing w:before="240" w:after="120"/>
        <w:ind w:left="709" w:hanging="567"/>
        <w:rPr>
          <w:rFonts w:cstheme="minorHAnsi"/>
          <w:u w:val="single"/>
        </w:rPr>
      </w:pPr>
      <w:r w:rsidRPr="0092047B">
        <w:rPr>
          <w:rFonts w:cstheme="minorHAnsi"/>
          <w:u w:val="single"/>
        </w:rPr>
        <w:t xml:space="preserve">Analýza energetické legislativy </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 xml:space="preserve">Provést komplexní analýzu platné legislativy (zákony, </w:t>
      </w:r>
      <w:r w:rsidR="00860558">
        <w:rPr>
          <w:rFonts w:cstheme="minorHAnsi"/>
        </w:rPr>
        <w:t>n</w:t>
      </w:r>
      <w:r w:rsidRPr="0092047B">
        <w:rPr>
          <w:rFonts w:cstheme="minorHAnsi"/>
        </w:rPr>
        <w:t>ařízení vlády, prováděcí vyhlášky) týkající se energetiky a navrhnout opatření ke zjednodušení administrativních procesů a zvýšení efektivnosti státní správy, odstranění nesystémových opatření a snížení administrativní zátěže podnikatelů, zaměstnavatelů a fyzických osob.</w:t>
      </w:r>
    </w:p>
    <w:p w:rsidR="009724DD" w:rsidRPr="0092047B" w:rsidRDefault="009724DD" w:rsidP="00940EEB">
      <w:pPr>
        <w:pStyle w:val="Zkladntext"/>
        <w:spacing w:before="120" w:after="120"/>
        <w:ind w:left="720"/>
        <w:rPr>
          <w:rFonts w:cstheme="minorHAnsi"/>
        </w:rPr>
      </w:pPr>
      <w:r w:rsidRPr="0092047B">
        <w:rPr>
          <w:rFonts w:cstheme="minorHAnsi"/>
          <w:u w:val="single"/>
        </w:rPr>
        <w:t>Zajistí:</w:t>
      </w:r>
      <w:r w:rsidRPr="0092047B">
        <w:rPr>
          <w:rFonts w:cstheme="minorHAnsi"/>
        </w:rPr>
        <w:tab/>
      </w:r>
      <w:r w:rsidRPr="0092047B">
        <w:rPr>
          <w:rFonts w:cstheme="minorHAnsi"/>
        </w:rPr>
        <w:tab/>
        <w:t>MPO, v součinnosti s ERÚ</w:t>
      </w:r>
    </w:p>
    <w:p w:rsidR="009724DD" w:rsidRPr="0092047B" w:rsidRDefault="009724DD" w:rsidP="00184DC1">
      <w:pPr>
        <w:pStyle w:val="Zkladntext"/>
        <w:spacing w:before="120"/>
        <w:ind w:left="720"/>
        <w:rPr>
          <w:rFonts w:cstheme="minorHAnsi"/>
        </w:rPr>
      </w:pPr>
      <w:r w:rsidRPr="0092047B">
        <w:rPr>
          <w:rFonts w:cstheme="minorHAnsi"/>
          <w:u w:val="single"/>
        </w:rPr>
        <w:t>Termín</w:t>
      </w:r>
      <w:r w:rsidRPr="00125933">
        <w:rPr>
          <w:rFonts w:cstheme="minorHAnsi"/>
          <w:u w:val="single"/>
        </w:rPr>
        <w:t>:</w:t>
      </w:r>
      <w:r w:rsidRPr="0092047B">
        <w:rPr>
          <w:rFonts w:cstheme="minorHAnsi"/>
        </w:rPr>
        <w:tab/>
        <w:t>31. 12. 2015</w:t>
      </w:r>
    </w:p>
    <w:p w:rsidR="009724DD" w:rsidRPr="0092047B" w:rsidRDefault="009724DD" w:rsidP="00940EEB">
      <w:pPr>
        <w:pStyle w:val="Zkladntext"/>
        <w:numPr>
          <w:ilvl w:val="1"/>
          <w:numId w:val="12"/>
        </w:numPr>
        <w:spacing w:before="240" w:after="120"/>
        <w:ind w:left="709" w:hanging="567"/>
        <w:rPr>
          <w:rFonts w:cstheme="minorHAnsi"/>
          <w:u w:val="single"/>
        </w:rPr>
      </w:pPr>
      <w:r w:rsidRPr="0092047B">
        <w:rPr>
          <w:rFonts w:cstheme="minorHAnsi"/>
          <w:u w:val="single"/>
        </w:rPr>
        <w:t>Nové investice do energetické infrastruktury</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Vytvoření vhodného legislativního prostředí pro nové investice do rozvoje přenosové, přepravní a distribučních soustav, modernizace soustav zásobování tepelnou energií, zásobníků plynu, ropy a ropných produktů se snahou o využití financování ze zdrojů EU.</w:t>
      </w:r>
    </w:p>
    <w:p w:rsidR="009724DD" w:rsidRPr="0092047B" w:rsidRDefault="009724DD" w:rsidP="00940EEB">
      <w:pPr>
        <w:pStyle w:val="Zkladntext"/>
        <w:spacing w:before="120" w:after="120"/>
        <w:ind w:left="720"/>
        <w:rPr>
          <w:rFonts w:cstheme="minorHAnsi"/>
        </w:rPr>
      </w:pPr>
      <w:r w:rsidRPr="0092047B">
        <w:rPr>
          <w:rFonts w:cstheme="minorHAnsi"/>
          <w:u w:val="single"/>
        </w:rPr>
        <w:t>Zajistí:</w:t>
      </w:r>
      <w:r w:rsidRPr="0092047B">
        <w:rPr>
          <w:rFonts w:cstheme="minorHAnsi"/>
        </w:rPr>
        <w:tab/>
      </w:r>
      <w:r w:rsidRPr="0092047B">
        <w:rPr>
          <w:rFonts w:cstheme="minorHAnsi"/>
        </w:rPr>
        <w:tab/>
        <w:t>MPO, ERU, MMR, MF, SSHR</w:t>
      </w:r>
    </w:p>
    <w:p w:rsidR="009724DD" w:rsidRPr="0092047B" w:rsidRDefault="009724DD" w:rsidP="00184DC1">
      <w:pPr>
        <w:pStyle w:val="Zkladntext"/>
        <w:spacing w:before="120"/>
        <w:ind w:left="720"/>
        <w:rPr>
          <w:rFonts w:cstheme="minorHAnsi"/>
          <w:u w:val="single"/>
        </w:rPr>
      </w:pPr>
      <w:r w:rsidRPr="0092047B">
        <w:rPr>
          <w:rFonts w:cstheme="minorHAnsi"/>
          <w:u w:val="single"/>
        </w:rPr>
        <w:t>Termín:</w:t>
      </w:r>
      <w:r w:rsidRPr="0092047B">
        <w:rPr>
          <w:rFonts w:cstheme="minorHAnsi"/>
        </w:rPr>
        <w:tab/>
        <w:t>průběžně</w:t>
      </w:r>
    </w:p>
    <w:p w:rsidR="009724DD" w:rsidRPr="0092047B" w:rsidRDefault="009724DD" w:rsidP="00184DC1">
      <w:pPr>
        <w:rPr>
          <w:rFonts w:cstheme="minorHAnsi"/>
        </w:rPr>
      </w:pPr>
      <w:r w:rsidRPr="0092047B">
        <w:rPr>
          <w:rFonts w:cstheme="minorHAnsi"/>
        </w:rPr>
        <w:br w:type="page"/>
      </w:r>
    </w:p>
    <w:p w:rsidR="009724DD" w:rsidRPr="0092047B" w:rsidRDefault="009724DD" w:rsidP="00184DC1">
      <w:pPr>
        <w:pStyle w:val="Nadpis2"/>
      </w:pPr>
      <w:bookmarkStart w:id="835" w:name="_Toc396923405"/>
      <w:r w:rsidRPr="0092047B">
        <w:t>Nástroje v oblasti výkonu státní správy</w:t>
      </w:r>
      <w:bookmarkEnd w:id="835"/>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Regulace energetických odvětví</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výkon regulace energetických odvětví tak, aby byly systematicky naplňovány cíle Státní energetické koncepce a Surovinové politiky.</w:t>
      </w:r>
    </w:p>
    <w:p w:rsidR="009724DD" w:rsidRPr="0092047B" w:rsidRDefault="008A0A8D" w:rsidP="00184DC1">
      <w:pPr>
        <w:pStyle w:val="Zkladntext"/>
        <w:numPr>
          <w:ilvl w:val="2"/>
          <w:numId w:val="17"/>
        </w:numPr>
        <w:spacing w:before="120"/>
        <w:ind w:left="993" w:hanging="567"/>
        <w:contextualSpacing/>
        <w:rPr>
          <w:rFonts w:cstheme="minorHAnsi"/>
        </w:rPr>
      </w:pPr>
      <w:r>
        <w:rPr>
          <w:rFonts w:cstheme="minorHAnsi"/>
        </w:rPr>
        <w:t>Upravit systém</w:t>
      </w:r>
      <w:r w:rsidR="009724DD" w:rsidRPr="0092047B">
        <w:rPr>
          <w:rFonts w:cstheme="minorHAnsi"/>
        </w:rPr>
        <w:t xml:space="preserve"> podpory OZE ve vazbě na splnění cílů Národního akčního plánu </w:t>
      </w:r>
      <w:r w:rsidR="000C76EC">
        <w:t>ČR pro energii z</w:t>
      </w:r>
      <w:r>
        <w:t> </w:t>
      </w:r>
      <w:r w:rsidR="000C76EC">
        <w:t>OZE</w:t>
      </w:r>
      <w:r>
        <w:t xml:space="preserve"> tak, aby významně nezatěžoval českou ekonomiku a domácnosti</w:t>
      </w:r>
      <w:r w:rsidR="009724DD" w:rsidRPr="0092047B">
        <w:rPr>
          <w:rFonts w:cstheme="minorHAnsi"/>
        </w:rPr>
        <w:t>.</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Nastavení struktury tarifů za přenosové, distribuční a systémové služby (zejména poměr složek plateb na straně spotřeby a výroby) tak, aby vytvářely vhodné lokační signály a nediskriminační prostředí v rámci energetického odvětví a aby zajišťovaly stabilitu a dlouhodobou udržitelnost financování sítí i při větším rozsahu rozšíření malých domovních zdrojů výroby elektřiny.</w:t>
      </w:r>
    </w:p>
    <w:p w:rsidR="009724DD" w:rsidRDefault="009724DD" w:rsidP="00184DC1">
      <w:pPr>
        <w:pStyle w:val="Zkladntext"/>
        <w:numPr>
          <w:ilvl w:val="2"/>
          <w:numId w:val="17"/>
        </w:numPr>
        <w:spacing w:before="120"/>
        <w:ind w:left="993" w:hanging="567"/>
        <w:contextualSpacing/>
        <w:rPr>
          <w:rFonts w:cstheme="minorHAnsi"/>
        </w:rPr>
      </w:pPr>
      <w:r w:rsidRPr="0092047B">
        <w:rPr>
          <w:rFonts w:cstheme="minorHAnsi"/>
        </w:rPr>
        <w:t>Podpora investic a rozvoj přenosových a distribučních sítí (podmínky připojení, dostupnost kapacit sítí pro připojení nových zdrojů i spotřeby jako parametr kvality v motivační regulaci).</w:t>
      </w:r>
    </w:p>
    <w:p w:rsidR="002D6A6C" w:rsidRPr="0092047B" w:rsidRDefault="002D6A6C" w:rsidP="00184DC1">
      <w:pPr>
        <w:pStyle w:val="Zkladntext"/>
        <w:numPr>
          <w:ilvl w:val="2"/>
          <w:numId w:val="17"/>
        </w:numPr>
        <w:spacing w:before="120"/>
        <w:ind w:left="993" w:hanging="567"/>
        <w:contextualSpacing/>
        <w:rPr>
          <w:rFonts w:cstheme="minorHAnsi"/>
        </w:rPr>
      </w:pPr>
      <w:r w:rsidRPr="0092047B">
        <w:rPr>
          <w:rFonts w:cstheme="minorHAnsi"/>
        </w:rPr>
        <w:t>Rozvoj tepelných čerpadel v domácnostech i podnikatelském sektoru a postupný útlum podpory přímotopného užití elektřiny.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Revize tarifů a jejich struktury pro budoucí regulační období ve vazbě na vývoj inteligentních sítí, rozvoj decentralizovaných zdrojů a pasivních domů tak, aby byl udržen nediskriminační a spravedlivý způsob účasti jednotlivých skupin uživatelů sítí na jejich nákladech.</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Revize plynárenských tarifů ve vazbě na možný vývoj v oblasti podpůrných služeb a teplárenství (motivace pro menší investory).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Podpora </w:t>
      </w:r>
      <w:r w:rsidR="00754488">
        <w:rPr>
          <w:rFonts w:cstheme="minorHAnsi"/>
        </w:rPr>
        <w:t>k</w:t>
      </w:r>
      <w:r w:rsidR="00754488" w:rsidRPr="0092047B">
        <w:rPr>
          <w:rFonts w:cstheme="minorHAnsi"/>
        </w:rPr>
        <w:t xml:space="preserve">ombinované </w:t>
      </w:r>
      <w:r w:rsidRPr="0092047B">
        <w:rPr>
          <w:rFonts w:cstheme="minorHAnsi"/>
        </w:rPr>
        <w:t>výroby elektřiny a tepla a druhotných zdrojů v rozsahu, ve kterém přispívají ke stabilitě sítě, odolnosti proti poruchám a efektivnosti využití sítí.</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Revize a doplnění Pravidel provozování přenosové, přepravní a distribučních soustav s cílem nastavení podmínek zajišťujících přednostní přístup podporovaných zdrojů k sítím a současně technické podmínky pro nové zdroje zajišťující omezení negativního zpětného vlivu decentralizovaných zdrojů na kvalitu dodávek elektřiny a spolehlivost provozu sítí.</w:t>
      </w:r>
    </w:p>
    <w:p w:rsidR="00B40D93" w:rsidRPr="00B40D93" w:rsidRDefault="009724DD" w:rsidP="00940EEB">
      <w:pPr>
        <w:pStyle w:val="Zkladntext"/>
        <w:numPr>
          <w:ilvl w:val="2"/>
          <w:numId w:val="17"/>
        </w:numPr>
        <w:spacing w:before="120" w:after="120"/>
        <w:ind w:left="993" w:hanging="567"/>
        <w:rPr>
          <w:rFonts w:cstheme="minorHAnsi"/>
        </w:rPr>
      </w:pPr>
      <w:r w:rsidRPr="0092047B">
        <w:rPr>
          <w:rFonts w:cstheme="minorHAnsi"/>
        </w:rPr>
        <w:t>Regulační rámec musí být dlouhodobě stabilní a regulované ceny musí pokrývat u přenosu elektřiny, přepravy plynu, distribuce elektřiny a distribuce plynu účelně vynaložené náklady na zajištění spolehlivého, bezpečného a efektivního výkonu těchto činností, odpisy a přiměřený zisk zajišťující návratnost realizovaných investic do zařízení sloužících k</w:t>
      </w:r>
      <w:r w:rsidR="00F72F47">
        <w:rPr>
          <w:rFonts w:cstheme="minorHAnsi"/>
        </w:rPr>
        <w:t xml:space="preserve"> řádnému </w:t>
      </w:r>
      <w:r w:rsidRPr="0092047B">
        <w:rPr>
          <w:rFonts w:cstheme="minorHAnsi"/>
        </w:rPr>
        <w:t xml:space="preserve">výkonu </w:t>
      </w:r>
      <w:r w:rsidR="00F72F47">
        <w:rPr>
          <w:rFonts w:cstheme="minorHAnsi"/>
        </w:rPr>
        <w:t>licencované</w:t>
      </w:r>
      <w:r w:rsidR="00F72F47" w:rsidRPr="0092047B">
        <w:rPr>
          <w:rFonts w:cstheme="minorHAnsi"/>
        </w:rPr>
        <w:t xml:space="preserve"> </w:t>
      </w:r>
      <w:r w:rsidRPr="0092047B">
        <w:rPr>
          <w:rFonts w:cstheme="minorHAnsi"/>
        </w:rPr>
        <w:t>činnosti.</w:t>
      </w:r>
    </w:p>
    <w:p w:rsidR="009724DD" w:rsidRPr="0092047B" w:rsidRDefault="009724DD" w:rsidP="00940EEB">
      <w:pPr>
        <w:pStyle w:val="Zkladntext"/>
        <w:spacing w:before="120" w:after="120"/>
        <w:ind w:left="720"/>
        <w:rPr>
          <w:rFonts w:cstheme="minorHAnsi"/>
          <w:u w:val="single"/>
        </w:rPr>
      </w:pPr>
      <w:r w:rsidRPr="0092047B">
        <w:rPr>
          <w:rFonts w:cstheme="minorHAnsi"/>
          <w:u w:val="single"/>
        </w:rPr>
        <w:t>Zajistí:</w:t>
      </w:r>
      <w:r w:rsidRPr="0092047B">
        <w:rPr>
          <w:rFonts w:cstheme="minorHAnsi"/>
        </w:rPr>
        <w:tab/>
      </w:r>
      <w:r w:rsidRPr="0092047B">
        <w:rPr>
          <w:rFonts w:cstheme="minorHAnsi"/>
        </w:rPr>
        <w:tab/>
        <w:t>ERÚ</w:t>
      </w:r>
    </w:p>
    <w:p w:rsidR="009724DD" w:rsidRPr="0092047B" w:rsidRDefault="009724DD" w:rsidP="00184DC1">
      <w:pPr>
        <w:pStyle w:val="Zkladntext"/>
        <w:spacing w:before="120"/>
        <w:ind w:left="720"/>
        <w:rPr>
          <w:rFonts w:cstheme="minorHAnsi"/>
        </w:rPr>
      </w:pPr>
      <w:r w:rsidRPr="0092047B">
        <w:rPr>
          <w:rFonts w:cstheme="minorHAnsi"/>
          <w:u w:val="single"/>
        </w:rPr>
        <w:t>Termín:</w:t>
      </w:r>
      <w:r w:rsidRPr="0092047B">
        <w:rPr>
          <w:rFonts w:cstheme="minorHAnsi"/>
        </w:rPr>
        <w:tab/>
        <w:t xml:space="preserve">31. 12. </w:t>
      </w:r>
      <w:r w:rsidR="00543E99" w:rsidRPr="0092047B">
        <w:rPr>
          <w:rFonts w:cstheme="minorHAnsi"/>
        </w:rPr>
        <w:t>201</w:t>
      </w:r>
      <w:r w:rsidR="00543E99">
        <w:rPr>
          <w:rFonts w:cstheme="minorHAnsi"/>
        </w:rPr>
        <w:t>6</w:t>
      </w:r>
    </w:p>
    <w:p w:rsidR="009724DD" w:rsidRPr="0092047B" w:rsidRDefault="009724DD" w:rsidP="00940EEB">
      <w:pPr>
        <w:pStyle w:val="Zkladntext"/>
        <w:keepNext/>
        <w:pageBreakBefore/>
        <w:numPr>
          <w:ilvl w:val="0"/>
          <w:numId w:val="18"/>
        </w:numPr>
        <w:spacing w:before="240" w:after="120"/>
        <w:ind w:left="709" w:hanging="567"/>
        <w:rPr>
          <w:rFonts w:cstheme="minorHAnsi"/>
          <w:u w:val="single"/>
        </w:rPr>
      </w:pPr>
      <w:r w:rsidRPr="0092047B">
        <w:rPr>
          <w:rFonts w:cstheme="minorHAnsi"/>
          <w:u w:val="single"/>
        </w:rPr>
        <w:t>Regulace v oblasti hnědého uhlí</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Provést analýzu fungování trhu a konkurenčního prostředí v oblasti hnědého uhlí, zejména ve vztahu na dostupnost uhlí na trhu a ekonomickou oprávněnost tvorby cen, analýzu možností a dopadů případných regulačních nástrojů (věcné usměrňování cen, intervenční nákupy apod.). Předložit analýzu vládě ČR spolu s doporučením v této oblasti.</w:t>
      </w:r>
    </w:p>
    <w:p w:rsidR="009724DD" w:rsidRPr="0092047B" w:rsidRDefault="009724DD" w:rsidP="00940EEB">
      <w:pPr>
        <w:pStyle w:val="Zkladntext"/>
        <w:spacing w:before="120" w:after="120"/>
        <w:ind w:left="720" w:hanging="11"/>
        <w:rPr>
          <w:rFonts w:cstheme="minorHAnsi"/>
        </w:rPr>
      </w:pPr>
      <w:r w:rsidRPr="0092047B">
        <w:rPr>
          <w:rFonts w:cstheme="minorHAnsi"/>
          <w:u w:val="single"/>
        </w:rPr>
        <w:t>Zajistí:</w:t>
      </w:r>
      <w:r w:rsidRPr="0092047B">
        <w:rPr>
          <w:rFonts w:cstheme="minorHAnsi"/>
        </w:rPr>
        <w:tab/>
      </w:r>
      <w:r w:rsidRPr="0092047B">
        <w:rPr>
          <w:rFonts w:cstheme="minorHAnsi"/>
        </w:rPr>
        <w:tab/>
        <w:t>ÚOHS, v součinnosti s MPO</w:t>
      </w:r>
      <w:r w:rsidR="0057752E" w:rsidRPr="0092047B">
        <w:rPr>
          <w:rFonts w:cstheme="minorHAnsi"/>
        </w:rPr>
        <w:t>,</w:t>
      </w:r>
      <w:r w:rsidR="0057752E">
        <w:rPr>
          <w:rFonts w:cstheme="minorHAnsi"/>
        </w:rPr>
        <w:t xml:space="preserve"> MF</w:t>
      </w:r>
      <w:r w:rsidR="00FA1C03">
        <w:rPr>
          <w:rFonts w:cstheme="minorHAnsi"/>
        </w:rPr>
        <w:t>,</w:t>
      </w:r>
      <w:r w:rsidRPr="0092047B">
        <w:rPr>
          <w:rFonts w:cstheme="minorHAnsi"/>
        </w:rPr>
        <w:t xml:space="preserve"> ERÚ</w:t>
      </w:r>
    </w:p>
    <w:p w:rsidR="009724DD" w:rsidRPr="0092047B" w:rsidRDefault="009724DD" w:rsidP="00184DC1">
      <w:pPr>
        <w:pStyle w:val="Zkladntext"/>
        <w:spacing w:before="120"/>
        <w:ind w:left="720" w:hanging="11"/>
        <w:rPr>
          <w:rFonts w:cstheme="minorHAnsi"/>
        </w:rPr>
      </w:pPr>
      <w:r w:rsidRPr="0092047B">
        <w:rPr>
          <w:rFonts w:cstheme="minorHAnsi"/>
          <w:u w:val="single"/>
        </w:rPr>
        <w:t>Termín</w:t>
      </w:r>
      <w:r w:rsidRPr="00125933">
        <w:rPr>
          <w:rFonts w:cstheme="minorHAnsi"/>
          <w:u w:val="single"/>
        </w:rPr>
        <w:t>:</w:t>
      </w:r>
      <w:r w:rsidRPr="0092047B">
        <w:rPr>
          <w:rFonts w:cstheme="minorHAnsi"/>
        </w:rPr>
        <w:tab/>
      </w:r>
      <w:r w:rsidR="00D060A6" w:rsidRPr="0092047B">
        <w:rPr>
          <w:rFonts w:cstheme="minorHAnsi"/>
        </w:rPr>
        <w:t>31</w:t>
      </w:r>
      <w:r w:rsidRPr="0092047B">
        <w:rPr>
          <w:rFonts w:cstheme="minorHAnsi"/>
        </w:rPr>
        <w:t xml:space="preserve">. </w:t>
      </w:r>
      <w:r w:rsidR="00D060A6" w:rsidRPr="0092047B">
        <w:rPr>
          <w:rFonts w:cstheme="minorHAnsi"/>
        </w:rPr>
        <w:t>12</w:t>
      </w:r>
      <w:r w:rsidRPr="0092047B">
        <w:rPr>
          <w:rFonts w:cstheme="minorHAnsi"/>
        </w:rPr>
        <w:t>. 2015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Koncepční práce (politiky, analýzy)</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Podpora ustavení stálého multioborového odborného týmu – „think tank“ (ve spolupráci s MŠMT a AV ČR), který se bude zabývat diskusí a vyhodnocováním zpracovaných analýz a statistik trendů vývoje energetiky, a dále formulovat doporučení pro vyhodnocování a aktualizaci Státní energetické koncepce, formulaci energetické politiky a uplatnění nástrojů realizace SEK.</w:t>
      </w:r>
    </w:p>
    <w:p w:rsidR="009724DD" w:rsidRPr="0092047B" w:rsidRDefault="00B92658"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Pr="0092047B">
        <w:rPr>
          <w:rFonts w:cstheme="minorHAnsi"/>
        </w:rPr>
        <w:tab/>
      </w:r>
      <w:r w:rsidR="009724DD" w:rsidRPr="0092047B">
        <w:rPr>
          <w:rFonts w:cstheme="minorHAnsi"/>
        </w:rPr>
        <w:t xml:space="preserve">MPO, MV, MŠMT, MZe, MŽP </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31. 12. 2015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Provádět periodické vyhodnocení naplňování Státní energetické koncepce</w:t>
      </w:r>
    </w:p>
    <w:p w:rsidR="009724DD" w:rsidRPr="0092047B" w:rsidRDefault="009724DD" w:rsidP="00184DC1">
      <w:pPr>
        <w:pStyle w:val="Zkladntext"/>
        <w:numPr>
          <w:ilvl w:val="2"/>
          <w:numId w:val="17"/>
        </w:numPr>
        <w:spacing w:before="120"/>
        <w:ind w:left="992" w:hanging="567"/>
        <w:contextualSpacing/>
        <w:rPr>
          <w:rFonts w:cstheme="minorHAnsi"/>
        </w:rPr>
      </w:pPr>
      <w:r w:rsidRPr="0092047B">
        <w:rPr>
          <w:rFonts w:cstheme="minorHAnsi"/>
        </w:rPr>
        <w:t>Vyhodnocování dopadů nástrojů realizace SEK na podnikatelské prostředí</w:t>
      </w:r>
      <w:r w:rsidR="002B4C4D">
        <w:rPr>
          <w:rFonts w:cstheme="minorHAnsi"/>
        </w:rPr>
        <w:t>, veřejný sektor</w:t>
      </w:r>
      <w:r w:rsidRPr="0092047B">
        <w:rPr>
          <w:rFonts w:cstheme="minorHAnsi"/>
        </w:rPr>
        <w:t xml:space="preserve"> a domácnosti.</w:t>
      </w:r>
    </w:p>
    <w:p w:rsidR="009724DD" w:rsidRPr="0092047B" w:rsidRDefault="009724DD" w:rsidP="00940EEB">
      <w:pPr>
        <w:pStyle w:val="Zkladntext"/>
        <w:numPr>
          <w:ilvl w:val="2"/>
          <w:numId w:val="17"/>
        </w:numPr>
        <w:spacing w:before="120" w:after="120"/>
        <w:ind w:left="992" w:hanging="567"/>
        <w:rPr>
          <w:rFonts w:cstheme="minorHAnsi"/>
        </w:rPr>
      </w:pPr>
      <w:r w:rsidRPr="0092047B">
        <w:rPr>
          <w:rFonts w:cstheme="minorHAnsi"/>
        </w:rPr>
        <w:t>Zpracovat a podat zprávu vládě ČR o vývoji energetiky a naplňování SEK, včetně případného doporučení k aktualizaci nástrojů.</w:t>
      </w:r>
    </w:p>
    <w:p w:rsidR="009724DD" w:rsidRPr="0092047B" w:rsidRDefault="00B92658"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940EEB">
        <w:rPr>
          <w:rFonts w:cstheme="minorHAnsi"/>
        </w:rPr>
        <w:tab/>
      </w:r>
      <w:r w:rsidR="009724DD" w:rsidRPr="0092047B">
        <w:rPr>
          <w:rFonts w:cstheme="minorHAnsi"/>
        </w:rPr>
        <w:t>MPO</w:t>
      </w:r>
    </w:p>
    <w:p w:rsidR="009724DD" w:rsidRPr="0092047B" w:rsidRDefault="009724DD" w:rsidP="00184DC1">
      <w:pPr>
        <w:pStyle w:val="Zkladntext"/>
        <w:spacing w:before="120"/>
        <w:ind w:left="709"/>
        <w:rPr>
          <w:rFonts w:cstheme="minorHAnsi"/>
          <w:u w:val="single"/>
        </w:rPr>
      </w:pPr>
      <w:r w:rsidRPr="0092047B">
        <w:rPr>
          <w:rFonts w:cstheme="minorHAnsi"/>
          <w:u w:val="single"/>
        </w:rPr>
        <w:t>Termín:</w:t>
      </w:r>
      <w:r w:rsidRPr="0092047B">
        <w:rPr>
          <w:rFonts w:cstheme="minorHAnsi"/>
        </w:rPr>
        <w:tab/>
        <w:t>nejpozději do 31. 12. 2019</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Každoročně zpracovávat a zveřejňovat zprávu o vývoji energetiky (elektřina, plyn, ropa, teplo)</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Popis charakteristiky vývoje, hlavní trendy a jejich změny v uplynulém období a očekávaný vývoj hlavních charakteristik (výroba, dodávky, spotřeba, zahraniční obchod, bezpečnost dodávek, ceny) na nejméně 15 let dopředu.</w:t>
      </w:r>
    </w:p>
    <w:p w:rsidR="009724DD" w:rsidRPr="0092047B" w:rsidRDefault="00B92658"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každoročně do 30. 10. (v návaznosti na aktualizaci SEK)</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Aktualizace PÚR</w:t>
      </w:r>
      <w:r w:rsidR="00455514">
        <w:rPr>
          <w:rFonts w:cstheme="minorHAnsi"/>
          <w:u w:val="single"/>
        </w:rPr>
        <w:t xml:space="preserve"> a</w:t>
      </w:r>
      <w:r w:rsidR="0057752E">
        <w:rPr>
          <w:rFonts w:cstheme="minorHAnsi"/>
          <w:u w:val="single"/>
        </w:rPr>
        <w:t xml:space="preserve"> následně</w:t>
      </w:r>
      <w:r w:rsidR="00C13560">
        <w:rPr>
          <w:rFonts w:cstheme="minorHAnsi"/>
          <w:u w:val="single"/>
        </w:rPr>
        <w:t xml:space="preserve"> </w:t>
      </w:r>
      <w:r w:rsidR="00455514">
        <w:rPr>
          <w:rFonts w:cstheme="minorHAnsi"/>
          <w:u w:val="single"/>
        </w:rPr>
        <w:t>ÚPD</w:t>
      </w:r>
      <w:r w:rsidRPr="0092047B">
        <w:rPr>
          <w:rFonts w:cstheme="minorHAnsi"/>
          <w:u w:val="single"/>
        </w:rPr>
        <w:t xml:space="preserve"> ve vazbě na SEK a zpracované analýzy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Po projednání vyžadovaném zákonem </w:t>
      </w:r>
      <w:r w:rsidR="0001442D" w:rsidRPr="0092047B">
        <w:rPr>
          <w:rFonts w:cstheme="minorHAnsi"/>
        </w:rPr>
        <w:t xml:space="preserve">a zúžení počtu variant umístění </w:t>
      </w:r>
      <w:r w:rsidRPr="0092047B">
        <w:rPr>
          <w:rFonts w:cstheme="minorHAnsi"/>
        </w:rPr>
        <w:t>zahrnutí nových lokalit JE, lokalit pro úložiště vyhořelého jaderného paliva</w:t>
      </w:r>
      <w:r w:rsidR="00860558">
        <w:rPr>
          <w:rFonts w:cstheme="minorHAnsi"/>
        </w:rPr>
        <w:t>.</w:t>
      </w:r>
    </w:p>
    <w:p w:rsidR="009724DD" w:rsidRPr="0092047B" w:rsidRDefault="009724DD" w:rsidP="00940EEB">
      <w:pPr>
        <w:pStyle w:val="Zkladntext"/>
        <w:keepNext/>
        <w:numPr>
          <w:ilvl w:val="2"/>
          <w:numId w:val="17"/>
        </w:numPr>
        <w:spacing w:before="120" w:after="120"/>
        <w:ind w:left="993" w:hanging="567"/>
        <w:rPr>
          <w:rFonts w:cstheme="minorHAnsi"/>
        </w:rPr>
      </w:pPr>
      <w:r w:rsidRPr="0092047B">
        <w:rPr>
          <w:rFonts w:cstheme="minorHAnsi"/>
        </w:rPr>
        <w:t>Po projednání vyžadovaném zákonem zahrnutí nových koridorů pro přenosové a přepravní sítě, umístění dálkových horkovodů a rozvoj/transformaci</w:t>
      </w:r>
      <w:r w:rsidRPr="0092047B" w:rsidDel="00E008E1">
        <w:rPr>
          <w:rFonts w:cstheme="minorHAnsi"/>
        </w:rPr>
        <w:t xml:space="preserve"> </w:t>
      </w:r>
      <w:r w:rsidRPr="0092047B">
        <w:rPr>
          <w:rFonts w:cstheme="minorHAnsi"/>
        </w:rPr>
        <w:t xml:space="preserve">i </w:t>
      </w:r>
      <w:r w:rsidRPr="0092047B">
        <w:rPr>
          <w:rFonts w:ascii="Calibri" w:eastAsia="Calibri" w:hAnsi="Calibri"/>
          <w:color w:val="000000" w:themeColor="text1"/>
        </w:rPr>
        <w:t>soustav zásobování teplem</w:t>
      </w:r>
      <w:r w:rsidRPr="0092047B">
        <w:rPr>
          <w:rFonts w:cstheme="minorHAnsi"/>
        </w:rPr>
        <w:t>.</w:t>
      </w:r>
    </w:p>
    <w:p w:rsidR="009724DD" w:rsidRPr="0092047B" w:rsidRDefault="00B92658" w:rsidP="00940EEB">
      <w:pPr>
        <w:pStyle w:val="Zkladntext"/>
        <w:keepN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Pr="0092047B">
        <w:rPr>
          <w:rFonts w:cstheme="minorHAnsi"/>
        </w:rPr>
        <w:tab/>
      </w:r>
      <w:r w:rsidR="009724DD" w:rsidRPr="0092047B">
        <w:rPr>
          <w:rFonts w:cstheme="minorHAnsi"/>
        </w:rPr>
        <w:t>MMR, v součinnosti s</w:t>
      </w:r>
      <w:r w:rsidR="00893936">
        <w:rPr>
          <w:rFonts w:cstheme="minorHAnsi"/>
        </w:rPr>
        <w:t> </w:t>
      </w:r>
      <w:r w:rsidR="009724DD" w:rsidRPr="0092047B">
        <w:rPr>
          <w:rFonts w:cstheme="minorHAnsi"/>
        </w:rPr>
        <w:t>MPO</w:t>
      </w:r>
      <w:r w:rsidR="00893936">
        <w:rPr>
          <w:rFonts w:cstheme="minorHAnsi"/>
        </w:rPr>
        <w:t xml:space="preserve"> </w:t>
      </w:r>
      <w:r w:rsidR="00893936" w:rsidRPr="00AB1467">
        <w:rPr>
          <w:rFonts w:ascii="Times New Roman" w:hAnsi="Times New Roman"/>
        </w:rPr>
        <w:t>a s dotčenými kraji a obcemi</w:t>
      </w:r>
    </w:p>
    <w:p w:rsidR="009724DD" w:rsidRPr="0092047B" w:rsidRDefault="009724DD" w:rsidP="00644D66">
      <w:pPr>
        <w:pStyle w:val="Zkladntext"/>
        <w:spacing w:before="120"/>
        <w:ind w:left="2124" w:hanging="1415"/>
        <w:rPr>
          <w:rFonts w:cstheme="minorHAnsi"/>
        </w:rPr>
      </w:pPr>
      <w:r w:rsidRPr="0092047B">
        <w:rPr>
          <w:rFonts w:cstheme="minorHAnsi"/>
          <w:u w:val="single"/>
        </w:rPr>
        <w:t>Termín:</w:t>
      </w:r>
      <w:r w:rsidRPr="0092047B">
        <w:rPr>
          <w:rFonts w:cstheme="minorHAnsi"/>
        </w:rPr>
        <w:tab/>
      </w:r>
      <w:r w:rsidR="0057752E">
        <w:rPr>
          <w:rFonts w:cstheme="minorHAnsi"/>
        </w:rPr>
        <w:t xml:space="preserve">PÚR </w:t>
      </w:r>
      <w:r w:rsidRPr="0092047B">
        <w:rPr>
          <w:rFonts w:cstheme="minorHAnsi"/>
        </w:rPr>
        <w:t xml:space="preserve">do </w:t>
      </w:r>
      <w:r w:rsidR="0001442D" w:rsidRPr="0092047B">
        <w:rPr>
          <w:rFonts w:cstheme="minorHAnsi"/>
        </w:rPr>
        <w:t>2 let od rozhodnutí o výběru lokalit</w:t>
      </w:r>
      <w:r w:rsidR="0057752E">
        <w:rPr>
          <w:rFonts w:cstheme="minorHAnsi"/>
        </w:rPr>
        <w:t xml:space="preserve"> a ÚPD </w:t>
      </w:r>
      <w:r w:rsidR="00644D66">
        <w:rPr>
          <w:rFonts w:cstheme="minorHAnsi"/>
        </w:rPr>
        <w:t>krajů, resp. ZÚR následně do 3</w:t>
      </w:r>
      <w:r w:rsidR="0057752E">
        <w:rPr>
          <w:rFonts w:cstheme="minorHAnsi"/>
        </w:rPr>
        <w:t xml:space="preserve"> let</w:t>
      </w:r>
      <w:r w:rsidR="00644D66">
        <w:rPr>
          <w:rFonts w:cstheme="minorHAnsi"/>
        </w:rPr>
        <w:t>.</w:t>
      </w:r>
    </w:p>
    <w:p w:rsidR="009724DD" w:rsidRPr="0092047B" w:rsidRDefault="009724DD" w:rsidP="00940EEB">
      <w:pPr>
        <w:pStyle w:val="Zkladntext"/>
        <w:keepNext/>
        <w:numPr>
          <w:ilvl w:val="0"/>
          <w:numId w:val="18"/>
        </w:numPr>
        <w:spacing w:before="240" w:after="120"/>
        <w:ind w:left="709" w:hanging="567"/>
        <w:rPr>
          <w:rFonts w:cstheme="minorHAnsi"/>
          <w:u w:val="single"/>
        </w:rPr>
      </w:pPr>
      <w:r w:rsidRPr="0092047B">
        <w:rPr>
          <w:rFonts w:cstheme="minorHAnsi"/>
          <w:u w:val="single"/>
        </w:rPr>
        <w:t>Zaj</w:t>
      </w:r>
      <w:r w:rsidR="00EC02A6">
        <w:rPr>
          <w:rFonts w:cstheme="minorHAnsi"/>
          <w:u w:val="single"/>
        </w:rPr>
        <w:t xml:space="preserve">istit provázanost tvorby SEK a </w:t>
      </w:r>
      <w:r w:rsidR="0057752E">
        <w:rPr>
          <w:rFonts w:cstheme="minorHAnsi"/>
          <w:u w:val="single"/>
        </w:rPr>
        <w:t>Ú</w:t>
      </w:r>
      <w:r w:rsidR="0057752E" w:rsidRPr="0092047B">
        <w:rPr>
          <w:rFonts w:cstheme="minorHAnsi"/>
          <w:u w:val="single"/>
        </w:rPr>
        <w:t xml:space="preserve">zemních </w:t>
      </w:r>
      <w:r w:rsidRPr="0092047B">
        <w:rPr>
          <w:rFonts w:cstheme="minorHAnsi"/>
          <w:u w:val="single"/>
        </w:rPr>
        <w:t>energetických koncepcí</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Vypracovat metodická pravidla pro ÚEK, zadání SEK pro ÚEK jednotlivých krajů.</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Vypracovat a nastavit postup MPO a zpracovatelů při harmonizaci koncepcí (zaměření na energetickou odolnost, teplárenství, autorizace na výstavbu atd.).</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t xml:space="preserve"> </w:t>
      </w:r>
      <w:r w:rsidRPr="0092047B">
        <w:rPr>
          <w:rFonts w:cstheme="minorHAnsi"/>
        </w:rPr>
        <w:tab/>
      </w:r>
      <w:r w:rsidR="009724DD" w:rsidRPr="0092047B">
        <w:rPr>
          <w:rFonts w:cstheme="minorHAnsi"/>
        </w:rPr>
        <w:t>MPO</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 xml:space="preserve">do 31. 12. </w:t>
      </w:r>
      <w:r w:rsidR="00F022F3" w:rsidRPr="0092047B">
        <w:rPr>
          <w:rFonts w:cstheme="minorHAnsi"/>
        </w:rPr>
        <w:t>201</w:t>
      </w:r>
      <w:r w:rsidR="001E7F95">
        <w:rPr>
          <w:rFonts w:cstheme="minorHAnsi"/>
        </w:rPr>
        <w:t>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Zajistit aktualizaci ÚEK ve vazbě na SEK a soulad zpracovaných ÚEK a SEK a zajistit jejich provázanost v součinnosti se zpracovateli</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Pr="0092047B">
        <w:rPr>
          <w:rFonts w:cstheme="minorHAnsi"/>
        </w:rPr>
        <w:tab/>
      </w:r>
      <w:r w:rsidR="009724DD" w:rsidRPr="0092047B">
        <w:rPr>
          <w:rFonts w:cstheme="minorHAnsi"/>
        </w:rPr>
        <w:t xml:space="preserve">MPO </w:t>
      </w:r>
    </w:p>
    <w:p w:rsidR="009724DD" w:rsidRPr="0092047B" w:rsidRDefault="009724DD" w:rsidP="00184DC1">
      <w:pPr>
        <w:pStyle w:val="Zkladntext"/>
        <w:spacing w:before="120"/>
        <w:ind w:left="709"/>
        <w:rPr>
          <w:u w:val="single"/>
        </w:rPr>
      </w:pPr>
      <w:r w:rsidRPr="0092047B">
        <w:rPr>
          <w:rFonts w:cstheme="minorHAnsi"/>
          <w:u w:val="single"/>
        </w:rPr>
        <w:t>Termín:</w:t>
      </w:r>
      <w:r w:rsidRPr="0092047B">
        <w:rPr>
          <w:rFonts w:cstheme="minorHAnsi"/>
        </w:rPr>
        <w:tab/>
        <w:t>do 31. 12. 201</w:t>
      </w:r>
      <w:r w:rsidR="00F022F3" w:rsidRPr="0092047B">
        <w:rPr>
          <w:rFonts w:cstheme="minorHAnsi"/>
        </w:rPr>
        <w:t>9</w:t>
      </w:r>
      <w:r w:rsidR="00B7562F" w:rsidRPr="0092047B">
        <w:rPr>
          <w:rFonts w:cstheme="minorHAnsi"/>
        </w:rPr>
        <w:t xml:space="preserve"> a pak nejpozději do 2 let po případné aktualizaci</w:t>
      </w:r>
      <w:r w:rsidR="002D6612">
        <w:rPr>
          <w:rFonts w:cstheme="minorHAnsi"/>
        </w:rPr>
        <w:t xml:space="preserve"> SEK</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Aktualizace desetiletých plánů rozvoje přenosové a přepravní soustavy</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Zajištění jejich souladu se záměry Státní energetické koncepce a surovinové politiky a to včetně zařazení investic realizovaných za účelem zajištění bezpečnosti dodávek elektřiny a plynu.</w:t>
      </w:r>
    </w:p>
    <w:p w:rsidR="009724DD" w:rsidRPr="0092047B" w:rsidRDefault="00701C03" w:rsidP="00940EEB">
      <w:pPr>
        <w:pStyle w:val="Zkladntext"/>
        <w:spacing w:before="120" w:after="120"/>
        <w:ind w:left="709"/>
        <w:rPr>
          <w:rFonts w:cstheme="minorHAnsi"/>
          <w:u w:val="single"/>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Pr="0092047B">
        <w:rPr>
          <w:rFonts w:cstheme="minorHAnsi"/>
        </w:rPr>
        <w:tab/>
      </w:r>
      <w:r w:rsidR="009724DD" w:rsidRPr="0092047B">
        <w:rPr>
          <w:rFonts w:cstheme="minorHAnsi"/>
        </w:rPr>
        <w:t>ERÚ,</w:t>
      </w:r>
      <w:r w:rsidR="00A118DF">
        <w:rPr>
          <w:rFonts w:cstheme="minorHAnsi"/>
        </w:rPr>
        <w:t xml:space="preserve"> </w:t>
      </w:r>
      <w:r w:rsidR="009724DD" w:rsidRPr="0092047B">
        <w:rPr>
          <w:rFonts w:cstheme="minorHAnsi"/>
        </w:rPr>
        <w:t>MPO</w:t>
      </w:r>
    </w:p>
    <w:p w:rsidR="009724DD" w:rsidRPr="0092047B" w:rsidRDefault="009724DD" w:rsidP="00184DC1">
      <w:pPr>
        <w:pStyle w:val="Zkladntext"/>
        <w:spacing w:before="120"/>
        <w:ind w:left="709"/>
      </w:pPr>
      <w:r w:rsidRPr="0092047B">
        <w:rPr>
          <w:rFonts w:cstheme="minorHAnsi"/>
          <w:u w:val="single"/>
        </w:rPr>
        <w:t>Termín:</w:t>
      </w:r>
      <w:r w:rsidRPr="0092047B">
        <w:rPr>
          <w:rFonts w:cstheme="minorHAnsi"/>
        </w:rPr>
        <w:tab/>
        <w:t>každoročně</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Zpracovat koncepci zásobování ropou a ropnými produkty (doprava, zpracovací kapacity, distribuce ropných produktů, organizační a vlastnická struktura společností v ropném sektoru) v návaznosti na SEK a předložit vládě ČR ke schválení</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 v součinnosti se SSHR</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do 31. 12. 201</w:t>
      </w:r>
      <w:r w:rsidR="00B7562F" w:rsidRPr="0092047B">
        <w:rPr>
          <w:rFonts w:cstheme="minorHAnsi"/>
        </w:rPr>
        <w:t>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Zpracovat vyhledávací studii lokalit pro další rozvoj jaderných elektráren po roce 2040</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125933">
        <w:rPr>
          <w:rFonts w:cstheme="minorHAnsi"/>
        </w:rPr>
        <w:tab/>
      </w:r>
      <w:r w:rsidR="009724DD" w:rsidRPr="0092047B">
        <w:rPr>
          <w:rFonts w:cstheme="minorHAnsi"/>
        </w:rPr>
        <w:tab/>
        <w:t>MPO, v součinnosti s MŽP a MMR</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do 31. 12. 2016</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Zpracovat v návaznosti na schválenou SEK a Surovinovou politiku ČR Aktualizaci koncepce nakládání s RAO a předložit vládě ke schválení</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SÚRAO, MPO, v součinnosti s</w:t>
      </w:r>
      <w:r w:rsidR="001210CE">
        <w:rPr>
          <w:rFonts w:cstheme="minorHAnsi"/>
        </w:rPr>
        <w:t>e</w:t>
      </w:r>
      <w:r w:rsidR="009724DD" w:rsidRPr="0092047B">
        <w:rPr>
          <w:rFonts w:cstheme="minorHAnsi"/>
        </w:rPr>
        <w:t xml:space="preserve"> SÚJB</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do 31. 12. 2015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Provést výběr lokality pro konečné úložiště VJP, předložit vládě k rozhodnutí</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125933">
        <w:rPr>
          <w:rFonts w:cstheme="minorHAnsi"/>
        </w:rPr>
        <w:tab/>
      </w:r>
      <w:r w:rsidR="009724DD" w:rsidRPr="0092047B">
        <w:rPr>
          <w:rFonts w:cstheme="minorHAnsi"/>
        </w:rPr>
        <w:t>SÚRAO, MPO, v součinnosti s</w:t>
      </w:r>
      <w:r w:rsidR="001210CE">
        <w:rPr>
          <w:rFonts w:cstheme="minorHAnsi"/>
        </w:rPr>
        <w:t>e</w:t>
      </w:r>
      <w:r w:rsidR="009724DD" w:rsidRPr="0092047B">
        <w:rPr>
          <w:rFonts w:cstheme="minorHAnsi"/>
        </w:rPr>
        <w:t> SÚJB</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2025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 xml:space="preserve">Aktualizovat jednou za dva roky Národní akční plán </w:t>
      </w:r>
      <w:r w:rsidR="008F57E4">
        <w:rPr>
          <w:rFonts w:cstheme="minorHAnsi"/>
          <w:u w:val="single"/>
        </w:rPr>
        <w:t xml:space="preserve">ČR </w:t>
      </w:r>
      <w:r w:rsidR="00D03117">
        <w:rPr>
          <w:rFonts w:cstheme="minorHAnsi"/>
          <w:u w:val="single"/>
        </w:rPr>
        <w:t>pro energii z OZE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Analýza skutečného vývoje OZE, plnění záměrů SEK.</w:t>
      </w:r>
    </w:p>
    <w:p w:rsidR="009724DD" w:rsidRDefault="009724DD" w:rsidP="00184DC1">
      <w:pPr>
        <w:pStyle w:val="Zkladntext"/>
        <w:keepNext/>
        <w:numPr>
          <w:ilvl w:val="2"/>
          <w:numId w:val="17"/>
        </w:numPr>
        <w:spacing w:before="120"/>
        <w:ind w:left="993" w:hanging="567"/>
        <w:contextualSpacing/>
        <w:rPr>
          <w:rFonts w:cstheme="minorHAnsi"/>
        </w:rPr>
      </w:pPr>
      <w:r w:rsidRPr="0092047B">
        <w:rPr>
          <w:rFonts w:cstheme="minorHAnsi"/>
        </w:rPr>
        <w:t>Vyhodnocení ekonomických dopadů</w:t>
      </w:r>
      <w:r w:rsidR="008D2F03">
        <w:rPr>
          <w:rFonts w:cstheme="minorHAnsi"/>
        </w:rPr>
        <w:t xml:space="preserve"> v rámci samostatného materiálu</w:t>
      </w:r>
      <w:r w:rsidRPr="0092047B">
        <w:rPr>
          <w:rFonts w:cstheme="minorHAnsi"/>
        </w:rPr>
        <w:t>.</w:t>
      </w:r>
    </w:p>
    <w:p w:rsidR="006D2655" w:rsidRPr="0092047B" w:rsidRDefault="006D2655" w:rsidP="00940EEB">
      <w:pPr>
        <w:pStyle w:val="Zkladntext"/>
        <w:keepNext/>
        <w:numPr>
          <w:ilvl w:val="2"/>
          <w:numId w:val="17"/>
        </w:numPr>
        <w:spacing w:before="120" w:after="120"/>
        <w:ind w:left="993" w:hanging="567"/>
        <w:rPr>
          <w:rFonts w:cstheme="minorHAnsi"/>
        </w:rPr>
      </w:pPr>
      <w:r>
        <w:rPr>
          <w:rFonts w:cstheme="minorHAnsi"/>
        </w:rPr>
        <w:t>Aktualizace a prodloužení do roku 2030 nejpozději v roce 2016.</w:t>
      </w:r>
    </w:p>
    <w:p w:rsidR="009724DD" w:rsidRPr="0092047B" w:rsidRDefault="00701C03" w:rsidP="00940EEB">
      <w:pPr>
        <w:pStyle w:val="Zkladntext"/>
        <w:keepN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125933">
        <w:rPr>
          <w:rFonts w:cstheme="minorHAnsi"/>
        </w:rPr>
        <w:tab/>
      </w:r>
      <w:r w:rsidR="009724DD" w:rsidRPr="0092047B">
        <w:rPr>
          <w:rFonts w:cstheme="minorHAnsi"/>
        </w:rPr>
        <w:tab/>
        <w:t>MPO</w:t>
      </w:r>
    </w:p>
    <w:p w:rsidR="009724DD" w:rsidRPr="0092047B" w:rsidRDefault="009724DD" w:rsidP="00940EEB">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2014 a každé další dva roky</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 xml:space="preserve">Zpracovat </w:t>
      </w:r>
      <w:r w:rsidR="002B4C4D">
        <w:rPr>
          <w:rFonts w:cstheme="minorHAnsi"/>
          <w:u w:val="single"/>
        </w:rPr>
        <w:t>N</w:t>
      </w:r>
      <w:r w:rsidRPr="0092047B">
        <w:rPr>
          <w:rFonts w:cstheme="minorHAnsi"/>
          <w:u w:val="single"/>
        </w:rPr>
        <w:t>árodní akční plán implementace inteligentních sítí</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Analýza dopadů, specifikace nástrojů, časového harmonogramu a zajištění řízení programu a předlož</w:t>
      </w:r>
      <w:r w:rsidR="002D6612">
        <w:rPr>
          <w:rFonts w:cstheme="minorHAnsi"/>
        </w:rPr>
        <w:t>ení</w:t>
      </w:r>
      <w:r w:rsidRPr="0092047B">
        <w:rPr>
          <w:rFonts w:cstheme="minorHAnsi"/>
        </w:rPr>
        <w:t xml:space="preserve"> vládě ke schválení.</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125933">
        <w:rPr>
          <w:rFonts w:cstheme="minorHAnsi"/>
        </w:rPr>
        <w:tab/>
      </w:r>
      <w:r w:rsidR="009724DD" w:rsidRPr="0092047B">
        <w:rPr>
          <w:rFonts w:cstheme="minorHAnsi"/>
        </w:rPr>
        <w:t>MPO</w:t>
      </w:r>
    </w:p>
    <w:p w:rsidR="009724DD" w:rsidRPr="0092047B" w:rsidRDefault="009724DD" w:rsidP="00940EEB">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2014</w:t>
      </w:r>
      <w:r w:rsidR="00D060A6" w:rsidRPr="0092047B">
        <w:rPr>
          <w:rFonts w:cstheme="minorHAnsi"/>
        </w:rPr>
        <w:t>, následně aktualizovat každé tři roky</w:t>
      </w:r>
    </w:p>
    <w:p w:rsidR="009724DD" w:rsidRPr="0092047B" w:rsidRDefault="002B4C4D" w:rsidP="00940EEB">
      <w:pPr>
        <w:pStyle w:val="Zkladntext"/>
        <w:numPr>
          <w:ilvl w:val="0"/>
          <w:numId w:val="18"/>
        </w:numPr>
        <w:spacing w:before="240" w:after="120"/>
        <w:ind w:left="709" w:hanging="567"/>
        <w:rPr>
          <w:rFonts w:cstheme="minorHAnsi"/>
          <w:u w:val="single"/>
        </w:rPr>
      </w:pPr>
      <w:r>
        <w:rPr>
          <w:rFonts w:cstheme="minorHAnsi"/>
          <w:u w:val="single"/>
        </w:rPr>
        <w:t>Zpracovat N</w:t>
      </w:r>
      <w:r w:rsidR="009724DD" w:rsidRPr="0092047B">
        <w:rPr>
          <w:rFonts w:cstheme="minorHAnsi"/>
          <w:u w:val="single"/>
        </w:rPr>
        <w:t>árodní akční plán energetických úspor do roku 2020</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Analýza dopadů, specifikace nástrojů, časového harmonogramu a zajištění řízení programu a předlož</w:t>
      </w:r>
      <w:r w:rsidR="002D6612">
        <w:rPr>
          <w:rFonts w:cstheme="minorHAnsi"/>
        </w:rPr>
        <w:t>ení</w:t>
      </w:r>
      <w:r w:rsidRPr="0092047B">
        <w:rPr>
          <w:rFonts w:cstheme="minorHAnsi"/>
        </w:rPr>
        <w:t xml:space="preserve"> vládě ke schválení v návaznosti na NEEAP, definice konkrétních cílů a specifických programů obecně vycházejících z hlavních cílů pro tuto oblast uvedených v SEK.</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 v součinnosti s MŽP</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w:t>
      </w:r>
      <w:r w:rsidR="00B7562F" w:rsidRPr="0092047B">
        <w:rPr>
          <w:rFonts w:cstheme="minorHAnsi"/>
        </w:rPr>
        <w:t>1</w:t>
      </w:r>
      <w:r w:rsidRPr="0092047B">
        <w:rPr>
          <w:rFonts w:cstheme="minorHAnsi"/>
        </w:rPr>
        <w:t xml:space="preserve">. </w:t>
      </w:r>
      <w:r w:rsidR="00B7562F" w:rsidRPr="0092047B">
        <w:rPr>
          <w:rFonts w:cstheme="minorHAnsi"/>
        </w:rPr>
        <w:t>12</w:t>
      </w:r>
      <w:r w:rsidRPr="0092047B">
        <w:rPr>
          <w:rFonts w:cstheme="minorHAnsi"/>
        </w:rPr>
        <w:t>. 2014</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Zpracovat Národní akční plán čisté mobility (plyn, elektřina)</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Analýza dopadů, specifikace nástrojů, časového harmonogramu a zajištění řízení programu a předlož</w:t>
      </w:r>
      <w:r w:rsidR="002D6612">
        <w:rPr>
          <w:rFonts w:cstheme="minorHAnsi"/>
        </w:rPr>
        <w:t>ení</w:t>
      </w:r>
      <w:r w:rsidRPr="0092047B">
        <w:rPr>
          <w:rFonts w:cstheme="minorHAnsi"/>
        </w:rPr>
        <w:t xml:space="preserve"> vládě ke schválení.</w:t>
      </w:r>
    </w:p>
    <w:p w:rsidR="009724DD" w:rsidRPr="0092047B" w:rsidRDefault="00701C03" w:rsidP="00940EEB">
      <w:pPr>
        <w:pStyle w:val="Zkladntext"/>
        <w:spacing w:before="120" w:after="120"/>
        <w:ind w:left="709" w:hanging="3"/>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 v součinnosti s MD a MŽP a dalšími zainteresovanými subjekty</w:t>
      </w:r>
    </w:p>
    <w:p w:rsidR="009724DD" w:rsidRPr="0092047B" w:rsidRDefault="009724DD" w:rsidP="00184DC1">
      <w:pPr>
        <w:pStyle w:val="Zkladntext"/>
        <w:spacing w:before="120"/>
        <w:ind w:left="709" w:hanging="3"/>
        <w:rPr>
          <w:rFonts w:cstheme="minorHAnsi"/>
          <w:u w:val="single"/>
        </w:rPr>
      </w:pPr>
      <w:r w:rsidRPr="0092047B">
        <w:rPr>
          <w:rFonts w:cstheme="minorHAnsi"/>
          <w:u w:val="single"/>
        </w:rPr>
        <w:t>Termín:</w:t>
      </w:r>
      <w:r w:rsidRPr="0092047B">
        <w:rPr>
          <w:rFonts w:cstheme="minorHAnsi"/>
        </w:rPr>
        <w:t xml:space="preserve"> </w:t>
      </w:r>
      <w:r w:rsidRPr="0092047B">
        <w:rPr>
          <w:rFonts w:cstheme="minorHAnsi"/>
        </w:rPr>
        <w:tab/>
        <w:t>do 31. 12. 2015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Podpořit výzkum a vývoj v oblasti čisté mobility</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Připravit koordinovanou strategii na podporu výzkumu a vývoje v této oblasti.</w:t>
      </w:r>
    </w:p>
    <w:p w:rsidR="009724DD" w:rsidRPr="0092047B" w:rsidRDefault="00701C03" w:rsidP="00940EEB">
      <w:pPr>
        <w:pStyle w:val="Zkladntext"/>
        <w:spacing w:before="120" w:after="120"/>
        <w:ind w:left="2127" w:hanging="1418"/>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t>MPO</w:t>
      </w:r>
      <w:r w:rsidR="0079309F">
        <w:rPr>
          <w:rFonts w:cstheme="minorHAnsi"/>
        </w:rPr>
        <w:t>,</w:t>
      </w:r>
      <w:r w:rsidR="009724DD" w:rsidRPr="0092047B">
        <w:rPr>
          <w:rFonts w:cstheme="minorHAnsi"/>
        </w:rPr>
        <w:t xml:space="preserve"> MŠMT, v součinnosti s</w:t>
      </w:r>
      <w:r w:rsidR="0057752E">
        <w:rPr>
          <w:rFonts w:cstheme="minorHAnsi"/>
        </w:rPr>
        <w:t> </w:t>
      </w:r>
      <w:r w:rsidR="009724DD" w:rsidRPr="0092047B">
        <w:rPr>
          <w:rFonts w:cstheme="minorHAnsi"/>
        </w:rPr>
        <w:t>MD</w:t>
      </w:r>
      <w:r w:rsidR="0057752E">
        <w:rPr>
          <w:rFonts w:cstheme="minorHAnsi"/>
        </w:rPr>
        <w:t>,</w:t>
      </w:r>
      <w:r w:rsidR="009724DD" w:rsidRPr="0092047B">
        <w:rPr>
          <w:rFonts w:cstheme="minorHAnsi"/>
        </w:rPr>
        <w:t xml:space="preserve"> MŽP</w:t>
      </w:r>
      <w:r w:rsidR="0057752E">
        <w:rPr>
          <w:rFonts w:cstheme="minorHAnsi"/>
        </w:rPr>
        <w:t>, TA ČR</w:t>
      </w:r>
      <w:r w:rsidR="009724DD" w:rsidRPr="0092047B">
        <w:rPr>
          <w:rFonts w:cstheme="minorHAnsi"/>
        </w:rPr>
        <w:t xml:space="preserve"> a dalšími zainteresovanými subjekty</w:t>
      </w:r>
    </w:p>
    <w:p w:rsidR="009724DD" w:rsidRPr="0092047B" w:rsidRDefault="009724DD" w:rsidP="00184DC1">
      <w:pPr>
        <w:pStyle w:val="Zkladntext"/>
        <w:spacing w:before="120"/>
        <w:ind w:left="2127" w:hanging="1418"/>
        <w:rPr>
          <w:rFonts w:cstheme="minorHAnsi"/>
        </w:rPr>
      </w:pPr>
      <w:r w:rsidRPr="0092047B">
        <w:rPr>
          <w:rFonts w:cstheme="minorHAnsi"/>
          <w:u w:val="single"/>
        </w:rPr>
        <w:t>Termín:</w:t>
      </w:r>
      <w:r w:rsidRPr="0092047B">
        <w:rPr>
          <w:rFonts w:cstheme="minorHAnsi"/>
        </w:rPr>
        <w:tab/>
        <w:t>průběžně (návazně na zpracování Národního akčního plánu čisté mobility)</w:t>
      </w:r>
    </w:p>
    <w:p w:rsidR="009724DD" w:rsidRPr="0092047B" w:rsidRDefault="009724DD" w:rsidP="00940EEB">
      <w:pPr>
        <w:pStyle w:val="Zkladntext"/>
        <w:keepLines/>
        <w:numPr>
          <w:ilvl w:val="0"/>
          <w:numId w:val="18"/>
        </w:numPr>
        <w:spacing w:before="240" w:after="120"/>
        <w:ind w:left="709" w:hanging="567"/>
        <w:rPr>
          <w:rFonts w:cstheme="minorHAnsi"/>
          <w:u w:val="single"/>
        </w:rPr>
      </w:pPr>
      <w:r w:rsidRPr="0092047B">
        <w:rPr>
          <w:rFonts w:cstheme="minorHAnsi"/>
          <w:u w:val="single"/>
        </w:rPr>
        <w:t>Posílit a zkvalitnit analytické a koncepční kapacity MPO a užší spolupráci s OTE při provádění analýz</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do 31. 12. 2014</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 xml:space="preserve">Zpracovat Národní program energetické odolnosti </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Analýza dopadů, specifikace nástrojů, časového harmonogramu a zajištění řízení programu a předlož</w:t>
      </w:r>
      <w:r w:rsidR="002D6612">
        <w:rPr>
          <w:rFonts w:cstheme="minorHAnsi"/>
        </w:rPr>
        <w:t>ení</w:t>
      </w:r>
      <w:r w:rsidRPr="0092047B">
        <w:rPr>
          <w:rFonts w:cstheme="minorHAnsi"/>
        </w:rPr>
        <w:t xml:space="preserve"> vládě ke schválení.</w:t>
      </w:r>
    </w:p>
    <w:p w:rsidR="009724DD" w:rsidRPr="0092047B" w:rsidRDefault="009724DD" w:rsidP="00125933">
      <w:pPr>
        <w:pStyle w:val="Zkladntext"/>
        <w:keepNext/>
        <w:numPr>
          <w:ilvl w:val="2"/>
          <w:numId w:val="17"/>
        </w:numPr>
        <w:spacing w:before="120" w:after="120"/>
        <w:ind w:left="992" w:hanging="567"/>
        <w:rPr>
          <w:rFonts w:cstheme="minorHAnsi"/>
        </w:rPr>
      </w:pPr>
      <w:r w:rsidRPr="0092047B">
        <w:rPr>
          <w:rFonts w:cstheme="minorHAnsi"/>
        </w:rPr>
        <w:t>Zaměření programu na energetickou odolnost a schopnost ostrovních provozů velkých aglomerací, ochranu kritické infrastruktury, obranu před kybernetickými útoky na klíčové systémy energetiky.</w:t>
      </w:r>
    </w:p>
    <w:p w:rsidR="009724DD" w:rsidRPr="0092047B" w:rsidRDefault="00701C03" w:rsidP="00940EEB">
      <w:pPr>
        <w:pStyle w:val="Zkladntext"/>
        <w:keepN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125933">
        <w:rPr>
          <w:rFonts w:cstheme="minorHAnsi"/>
        </w:rPr>
        <w:tab/>
      </w:r>
      <w:r w:rsidR="009724DD" w:rsidRPr="0092047B">
        <w:rPr>
          <w:rFonts w:cstheme="minorHAnsi"/>
        </w:rPr>
        <w:t>MPO, v součinnosti s MV</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Autorizace, povolovací procesy a normativní činnost</w:t>
      </w:r>
    </w:p>
    <w:p w:rsidR="001E1368"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Zajistit </w:t>
      </w:r>
      <w:r w:rsidR="001E1368">
        <w:rPr>
          <w:rFonts w:cstheme="minorHAnsi"/>
        </w:rPr>
        <w:t>vydávání</w:t>
      </w:r>
      <w:r w:rsidR="001E1368" w:rsidRPr="0092047B">
        <w:rPr>
          <w:rFonts w:cstheme="minorHAnsi"/>
        </w:rPr>
        <w:t xml:space="preserve"> </w:t>
      </w:r>
      <w:r w:rsidRPr="0092047B">
        <w:rPr>
          <w:rFonts w:cstheme="minorHAnsi"/>
        </w:rPr>
        <w:t xml:space="preserve">autorizací na výstavbu </w:t>
      </w:r>
      <w:r w:rsidR="006B16CA">
        <w:rPr>
          <w:rFonts w:cstheme="minorHAnsi"/>
        </w:rPr>
        <w:t xml:space="preserve">nebo zásadní rekonstrukci </w:t>
      </w:r>
      <w:r w:rsidRPr="0092047B">
        <w:rPr>
          <w:rFonts w:cstheme="minorHAnsi"/>
        </w:rPr>
        <w:t>výroben elektřiny a vybraných plynových zařízení s ohledem na účelnost a efektivnost výstavby a v souladu</w:t>
      </w:r>
      <w:r w:rsidR="0057752E" w:rsidRPr="0092047B">
        <w:rPr>
          <w:rFonts w:cstheme="minorHAnsi"/>
        </w:rPr>
        <w:t xml:space="preserve"> s</w:t>
      </w:r>
      <w:r w:rsidR="0057752E">
        <w:rPr>
          <w:rFonts w:cstheme="minorHAnsi"/>
        </w:rPr>
        <w:t>e stavebním zákonem,</w:t>
      </w:r>
      <w:r w:rsidR="000C014E">
        <w:rPr>
          <w:rFonts w:cstheme="minorHAnsi"/>
        </w:rPr>
        <w:t xml:space="preserve"> s</w:t>
      </w:r>
      <w:r w:rsidR="00447347">
        <w:rPr>
          <w:rFonts w:cstheme="minorHAnsi"/>
        </w:rPr>
        <w:t xml:space="preserve"> energetickým</w:t>
      </w:r>
      <w:r w:rsidRPr="0092047B">
        <w:rPr>
          <w:rFonts w:cstheme="minorHAnsi"/>
        </w:rPr>
        <w:t xml:space="preserve"> zákonem a </w:t>
      </w:r>
      <w:r w:rsidR="000C014E">
        <w:rPr>
          <w:rFonts w:cstheme="minorHAnsi"/>
        </w:rPr>
        <w:t xml:space="preserve">s </w:t>
      </w:r>
      <w:r w:rsidRPr="0092047B">
        <w:rPr>
          <w:rFonts w:cstheme="minorHAnsi"/>
        </w:rPr>
        <w:t>prováděcími předpisy včetně notifikace a zdůvodnění negativních osvědčení Evropské komisi.</w:t>
      </w:r>
    </w:p>
    <w:p w:rsidR="009724DD" w:rsidRPr="0092047B" w:rsidRDefault="009724DD" w:rsidP="00125933">
      <w:pPr>
        <w:pStyle w:val="Zkladntext"/>
        <w:numPr>
          <w:ilvl w:val="2"/>
          <w:numId w:val="17"/>
        </w:numPr>
        <w:spacing w:before="120" w:after="120"/>
        <w:ind w:left="992" w:hanging="567"/>
        <w:rPr>
          <w:rFonts w:cstheme="minorHAnsi"/>
        </w:rPr>
      </w:pPr>
      <w:r w:rsidRPr="0092047B">
        <w:rPr>
          <w:rFonts w:cstheme="minorHAnsi"/>
        </w:rPr>
        <w:t>Dodržovat správní lhůty a striktní soulad se SEK a NAP</w:t>
      </w:r>
      <w:r w:rsidR="001E1368">
        <w:rPr>
          <w:rFonts w:cstheme="minorHAnsi"/>
        </w:rPr>
        <w:t>.</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125933">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průběžně</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Zajistit efektivní povolovací procesy</w:t>
      </w:r>
    </w:p>
    <w:p w:rsidR="00BE0727" w:rsidRPr="00BE0727" w:rsidRDefault="00BE0727" w:rsidP="00BE0727">
      <w:pPr>
        <w:pStyle w:val="Zkladntext"/>
        <w:numPr>
          <w:ilvl w:val="2"/>
          <w:numId w:val="17"/>
        </w:numPr>
        <w:spacing w:before="120" w:after="120"/>
        <w:ind w:left="993" w:hanging="567"/>
        <w:rPr>
          <w:rFonts w:cstheme="minorHAnsi"/>
        </w:rPr>
      </w:pPr>
      <w:r w:rsidRPr="00BE0727">
        <w:rPr>
          <w:rFonts w:cstheme="minorHAnsi"/>
        </w:rPr>
        <w:t xml:space="preserve">Dosáhnout </w:t>
      </w:r>
      <w:r w:rsidR="0057752E" w:rsidRPr="00BE0727">
        <w:rPr>
          <w:rFonts w:cstheme="minorHAnsi"/>
        </w:rPr>
        <w:t>minimalizace</w:t>
      </w:r>
      <w:r w:rsidRPr="00BE0727">
        <w:rPr>
          <w:rFonts w:cstheme="minorHAnsi"/>
        </w:rPr>
        <w:t xml:space="preserve"> souhrnné doby povolovacích procesů energetických staveb</w:t>
      </w:r>
      <w:r w:rsidR="0057752E" w:rsidRPr="00BE0727">
        <w:rPr>
          <w:rFonts w:cstheme="minorHAnsi"/>
        </w:rPr>
        <w:t xml:space="preserve"> sofistikovanou koordinací procesů a kontrolních mechanismů</w:t>
      </w:r>
      <w:r w:rsidRPr="00BE0727">
        <w:rPr>
          <w:rFonts w:cstheme="minorHAnsi"/>
        </w:rPr>
        <w:t xml:space="preserve"> na </w:t>
      </w:r>
      <w:r w:rsidR="0057752E" w:rsidRPr="00BE0727">
        <w:rPr>
          <w:rFonts w:cstheme="minorHAnsi"/>
        </w:rPr>
        <w:t>MMR, MPO, MŽP tak, aby ve výsledku</w:t>
      </w:r>
      <w:r w:rsidRPr="00BE0727">
        <w:rPr>
          <w:rFonts w:cstheme="minorHAnsi"/>
        </w:rPr>
        <w:t xml:space="preserve"> od data podání žádosti o ÚR k vydání stavebního povolení nebo jeho ekvivalentu</w:t>
      </w:r>
      <w:r w:rsidR="003F4E03" w:rsidRPr="00BE0727">
        <w:rPr>
          <w:rFonts w:cstheme="minorHAnsi"/>
        </w:rPr>
        <w:t xml:space="preserve"> uplynula co nejkratší doba</w:t>
      </w:r>
      <w:r>
        <w:rPr>
          <w:rFonts w:cstheme="minorHAnsi"/>
        </w:rPr>
        <w:t>.</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125933">
        <w:rPr>
          <w:rFonts w:cstheme="minorHAnsi"/>
        </w:rPr>
        <w:tab/>
      </w:r>
      <w:r w:rsidR="009724DD" w:rsidRPr="0092047B">
        <w:rPr>
          <w:rFonts w:cstheme="minorHAnsi"/>
        </w:rPr>
        <w:tab/>
        <w:t>MMR, MPO, MŽP</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průběžně</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Stanovovat povinné bezpečnostní standardy dodávek plynu a zásob jaderného paliva v souladu s platnou legislativou přiměřeně k očekávané situaci v oblasti bezpečnost</w:t>
      </w:r>
      <w:r w:rsidR="00860558">
        <w:rPr>
          <w:rFonts w:cstheme="minorHAnsi"/>
          <w:u w:val="single"/>
        </w:rPr>
        <w:t>i dodávek a mezinárodní situaci</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w:t>
      </w:r>
    </w:p>
    <w:p w:rsidR="009724DD" w:rsidRPr="0092047B" w:rsidRDefault="009724DD" w:rsidP="00184DC1">
      <w:pPr>
        <w:pStyle w:val="Zkladntext"/>
        <w:spacing w:before="120"/>
        <w:ind w:left="709"/>
      </w:pPr>
      <w:r w:rsidRPr="0092047B">
        <w:rPr>
          <w:rFonts w:cstheme="minorHAnsi"/>
          <w:u w:val="single"/>
        </w:rPr>
        <w:t>Termín:</w:t>
      </w:r>
      <w:r w:rsidRPr="0092047B">
        <w:rPr>
          <w:rFonts w:cstheme="minorHAnsi"/>
        </w:rPr>
        <w:tab/>
        <w:t>průběžně</w:t>
      </w:r>
    </w:p>
    <w:p w:rsidR="009724DD" w:rsidRPr="0092047B" w:rsidRDefault="009724DD" w:rsidP="00940EEB">
      <w:pPr>
        <w:pStyle w:val="Zkladntext"/>
        <w:keepNext/>
        <w:numPr>
          <w:ilvl w:val="0"/>
          <w:numId w:val="18"/>
        </w:numPr>
        <w:spacing w:before="240" w:after="120"/>
        <w:ind w:left="709" w:hanging="567"/>
        <w:rPr>
          <w:rFonts w:cstheme="minorHAnsi"/>
          <w:u w:val="single"/>
        </w:rPr>
      </w:pPr>
      <w:r w:rsidRPr="0092047B">
        <w:rPr>
          <w:rFonts w:cstheme="minorHAnsi"/>
          <w:u w:val="single"/>
        </w:rPr>
        <w:t>Stanovovat technické parametry a standardy účinnosti konečných spotřebičů</w:t>
      </w:r>
    </w:p>
    <w:p w:rsidR="009724DD" w:rsidRPr="0092047B" w:rsidRDefault="009724DD" w:rsidP="00940EEB">
      <w:pPr>
        <w:pStyle w:val="Zkladntext"/>
        <w:keepNext/>
        <w:numPr>
          <w:ilvl w:val="2"/>
          <w:numId w:val="17"/>
        </w:numPr>
        <w:spacing w:before="120" w:after="120"/>
        <w:ind w:left="993" w:hanging="567"/>
        <w:rPr>
          <w:rFonts w:cstheme="minorHAnsi"/>
        </w:rPr>
      </w:pPr>
      <w:r w:rsidRPr="0092047B">
        <w:rPr>
          <w:rFonts w:cstheme="minorHAnsi"/>
        </w:rPr>
        <w:t>Dosáhnout významn</w:t>
      </w:r>
      <w:r w:rsidR="00D060A6" w:rsidRPr="0092047B">
        <w:rPr>
          <w:rFonts w:cstheme="minorHAnsi"/>
        </w:rPr>
        <w:t>ých</w:t>
      </w:r>
      <w:r w:rsidRPr="0092047B">
        <w:rPr>
          <w:rFonts w:cstheme="minorHAnsi"/>
        </w:rPr>
        <w:t xml:space="preserve"> indukovaných úspor v konečné spotřebě elektřiny a tepla.</w:t>
      </w:r>
    </w:p>
    <w:p w:rsidR="009724DD" w:rsidRPr="0092047B" w:rsidRDefault="00701C03" w:rsidP="00940EEB">
      <w:pPr>
        <w:pStyle w:val="Zkladntext"/>
        <w:keepN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125933">
        <w:rPr>
          <w:rFonts w:cstheme="minorHAnsi"/>
        </w:rPr>
        <w:tab/>
      </w:r>
      <w:r w:rsidR="009724DD" w:rsidRPr="0092047B">
        <w:rPr>
          <w:rFonts w:cstheme="minorHAnsi"/>
        </w:rPr>
        <w:t>MPO, MŽP</w:t>
      </w:r>
    </w:p>
    <w:p w:rsidR="009724DD" w:rsidRPr="0092047B" w:rsidRDefault="009724DD" w:rsidP="00184DC1">
      <w:pPr>
        <w:pStyle w:val="Zkladntext"/>
        <w:spacing w:before="120"/>
        <w:ind w:left="709"/>
        <w:rPr>
          <w:rFonts w:cstheme="minorHAnsi"/>
          <w:u w:val="single"/>
        </w:rPr>
      </w:pPr>
      <w:r w:rsidRPr="0092047B">
        <w:rPr>
          <w:rFonts w:cstheme="minorHAnsi"/>
          <w:u w:val="single"/>
        </w:rPr>
        <w:t>Termín:</w:t>
      </w:r>
      <w:r w:rsidRPr="0092047B">
        <w:rPr>
          <w:rFonts w:cstheme="minorHAnsi"/>
        </w:rPr>
        <w:t xml:space="preserve"> </w:t>
      </w:r>
      <w:r w:rsidRPr="0092047B">
        <w:rPr>
          <w:rFonts w:cstheme="minorHAnsi"/>
        </w:rPr>
        <w:tab/>
        <w:t>průběžně</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 xml:space="preserve">Kontrola </w:t>
      </w:r>
      <w:r w:rsidR="00543E99">
        <w:rPr>
          <w:rFonts w:cstheme="minorHAnsi"/>
          <w:u w:val="single"/>
        </w:rPr>
        <w:t>implement</w:t>
      </w:r>
      <w:r w:rsidR="000C76EC">
        <w:rPr>
          <w:rFonts w:cstheme="minorHAnsi"/>
          <w:u w:val="single"/>
        </w:rPr>
        <w:t>ace zákona o hospodaření energií a zákona o podporovaných zdrojích energie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Zlepšit výkon kontroly a zvýšit efektivitu v oblasti hospodaření s energií a podpory OZE. </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Kontroly zaměřit na plnění standardů účinnosti u energetických zařízení a systémů i u prodávaných elektrických spotřebičů.</w:t>
      </w:r>
    </w:p>
    <w:p w:rsidR="009724DD" w:rsidRPr="0092047B" w:rsidRDefault="009724DD" w:rsidP="00125933">
      <w:pPr>
        <w:pStyle w:val="Zkladntext"/>
        <w:numPr>
          <w:ilvl w:val="2"/>
          <w:numId w:val="17"/>
        </w:numPr>
        <w:spacing w:before="120" w:after="120"/>
        <w:ind w:left="992" w:hanging="567"/>
        <w:rPr>
          <w:rFonts w:cstheme="minorHAnsi"/>
        </w:rPr>
      </w:pPr>
      <w:r w:rsidRPr="0092047B">
        <w:rPr>
          <w:rFonts w:cstheme="minorHAnsi"/>
        </w:rPr>
        <w:t>Upravit rozsah kontrol, zvýšit jejich odbornou kvalitu a zajistit systematickou informovanost státní správy i veřejnosti o situaci v oblasti hospodaření energií a rozvoje OZE, souhrnných výsledcích kontrol a jejich vyhodnocování.</w:t>
      </w:r>
    </w:p>
    <w:p w:rsidR="009724DD" w:rsidRPr="0092047B" w:rsidRDefault="00701C03"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125933">
        <w:rPr>
          <w:rFonts w:cstheme="minorHAnsi"/>
        </w:rPr>
        <w:tab/>
      </w:r>
      <w:r w:rsidR="009724DD" w:rsidRPr="0092047B">
        <w:rPr>
          <w:rFonts w:cstheme="minorHAnsi"/>
        </w:rPr>
        <w:t>MPO</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Státní hmotné rezervy</w:t>
      </w:r>
    </w:p>
    <w:p w:rsidR="009724DD" w:rsidRPr="0092047B" w:rsidRDefault="009724DD" w:rsidP="00184DC1">
      <w:pPr>
        <w:pStyle w:val="Zkladntext"/>
        <w:numPr>
          <w:ilvl w:val="2"/>
          <w:numId w:val="17"/>
        </w:numPr>
        <w:spacing w:after="0"/>
        <w:ind w:left="993" w:hanging="567"/>
        <w:rPr>
          <w:rFonts w:cstheme="minorHAnsi"/>
        </w:rPr>
      </w:pPr>
      <w:r w:rsidRPr="0092047B">
        <w:rPr>
          <w:rFonts w:cstheme="minorHAnsi"/>
        </w:rPr>
        <w:t>Zajistit aktualizaci usnesení vlády ze dne 23. července 2008 č. 910 k Analýze možností zařazení jaderného paliva do systému státních hmotných rezerv v návaznosti na změny energetického zákona a ukotvení povinnosti provozovatele držet zásoby jaderného paliva.</w:t>
      </w:r>
    </w:p>
    <w:p w:rsidR="00731EF3" w:rsidRPr="0092047B" w:rsidRDefault="00731EF3" w:rsidP="00940EEB">
      <w:pPr>
        <w:pStyle w:val="Zkladntext"/>
        <w:numPr>
          <w:ilvl w:val="2"/>
          <w:numId w:val="17"/>
        </w:numPr>
        <w:spacing w:before="120" w:after="120"/>
        <w:ind w:left="993" w:hanging="567"/>
        <w:rPr>
          <w:rFonts w:cstheme="minorHAnsi"/>
        </w:rPr>
      </w:pPr>
      <w:r w:rsidRPr="0092047B">
        <w:t>Revidovat model státních hmotných rezerv v oblasti ropy</w:t>
      </w:r>
      <w:r w:rsidR="00860558">
        <w:t>.</w:t>
      </w:r>
    </w:p>
    <w:p w:rsidR="009724DD" w:rsidRPr="0092047B" w:rsidRDefault="008924DB"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Pr="0092047B">
        <w:rPr>
          <w:rFonts w:cstheme="minorHAnsi"/>
        </w:rPr>
        <w:tab/>
      </w:r>
      <w:r w:rsidR="00125933">
        <w:rPr>
          <w:rFonts w:cstheme="minorHAnsi"/>
        </w:rPr>
        <w:tab/>
      </w:r>
      <w:r w:rsidR="009724DD" w:rsidRPr="0092047B">
        <w:rPr>
          <w:rFonts w:cstheme="minorHAnsi"/>
        </w:rPr>
        <w:t xml:space="preserve">MPO, </w:t>
      </w:r>
      <w:r w:rsidR="00D060A6" w:rsidRPr="0092047B">
        <w:rPr>
          <w:rFonts w:cstheme="minorHAnsi"/>
        </w:rPr>
        <w:t>MF</w:t>
      </w:r>
      <w:r w:rsidR="001210CE">
        <w:rPr>
          <w:rFonts w:cstheme="minorHAnsi"/>
        </w:rPr>
        <w:t xml:space="preserve"> </w:t>
      </w:r>
      <w:r w:rsidR="009724DD" w:rsidRPr="0092047B">
        <w:rPr>
          <w:rFonts w:cstheme="minorHAnsi"/>
        </w:rPr>
        <w:t>v součinnosti se SSHR</w:t>
      </w:r>
    </w:p>
    <w:p w:rsidR="009724DD" w:rsidRPr="0092047B"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ab/>
        <w:t xml:space="preserve">do 31. 12. </w:t>
      </w:r>
      <w:r w:rsidR="00D649D8" w:rsidRPr="0092047B">
        <w:rPr>
          <w:rFonts w:cstheme="minorHAnsi"/>
        </w:rPr>
        <w:t>201</w:t>
      </w:r>
      <w:r w:rsidR="003F4E03">
        <w:rPr>
          <w:rFonts w:cstheme="minorHAnsi"/>
        </w:rPr>
        <w:t>5</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Doprava</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Sledovat vývoj využití alternativních paliv v dopravě v EU a včas podpořit vytvoření potřebné infrastruktury k jejich využití v ČR</w:t>
      </w:r>
    </w:p>
    <w:p w:rsidR="009724DD" w:rsidRPr="0092047B" w:rsidRDefault="008924DB" w:rsidP="00940EEB">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9724DD" w:rsidRPr="0092047B">
        <w:rPr>
          <w:rFonts w:cstheme="minorHAnsi"/>
        </w:rPr>
        <w:t>MPO, MD, MŽP</w:t>
      </w:r>
    </w:p>
    <w:p w:rsidR="009724DD" w:rsidRPr="0092047B" w:rsidRDefault="009724DD" w:rsidP="00184DC1">
      <w:pPr>
        <w:pStyle w:val="Zkladntext"/>
        <w:spacing w:before="120"/>
        <w:ind w:left="709"/>
        <w:rPr>
          <w:rFonts w:cstheme="minorHAnsi"/>
        </w:rPr>
      </w:pPr>
      <w:r w:rsidRPr="00125933">
        <w:rPr>
          <w:rFonts w:cstheme="minorHAnsi"/>
          <w:u w:val="single"/>
        </w:rPr>
        <w:t>Termín:</w:t>
      </w:r>
      <w:r w:rsidRPr="0092047B">
        <w:rPr>
          <w:rFonts w:cstheme="minorHAnsi"/>
        </w:rPr>
        <w:t xml:space="preserve"> </w:t>
      </w:r>
      <w:r w:rsidRPr="0092047B">
        <w:rPr>
          <w:rFonts w:cstheme="minorHAnsi"/>
        </w:rPr>
        <w:tab/>
        <w:t>průběžně</w:t>
      </w:r>
    </w:p>
    <w:p w:rsidR="009724DD" w:rsidRPr="0092047B" w:rsidRDefault="009724DD" w:rsidP="00940EEB">
      <w:pPr>
        <w:pStyle w:val="Zkladntext"/>
        <w:numPr>
          <w:ilvl w:val="0"/>
          <w:numId w:val="18"/>
        </w:numPr>
        <w:spacing w:before="240" w:after="120"/>
        <w:ind w:left="709" w:hanging="567"/>
        <w:rPr>
          <w:rFonts w:cstheme="minorHAnsi"/>
          <w:u w:val="single"/>
        </w:rPr>
      </w:pPr>
      <w:r w:rsidRPr="0092047B">
        <w:rPr>
          <w:rFonts w:cstheme="minorHAnsi"/>
          <w:u w:val="single"/>
        </w:rPr>
        <w:t>Prověření připravenosti energetických odvětví na případnou situaci stavů nouze</w:t>
      </w:r>
    </w:p>
    <w:p w:rsidR="009724DD" w:rsidRPr="0092047B" w:rsidRDefault="009724DD" w:rsidP="00940EEB">
      <w:pPr>
        <w:pStyle w:val="Zkladntext"/>
        <w:numPr>
          <w:ilvl w:val="2"/>
          <w:numId w:val="17"/>
        </w:numPr>
        <w:spacing w:before="120" w:after="120"/>
        <w:ind w:left="993" w:hanging="567"/>
        <w:rPr>
          <w:rFonts w:cstheme="minorHAnsi"/>
        </w:rPr>
      </w:pPr>
      <w:r w:rsidRPr="0092047B">
        <w:rPr>
          <w:rFonts w:cstheme="minorHAnsi"/>
        </w:rPr>
        <w:t>Pravidelná cvičení a prověřování funkčnosti systému krizového řízení v síťových energetických odvětvích (elektřina, plyn, teplo, ropa a jejich vzájemné vlivy).</w:t>
      </w:r>
    </w:p>
    <w:p w:rsidR="009724DD" w:rsidRPr="0092047B" w:rsidRDefault="009724DD" w:rsidP="00940EEB">
      <w:pPr>
        <w:pStyle w:val="Zkladntext"/>
        <w:spacing w:before="120" w:after="120"/>
        <w:ind w:left="720"/>
        <w:rPr>
          <w:rFonts w:cstheme="minorHAnsi"/>
        </w:rPr>
      </w:pPr>
      <w:r w:rsidRPr="0092047B">
        <w:rPr>
          <w:rFonts w:cstheme="minorHAnsi"/>
          <w:u w:val="single"/>
        </w:rPr>
        <w:t>Zajistí:</w:t>
      </w:r>
      <w:r w:rsidRPr="0092047B">
        <w:rPr>
          <w:rFonts w:cstheme="minorHAnsi"/>
        </w:rPr>
        <w:tab/>
      </w:r>
      <w:r w:rsidRPr="0092047B">
        <w:rPr>
          <w:rFonts w:cstheme="minorHAnsi"/>
        </w:rPr>
        <w:tab/>
        <w:t>MPO, SSHR, MV</w:t>
      </w:r>
    </w:p>
    <w:p w:rsidR="009724DD" w:rsidRPr="0092047B" w:rsidRDefault="009724DD" w:rsidP="00184DC1">
      <w:pPr>
        <w:pStyle w:val="Zkladntext"/>
        <w:spacing w:before="120"/>
        <w:ind w:left="720"/>
        <w:rPr>
          <w:rFonts w:cstheme="minorHAnsi"/>
        </w:rPr>
      </w:pPr>
      <w:r w:rsidRPr="0092047B">
        <w:rPr>
          <w:rFonts w:cstheme="minorHAnsi"/>
          <w:u w:val="single"/>
        </w:rPr>
        <w:t>Termín</w:t>
      </w:r>
      <w:r w:rsidRPr="00125933">
        <w:rPr>
          <w:rFonts w:cstheme="minorHAnsi"/>
          <w:u w:val="single"/>
        </w:rPr>
        <w:t>:</w:t>
      </w:r>
      <w:r w:rsidRPr="0092047B">
        <w:rPr>
          <w:rFonts w:cstheme="minorHAnsi"/>
        </w:rPr>
        <w:tab/>
        <w:t>31. 12. 2014 + jednou za 2 roky</w:t>
      </w:r>
    </w:p>
    <w:p w:rsidR="009724DD" w:rsidRPr="0092047B" w:rsidRDefault="009724DD" w:rsidP="00940EEB">
      <w:pPr>
        <w:pStyle w:val="Zkladntext"/>
        <w:keepNext/>
        <w:numPr>
          <w:ilvl w:val="0"/>
          <w:numId w:val="18"/>
        </w:numPr>
        <w:spacing w:before="240" w:after="120"/>
        <w:ind w:left="709" w:hanging="567"/>
        <w:rPr>
          <w:rFonts w:cstheme="minorHAnsi"/>
          <w:u w:val="single"/>
        </w:rPr>
      </w:pPr>
      <w:r w:rsidRPr="0092047B">
        <w:rPr>
          <w:rFonts w:cstheme="minorHAnsi"/>
          <w:u w:val="single"/>
        </w:rPr>
        <w:t>Vypracování koncepce/strategie vnějších energetických vztahů/politiky</w:t>
      </w:r>
    </w:p>
    <w:p w:rsidR="009724DD" w:rsidRPr="0092047B" w:rsidRDefault="009724DD" w:rsidP="00EF045E">
      <w:pPr>
        <w:pStyle w:val="Zkladntext"/>
        <w:spacing w:before="120" w:after="120"/>
        <w:ind w:left="720"/>
        <w:rPr>
          <w:rFonts w:cstheme="minorHAnsi"/>
        </w:rPr>
      </w:pPr>
      <w:r w:rsidRPr="0092047B">
        <w:rPr>
          <w:rFonts w:cstheme="minorHAnsi"/>
          <w:u w:val="single"/>
        </w:rPr>
        <w:t>Zajistí:</w:t>
      </w:r>
      <w:r w:rsidRPr="0092047B">
        <w:rPr>
          <w:rFonts w:cstheme="minorHAnsi"/>
        </w:rPr>
        <w:tab/>
      </w:r>
      <w:r w:rsidRPr="0092047B">
        <w:rPr>
          <w:rFonts w:cstheme="minorHAnsi"/>
        </w:rPr>
        <w:tab/>
        <w:t>MPO, v součinnosti s</w:t>
      </w:r>
      <w:r w:rsidR="00D060A6" w:rsidRPr="0092047B">
        <w:rPr>
          <w:rFonts w:cstheme="minorHAnsi"/>
        </w:rPr>
        <w:t> </w:t>
      </w:r>
      <w:r w:rsidRPr="0092047B">
        <w:rPr>
          <w:rFonts w:cstheme="minorHAnsi"/>
        </w:rPr>
        <w:t>MZV</w:t>
      </w:r>
      <w:r w:rsidR="00D060A6" w:rsidRPr="0092047B">
        <w:rPr>
          <w:rFonts w:cstheme="minorHAnsi"/>
        </w:rPr>
        <w:t xml:space="preserve"> a ÚV</w:t>
      </w:r>
    </w:p>
    <w:p w:rsidR="009724DD" w:rsidRPr="0092047B" w:rsidRDefault="009724DD" w:rsidP="00184DC1">
      <w:pPr>
        <w:pStyle w:val="Zkladntext"/>
        <w:spacing w:before="120"/>
        <w:ind w:left="720"/>
        <w:rPr>
          <w:rFonts w:cstheme="minorHAnsi"/>
        </w:rPr>
      </w:pPr>
      <w:r w:rsidRPr="0092047B">
        <w:rPr>
          <w:rFonts w:cstheme="minorHAnsi"/>
          <w:u w:val="single"/>
        </w:rPr>
        <w:t>Termín</w:t>
      </w:r>
      <w:r w:rsidRPr="00125933">
        <w:rPr>
          <w:rFonts w:cstheme="minorHAnsi"/>
          <w:u w:val="single"/>
        </w:rPr>
        <w:t>:</w:t>
      </w:r>
      <w:r w:rsidRPr="0092047B">
        <w:rPr>
          <w:rFonts w:cstheme="minorHAnsi"/>
        </w:rPr>
        <w:tab/>
        <w:t>3</w:t>
      </w:r>
      <w:r w:rsidR="00B7562F" w:rsidRPr="0092047B">
        <w:rPr>
          <w:rFonts w:cstheme="minorHAnsi"/>
        </w:rPr>
        <w:t>1</w:t>
      </w:r>
      <w:r w:rsidRPr="0092047B">
        <w:rPr>
          <w:rFonts w:cstheme="minorHAnsi"/>
        </w:rPr>
        <w:t xml:space="preserve">. </w:t>
      </w:r>
      <w:r w:rsidR="00B7562F" w:rsidRPr="0092047B">
        <w:rPr>
          <w:rFonts w:cstheme="minorHAnsi"/>
        </w:rPr>
        <w:t>12</w:t>
      </w:r>
      <w:r w:rsidRPr="0092047B">
        <w:rPr>
          <w:rFonts w:cstheme="minorHAnsi"/>
        </w:rPr>
        <w:t>. 2015</w:t>
      </w:r>
    </w:p>
    <w:p w:rsidR="00F424D0" w:rsidRPr="00A72B07" w:rsidRDefault="00F424D0" w:rsidP="00940EEB">
      <w:pPr>
        <w:pStyle w:val="Zkladntext"/>
        <w:numPr>
          <w:ilvl w:val="0"/>
          <w:numId w:val="18"/>
        </w:numPr>
        <w:spacing w:before="240" w:after="120"/>
        <w:ind w:left="709" w:hanging="567"/>
        <w:rPr>
          <w:rFonts w:cstheme="minorHAnsi"/>
          <w:u w:val="single"/>
        </w:rPr>
      </w:pPr>
      <w:r w:rsidRPr="00A72B07">
        <w:rPr>
          <w:rFonts w:cstheme="minorHAnsi"/>
          <w:u w:val="single"/>
        </w:rPr>
        <w:t>Zpracovat vyhledávací studii hodnotící potenciál pro využívání geotermální energie na území České republiky</w:t>
      </w:r>
    </w:p>
    <w:p w:rsidR="00F424D0" w:rsidRPr="00A72B07" w:rsidRDefault="00F424D0" w:rsidP="00EF045E">
      <w:pPr>
        <w:pStyle w:val="Zkladntext"/>
        <w:spacing w:before="120" w:after="120"/>
        <w:ind w:left="709"/>
        <w:rPr>
          <w:rFonts w:cstheme="minorHAnsi"/>
          <w:u w:val="single"/>
        </w:rPr>
      </w:pPr>
      <w:r w:rsidRPr="00A72B07">
        <w:rPr>
          <w:rFonts w:cstheme="minorHAnsi"/>
          <w:u w:val="single"/>
        </w:rPr>
        <w:t>Zajistí:</w:t>
      </w:r>
      <w:r w:rsidRPr="00A72B07">
        <w:rPr>
          <w:rFonts w:cstheme="minorHAnsi"/>
        </w:rPr>
        <w:t xml:space="preserve"> </w:t>
      </w:r>
      <w:r w:rsidRPr="00A72B07">
        <w:rPr>
          <w:rFonts w:cstheme="minorHAnsi"/>
        </w:rPr>
        <w:tab/>
      </w:r>
      <w:r w:rsidRPr="00A72B07">
        <w:rPr>
          <w:rFonts w:cstheme="minorHAnsi"/>
        </w:rPr>
        <w:tab/>
        <w:t>MPO</w:t>
      </w:r>
    </w:p>
    <w:p w:rsidR="00F424D0" w:rsidRPr="00A72B07" w:rsidRDefault="00F424D0" w:rsidP="00184DC1">
      <w:pPr>
        <w:pStyle w:val="Zkladntext"/>
        <w:spacing w:before="120"/>
        <w:ind w:left="709"/>
        <w:rPr>
          <w:rFonts w:cstheme="minorHAnsi"/>
        </w:rPr>
      </w:pPr>
      <w:r w:rsidRPr="00A72B07">
        <w:rPr>
          <w:rFonts w:cstheme="minorHAnsi"/>
          <w:u w:val="single"/>
        </w:rPr>
        <w:t>Termín:</w:t>
      </w:r>
      <w:r w:rsidRPr="00A72B07">
        <w:rPr>
          <w:rFonts w:cstheme="minorHAnsi"/>
        </w:rPr>
        <w:t xml:space="preserve"> </w:t>
      </w:r>
      <w:r w:rsidRPr="00A72B07">
        <w:rPr>
          <w:rFonts w:cstheme="minorHAnsi"/>
        </w:rPr>
        <w:tab/>
        <w:t>31. 12. 201</w:t>
      </w:r>
      <w:r w:rsidR="00D00105" w:rsidRPr="00A72B07">
        <w:rPr>
          <w:rFonts w:cstheme="minorHAnsi"/>
        </w:rPr>
        <w:t>7</w:t>
      </w:r>
    </w:p>
    <w:p w:rsidR="003F4E03" w:rsidRPr="00A72B07" w:rsidRDefault="003F4E03" w:rsidP="003F4E03">
      <w:pPr>
        <w:pStyle w:val="Zkladntext"/>
        <w:numPr>
          <w:ilvl w:val="0"/>
          <w:numId w:val="18"/>
        </w:numPr>
        <w:spacing w:before="240" w:after="120"/>
        <w:ind w:left="709" w:hanging="567"/>
        <w:rPr>
          <w:rFonts w:cstheme="minorHAnsi"/>
          <w:u w:val="single"/>
        </w:rPr>
      </w:pPr>
      <w:r w:rsidRPr="00A72B07">
        <w:rPr>
          <w:rFonts w:cstheme="minorHAnsi"/>
          <w:u w:val="single"/>
        </w:rPr>
        <w:t>Připravit koordinovanou strategii na podporu výzkumu a vývoje v oblasti výroby pokročilých biopaliv z nepotravinářské biomasy a odpadů</w:t>
      </w:r>
    </w:p>
    <w:p w:rsidR="003F4E03" w:rsidRPr="00A72B07" w:rsidRDefault="003F4E03" w:rsidP="003F4E03">
      <w:pPr>
        <w:pStyle w:val="Zkladntext"/>
        <w:spacing w:before="120" w:after="120"/>
        <w:ind w:left="720"/>
        <w:rPr>
          <w:rFonts w:cstheme="minorHAnsi"/>
        </w:rPr>
      </w:pPr>
      <w:r w:rsidRPr="00A72B07">
        <w:rPr>
          <w:rFonts w:cstheme="minorHAnsi"/>
          <w:u w:val="single"/>
        </w:rPr>
        <w:t>Zajistí:</w:t>
      </w:r>
      <w:r w:rsidRPr="00A72B07">
        <w:rPr>
          <w:rFonts w:cstheme="minorHAnsi"/>
        </w:rPr>
        <w:tab/>
      </w:r>
      <w:r w:rsidRPr="00A72B07">
        <w:rPr>
          <w:rFonts w:cstheme="minorHAnsi"/>
        </w:rPr>
        <w:tab/>
        <w:t>MPO, MŠMT, v součinnosti s MŽP a dalšími zainteresovanými subjekty</w:t>
      </w:r>
    </w:p>
    <w:p w:rsidR="003F4E03" w:rsidRPr="00A72B07" w:rsidRDefault="003F4E03" w:rsidP="003F4E03">
      <w:pPr>
        <w:pStyle w:val="Zkladntext"/>
        <w:spacing w:before="120"/>
        <w:ind w:left="720"/>
        <w:rPr>
          <w:rFonts w:cstheme="minorHAnsi"/>
        </w:rPr>
      </w:pPr>
      <w:r w:rsidRPr="00A72B07">
        <w:rPr>
          <w:rFonts w:cstheme="minorHAnsi"/>
          <w:u w:val="single"/>
        </w:rPr>
        <w:t>Termín:</w:t>
      </w:r>
      <w:r w:rsidRPr="00A72B07">
        <w:rPr>
          <w:rFonts w:cstheme="minorHAnsi"/>
        </w:rPr>
        <w:tab/>
        <w:t>průběžně</w:t>
      </w:r>
    </w:p>
    <w:p w:rsidR="00940EEB" w:rsidRPr="00EF045E" w:rsidRDefault="00940EEB">
      <w:pPr>
        <w:spacing w:after="0"/>
        <w:jc w:val="left"/>
        <w:rPr>
          <w:rFonts w:cstheme="minorHAnsi"/>
        </w:rPr>
      </w:pPr>
      <w:r w:rsidRPr="00EF045E">
        <w:rPr>
          <w:rFonts w:cstheme="minorHAnsi"/>
        </w:rPr>
        <w:br w:type="page"/>
      </w:r>
    </w:p>
    <w:p w:rsidR="009724DD" w:rsidRPr="0092047B" w:rsidRDefault="009724DD" w:rsidP="00184DC1">
      <w:pPr>
        <w:pStyle w:val="Nadpis2"/>
      </w:pPr>
      <w:bookmarkStart w:id="836" w:name="_Toc396923406"/>
      <w:r w:rsidRPr="0092047B">
        <w:t>Nástroje v oblasti fiskální a daňové</w:t>
      </w:r>
      <w:bookmarkEnd w:id="836"/>
      <w:r w:rsidRPr="0092047B">
        <w:t xml:space="preserve"> </w:t>
      </w:r>
    </w:p>
    <w:p w:rsidR="009724DD" w:rsidRPr="0092047B" w:rsidRDefault="009724DD" w:rsidP="00EF045E">
      <w:pPr>
        <w:pStyle w:val="Zkladntext"/>
        <w:numPr>
          <w:ilvl w:val="0"/>
          <w:numId w:val="19"/>
        </w:numPr>
        <w:spacing w:before="240" w:after="120"/>
        <w:ind w:left="709" w:hanging="567"/>
        <w:rPr>
          <w:rFonts w:cstheme="minorHAnsi"/>
          <w:u w:val="single"/>
        </w:rPr>
      </w:pPr>
      <w:r w:rsidRPr="0092047B">
        <w:rPr>
          <w:rFonts w:cstheme="minorHAnsi"/>
          <w:u w:val="single"/>
        </w:rPr>
        <w:t>Fondy EU</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podmínky pro maximální možné čerpání CEF z části alokace tohoto fondu schválené pro podporu infrastrukturních energetických projektů na investice v ČR.</w:t>
      </w:r>
    </w:p>
    <w:p w:rsidR="009724DD" w:rsidRPr="0092047B" w:rsidRDefault="00F93F87" w:rsidP="00184DC1">
      <w:pPr>
        <w:pStyle w:val="Zkladntext"/>
        <w:numPr>
          <w:ilvl w:val="2"/>
          <w:numId w:val="17"/>
        </w:numPr>
        <w:spacing w:before="120"/>
        <w:ind w:left="993" w:hanging="567"/>
        <w:contextualSpacing/>
        <w:rPr>
          <w:rFonts w:cstheme="minorHAnsi"/>
        </w:rPr>
      </w:pPr>
      <w:r w:rsidRPr="00F93F87">
        <w:rPr>
          <w:rFonts w:cstheme="minorHAnsi"/>
        </w:rPr>
        <w:t xml:space="preserve"> </w:t>
      </w:r>
      <w:r>
        <w:rPr>
          <w:rFonts w:cstheme="minorHAnsi"/>
        </w:rPr>
        <w:t>Zajistit financování modernizace a rozvoje přenosové soustavy z prostředků ESIF. Zajistit financování zavádění chytrých prvků do distribučních soustav ze zdrojů ESIF.</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Zajistit v operačních programech podporu investic v oblasti </w:t>
      </w:r>
      <w:r w:rsidR="00D12817">
        <w:rPr>
          <w:rFonts w:cstheme="minorHAnsi"/>
        </w:rPr>
        <w:t>úspor energie, zvyšování energetické účinnosti (efektivnosti)</w:t>
      </w:r>
      <w:r w:rsidRPr="0092047B">
        <w:rPr>
          <w:rFonts w:cstheme="minorHAnsi"/>
        </w:rPr>
        <w:t xml:space="preserve"> a podpory projektů obnovy systémů soustav zásobování teplem (kritérium energetické efektivity a energetických úspor zabudováno ve všech operačních programech).</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financování výzkumu a vývoje v energetice.</w:t>
      </w:r>
    </w:p>
    <w:p w:rsidR="009724DD" w:rsidRPr="0092047B" w:rsidRDefault="009724DD" w:rsidP="000509D0">
      <w:pPr>
        <w:pStyle w:val="Zkladntext"/>
        <w:numPr>
          <w:ilvl w:val="2"/>
          <w:numId w:val="17"/>
        </w:numPr>
        <w:spacing w:before="120" w:after="120"/>
        <w:ind w:left="992" w:hanging="567"/>
        <w:rPr>
          <w:rFonts w:cstheme="minorHAnsi"/>
        </w:rPr>
      </w:pPr>
      <w:r w:rsidRPr="0092047B">
        <w:rPr>
          <w:rFonts w:cstheme="minorHAnsi"/>
        </w:rPr>
        <w:t>Zajistit informovanost o poskytovaných podporách v oblasti energetiky pro ERÚ</w:t>
      </w:r>
      <w:r w:rsidR="005D3105">
        <w:rPr>
          <w:rFonts w:cstheme="minorHAnsi"/>
        </w:rPr>
        <w:t>.</w:t>
      </w:r>
    </w:p>
    <w:p w:rsidR="009724DD" w:rsidRPr="0092047B" w:rsidRDefault="008924DB" w:rsidP="00EF045E">
      <w:pPr>
        <w:pStyle w:val="Zkladntext"/>
        <w:spacing w:before="120" w:after="120"/>
        <w:ind w:left="720" w:hanging="11"/>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125933">
        <w:rPr>
          <w:rFonts w:cstheme="minorHAnsi"/>
        </w:rPr>
        <w:tab/>
      </w:r>
      <w:r w:rsidR="00E278F9" w:rsidRPr="0092047B">
        <w:rPr>
          <w:rFonts w:cstheme="minorHAnsi"/>
        </w:rPr>
        <w:t>příslušní gestoři (</w:t>
      </w:r>
      <w:r w:rsidR="009724DD" w:rsidRPr="0092047B">
        <w:rPr>
          <w:rFonts w:cstheme="minorHAnsi"/>
        </w:rPr>
        <w:t>MMR, MF, ÚV ČR, MPO, MZe, MŽP</w:t>
      </w:r>
      <w:r w:rsidR="00E278F9" w:rsidRPr="0092047B">
        <w:rPr>
          <w:rFonts w:cstheme="minorHAnsi"/>
        </w:rPr>
        <w:t>)</w:t>
      </w:r>
      <w:r w:rsidR="009724DD" w:rsidRPr="0092047B">
        <w:rPr>
          <w:rFonts w:cstheme="minorHAnsi"/>
        </w:rPr>
        <w:t>, ERÚ</w:t>
      </w:r>
    </w:p>
    <w:p w:rsidR="009724DD" w:rsidRPr="0092047B" w:rsidRDefault="009724DD" w:rsidP="00EF045E">
      <w:pPr>
        <w:pStyle w:val="Zkladntext"/>
        <w:spacing w:before="120"/>
        <w:ind w:left="720" w:hanging="11"/>
        <w:rPr>
          <w:rFonts w:cstheme="minorHAnsi"/>
        </w:rPr>
      </w:pPr>
      <w:r w:rsidRPr="0092047B">
        <w:rPr>
          <w:rFonts w:cstheme="minorHAnsi"/>
          <w:u w:val="single"/>
        </w:rPr>
        <w:t>Termín:</w:t>
      </w:r>
      <w:r w:rsidRPr="0092047B">
        <w:rPr>
          <w:rFonts w:cstheme="minorHAnsi"/>
        </w:rPr>
        <w:tab/>
        <w:t>do 31. 12. 201</w:t>
      </w:r>
      <w:r w:rsidR="001E7F95">
        <w:rPr>
          <w:rFonts w:cstheme="minorHAnsi"/>
        </w:rPr>
        <w:t>5, dále průběžně</w:t>
      </w:r>
    </w:p>
    <w:p w:rsidR="009724DD" w:rsidRPr="0092047B" w:rsidRDefault="009724DD" w:rsidP="00EF045E">
      <w:pPr>
        <w:pStyle w:val="Zkladntext"/>
        <w:numPr>
          <w:ilvl w:val="0"/>
          <w:numId w:val="19"/>
        </w:numPr>
        <w:spacing w:before="240" w:after="120"/>
        <w:ind w:left="709" w:hanging="567"/>
        <w:rPr>
          <w:rFonts w:cstheme="minorHAnsi"/>
          <w:u w:val="single"/>
        </w:rPr>
      </w:pPr>
      <w:r w:rsidRPr="0092047B">
        <w:rPr>
          <w:rFonts w:cstheme="minorHAnsi"/>
          <w:u w:val="single"/>
        </w:rPr>
        <w:t>Přímé programy podpor</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Zvýšit několikanásobně objem prostředků na podpory úspor (program Efekt MPO) v dalších letech.</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Podpory přednostně směřovat do EPC projektů na finanční garance s vysokým pákovým efektem, na projekty typového charakteru s vysokou opakovatelností a možností úspor z rozsahu. Zaměřit se zejména na tyto oblasti:</w:t>
      </w:r>
    </w:p>
    <w:p w:rsidR="00BA55CA" w:rsidRPr="0092047B" w:rsidRDefault="009724DD" w:rsidP="00184DC1">
      <w:pPr>
        <w:pStyle w:val="Zkladntext"/>
        <w:numPr>
          <w:ilvl w:val="3"/>
          <w:numId w:val="20"/>
        </w:numPr>
        <w:spacing w:before="120"/>
        <w:ind w:left="1559" w:hanging="357"/>
        <w:contextualSpacing/>
        <w:rPr>
          <w:rFonts w:cstheme="minorHAnsi"/>
        </w:rPr>
      </w:pPr>
      <w:r w:rsidRPr="0092047B">
        <w:rPr>
          <w:rFonts w:cstheme="minorHAnsi"/>
        </w:rPr>
        <w:t>Podpora zavádění energetického managementu ve veřejném a podnikatelském sektoru</w:t>
      </w:r>
      <w:r w:rsidR="00860558">
        <w:rPr>
          <w:rFonts w:cstheme="minorHAnsi"/>
        </w:rPr>
        <w:t>.</w:t>
      </w:r>
    </w:p>
    <w:p w:rsidR="009724DD" w:rsidRDefault="009724DD" w:rsidP="00184DC1">
      <w:pPr>
        <w:pStyle w:val="Zkladntext"/>
        <w:numPr>
          <w:ilvl w:val="3"/>
          <w:numId w:val="20"/>
        </w:numPr>
        <w:spacing w:before="120"/>
        <w:ind w:left="1559" w:hanging="357"/>
        <w:contextualSpacing/>
        <w:rPr>
          <w:rFonts w:cstheme="minorHAnsi"/>
        </w:rPr>
      </w:pPr>
      <w:r w:rsidRPr="0092047B">
        <w:rPr>
          <w:rFonts w:cstheme="minorHAnsi"/>
        </w:rPr>
        <w:t>Podpora rozvoje teplených čerpadel a jejich záměna za dosavadní přímotopné systémy a přímé spalování tuhých paliv</w:t>
      </w:r>
      <w:r w:rsidR="00860558">
        <w:rPr>
          <w:rFonts w:cstheme="minorHAnsi"/>
        </w:rPr>
        <w:t>.</w:t>
      </w:r>
    </w:p>
    <w:p w:rsidR="00BA55CA" w:rsidRPr="0092047B" w:rsidRDefault="00BA55CA" w:rsidP="00184DC1">
      <w:pPr>
        <w:pStyle w:val="Zkladntext"/>
        <w:numPr>
          <w:ilvl w:val="3"/>
          <w:numId w:val="20"/>
        </w:numPr>
        <w:spacing w:before="120"/>
        <w:ind w:left="1559" w:hanging="357"/>
        <w:contextualSpacing/>
        <w:rPr>
          <w:rFonts w:cstheme="minorHAnsi"/>
        </w:rPr>
      </w:pPr>
      <w:r>
        <w:rPr>
          <w:rFonts w:cstheme="minorHAnsi"/>
        </w:rPr>
        <w:t>Rekonstrukce veřejného osvětlení</w:t>
      </w:r>
      <w:r w:rsidR="00D76655">
        <w:rPr>
          <w:rFonts w:cstheme="minorHAnsi"/>
        </w:rPr>
        <w:t>.</w:t>
      </w:r>
    </w:p>
    <w:p w:rsidR="009724DD" w:rsidRPr="0092047B" w:rsidRDefault="009724DD" w:rsidP="00184DC1">
      <w:pPr>
        <w:pStyle w:val="Zkladntext"/>
        <w:numPr>
          <w:ilvl w:val="3"/>
          <w:numId w:val="20"/>
        </w:numPr>
        <w:spacing w:before="120"/>
        <w:ind w:left="1559" w:hanging="357"/>
        <w:contextualSpacing/>
        <w:rPr>
          <w:rFonts w:cstheme="minorHAnsi"/>
        </w:rPr>
      </w:pPr>
      <w:r w:rsidRPr="0092047B">
        <w:rPr>
          <w:rFonts w:cstheme="minorHAnsi"/>
        </w:rPr>
        <w:t>Investiční podpora rekonstrukce</w:t>
      </w:r>
      <w:r w:rsidR="003F4E03">
        <w:rPr>
          <w:rFonts w:cstheme="minorHAnsi"/>
        </w:rPr>
        <w:t xml:space="preserve"> </w:t>
      </w:r>
      <w:r w:rsidRPr="0092047B">
        <w:rPr>
          <w:rFonts w:ascii="Calibri" w:eastAsia="Calibri" w:hAnsi="Calibri"/>
          <w:color w:val="000000" w:themeColor="text1"/>
        </w:rPr>
        <w:t>soustav zásobování teplem</w:t>
      </w:r>
      <w:r w:rsidR="00860558">
        <w:rPr>
          <w:rFonts w:cstheme="minorHAnsi"/>
        </w:rPr>
        <w:t>.</w:t>
      </w:r>
    </w:p>
    <w:p w:rsidR="009724DD" w:rsidRDefault="009724DD" w:rsidP="00184DC1">
      <w:pPr>
        <w:pStyle w:val="Zkladntext"/>
        <w:numPr>
          <w:ilvl w:val="3"/>
          <w:numId w:val="20"/>
        </w:numPr>
        <w:spacing w:before="120"/>
        <w:ind w:left="1559" w:hanging="357"/>
        <w:contextualSpacing/>
        <w:rPr>
          <w:rFonts w:cstheme="minorHAnsi"/>
        </w:rPr>
      </w:pPr>
      <w:r w:rsidRPr="0092047B">
        <w:rPr>
          <w:rFonts w:cstheme="minorHAnsi"/>
        </w:rPr>
        <w:t>Investiční podpora energetického využívání odpadů v zařízeních k tomu určených.</w:t>
      </w:r>
    </w:p>
    <w:p w:rsidR="00BA55CA" w:rsidRPr="0092047B" w:rsidRDefault="00BA55CA" w:rsidP="00184DC1">
      <w:pPr>
        <w:pStyle w:val="Zkladntext"/>
        <w:numPr>
          <w:ilvl w:val="3"/>
          <w:numId w:val="20"/>
        </w:numPr>
        <w:spacing w:before="120"/>
        <w:ind w:left="1559" w:hanging="357"/>
        <w:contextualSpacing/>
        <w:rPr>
          <w:rFonts w:cstheme="minorHAnsi"/>
        </w:rPr>
      </w:pPr>
      <w:r w:rsidRPr="006B65E8">
        <w:rPr>
          <w:rFonts w:cstheme="minorHAnsi"/>
        </w:rPr>
        <w:t>Implementace inteligentních systémů v domácnostech s prokazatelným efektem na úspory a optimalizaci rozložení spotřeby.</w:t>
      </w:r>
    </w:p>
    <w:p w:rsidR="009724DD" w:rsidRPr="0092047B" w:rsidRDefault="009724DD" w:rsidP="00EF045E">
      <w:pPr>
        <w:pStyle w:val="Zkladntext"/>
        <w:numPr>
          <w:ilvl w:val="3"/>
          <w:numId w:val="20"/>
        </w:numPr>
        <w:spacing w:before="120" w:after="120"/>
        <w:ind w:left="1559" w:hanging="357"/>
        <w:rPr>
          <w:rFonts w:cstheme="minorHAnsi"/>
        </w:rPr>
      </w:pPr>
      <w:r w:rsidRPr="0092047B">
        <w:rPr>
          <w:rFonts w:cstheme="minorHAnsi"/>
        </w:rPr>
        <w:t>Podpora snižování energetické náročnosti budov.</w:t>
      </w:r>
    </w:p>
    <w:p w:rsidR="009724DD" w:rsidRPr="0092047B" w:rsidRDefault="00E278F9" w:rsidP="00EF045E">
      <w:pPr>
        <w:pStyle w:val="Zkladntext"/>
        <w:spacing w:before="120" w:after="120"/>
        <w:ind w:left="709"/>
        <w:rPr>
          <w:rFonts w:cstheme="minorHAnsi"/>
        </w:rPr>
      </w:pPr>
      <w:r w:rsidRPr="0092047B">
        <w:rPr>
          <w:rFonts w:cstheme="minorHAnsi"/>
          <w:u w:val="single"/>
        </w:rPr>
        <w:t>Zajistí</w:t>
      </w:r>
      <w:r w:rsidR="009724DD" w:rsidRPr="0092047B">
        <w:rPr>
          <w:rFonts w:cstheme="minorHAnsi"/>
          <w:u w:val="single"/>
        </w:rPr>
        <w:t>:</w:t>
      </w:r>
      <w:r w:rsidRPr="00D45A30">
        <w:rPr>
          <w:rFonts w:cstheme="minorHAnsi"/>
        </w:rPr>
        <w:tab/>
      </w:r>
      <w:r w:rsidR="009724DD" w:rsidRPr="0092047B">
        <w:rPr>
          <w:rFonts w:cstheme="minorHAnsi"/>
        </w:rPr>
        <w:tab/>
        <w:t>MPO</w:t>
      </w:r>
    </w:p>
    <w:p w:rsidR="009724DD" w:rsidRDefault="009724DD" w:rsidP="00184DC1">
      <w:pPr>
        <w:pStyle w:val="Zkladntext"/>
        <w:spacing w:before="120"/>
        <w:ind w:left="709"/>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2014</w:t>
      </w:r>
      <w:r w:rsidR="001E7F95">
        <w:rPr>
          <w:rFonts w:cstheme="minorHAnsi"/>
        </w:rPr>
        <w:t>, dále průběžně</w:t>
      </w:r>
    </w:p>
    <w:p w:rsidR="00EF045E" w:rsidRDefault="00EF045E">
      <w:pPr>
        <w:spacing w:after="0"/>
        <w:jc w:val="left"/>
        <w:rPr>
          <w:rFonts w:cstheme="minorHAnsi"/>
          <w:b/>
          <w:sz w:val="28"/>
          <w:szCs w:val="28"/>
          <w:u w:val="single"/>
        </w:rPr>
      </w:pPr>
      <w:r>
        <w:rPr>
          <w:rFonts w:cstheme="minorHAnsi"/>
          <w:b/>
          <w:sz w:val="28"/>
          <w:szCs w:val="28"/>
          <w:u w:val="single"/>
        </w:rPr>
        <w:br w:type="page"/>
      </w:r>
    </w:p>
    <w:p w:rsidR="009724DD" w:rsidRPr="0092047B" w:rsidRDefault="009724DD" w:rsidP="00184DC1">
      <w:pPr>
        <w:pStyle w:val="Nadpis2"/>
      </w:pPr>
      <w:bookmarkStart w:id="837" w:name="_Toc396923407"/>
      <w:r w:rsidRPr="0092047B">
        <w:t>Zahraniční politika</w:t>
      </w:r>
      <w:bookmarkEnd w:id="837"/>
    </w:p>
    <w:p w:rsidR="009724DD" w:rsidRPr="0092047B" w:rsidRDefault="009724DD" w:rsidP="00EF045E">
      <w:pPr>
        <w:pStyle w:val="Zkladntext"/>
        <w:numPr>
          <w:ilvl w:val="0"/>
          <w:numId w:val="21"/>
        </w:numPr>
        <w:spacing w:before="240" w:after="120"/>
        <w:ind w:left="709" w:hanging="567"/>
        <w:rPr>
          <w:rFonts w:cstheme="minorHAnsi"/>
          <w:u w:val="single"/>
        </w:rPr>
      </w:pPr>
      <w:r w:rsidRPr="0092047B">
        <w:rPr>
          <w:rFonts w:cstheme="minorHAnsi"/>
          <w:u w:val="single"/>
        </w:rPr>
        <w:t>V rámci zahraniční politiky v energet</w:t>
      </w:r>
      <w:r w:rsidR="00C333CF" w:rsidRPr="0092047B">
        <w:rPr>
          <w:rFonts w:cstheme="minorHAnsi"/>
          <w:u w:val="single"/>
        </w:rPr>
        <w:t>ice zajistit stálou koordinaci Ú</w:t>
      </w:r>
      <w:r w:rsidRPr="0092047B">
        <w:rPr>
          <w:rFonts w:cstheme="minorHAnsi"/>
          <w:u w:val="single"/>
        </w:rPr>
        <w:t xml:space="preserve">V ČR, MZV, MPO a ERÚ při stanovení </w:t>
      </w:r>
      <w:r w:rsidR="00C333CF" w:rsidRPr="0092047B">
        <w:rPr>
          <w:rFonts w:cstheme="minorHAnsi"/>
          <w:u w:val="single"/>
        </w:rPr>
        <w:t xml:space="preserve">a prosazování </w:t>
      </w:r>
      <w:r w:rsidRPr="0092047B">
        <w:rPr>
          <w:rFonts w:cstheme="minorHAnsi"/>
          <w:u w:val="single"/>
        </w:rPr>
        <w:t xml:space="preserve">priorit a klíčových zájmů ČR, koordinace účastí </w:t>
      </w:r>
      <w:r w:rsidR="00C333CF" w:rsidRPr="0092047B">
        <w:rPr>
          <w:rFonts w:cstheme="minorHAnsi"/>
          <w:u w:val="single"/>
        </w:rPr>
        <w:t xml:space="preserve">na mezinárodních jednáních, zastupování ČR v mezinárodních organizacích a jejích </w:t>
      </w:r>
      <w:r w:rsidRPr="0092047B">
        <w:rPr>
          <w:rFonts w:cstheme="minorHAnsi"/>
          <w:u w:val="single"/>
        </w:rPr>
        <w:t>pracovních skupinách a na důležitých konferencích a odborných diskusích.</w:t>
      </w:r>
    </w:p>
    <w:p w:rsidR="009724DD" w:rsidRPr="0092047B" w:rsidRDefault="009724DD" w:rsidP="00EF045E">
      <w:pPr>
        <w:pStyle w:val="Zkladntext"/>
        <w:spacing w:before="120" w:after="120"/>
        <w:ind w:left="357" w:firstLine="346"/>
        <w:rPr>
          <w:rFonts w:cstheme="minorHAnsi"/>
        </w:rPr>
      </w:pPr>
      <w:r w:rsidRPr="0092047B">
        <w:rPr>
          <w:rFonts w:cstheme="minorHAnsi"/>
        </w:rPr>
        <w:t>V rámci zahraniční politiky ve vztahu na EU zajistit zejména tyto dlouhodobé priority: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Integrace trhu s elektřinou a plynem v regionu CEE a v</w:t>
      </w:r>
      <w:r w:rsidR="00C333CF" w:rsidRPr="0092047B">
        <w:rPr>
          <w:rFonts w:cstheme="minorHAnsi"/>
        </w:rPr>
        <w:t> </w:t>
      </w:r>
      <w:r w:rsidRPr="0092047B">
        <w:rPr>
          <w:rFonts w:cstheme="minorHAnsi"/>
        </w:rPr>
        <w:t>EU</w:t>
      </w:r>
      <w:r w:rsidR="00C333CF" w:rsidRPr="0092047B">
        <w:rPr>
          <w:rFonts w:cstheme="minorHAnsi"/>
        </w:rPr>
        <w:t>.</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Zajištění plné implementace směrnic a nařízení o vnitřním trhu ve všech státech EU. Zejména v oblasti nediskriminačního přístupu k přeshraničním kapacitám a respektování přeshraničních vlivů. </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Integrace rozvoje sítí (včetně účasti na plánování rozvoje evropské přenosové infrastruktury a budování elektrických dálnic – </w:t>
      </w:r>
      <w:r w:rsidR="002D6612">
        <w:rPr>
          <w:rFonts w:cstheme="minorHAnsi"/>
        </w:rPr>
        <w:t>E</w:t>
      </w:r>
      <w:r w:rsidRPr="0092047B">
        <w:rPr>
          <w:rFonts w:cstheme="minorHAnsi"/>
        </w:rPr>
        <w:t xml:space="preserve">lectricity </w:t>
      </w:r>
      <w:r w:rsidR="002D6612">
        <w:rPr>
          <w:rFonts w:cstheme="minorHAnsi"/>
        </w:rPr>
        <w:t>H</w:t>
      </w:r>
      <w:r w:rsidRPr="0092047B">
        <w:rPr>
          <w:rFonts w:cstheme="minorHAnsi"/>
        </w:rPr>
        <w:t>ighway).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Usilovat o odstranění deformací trhu s elektřinou a nastavení rovnoprávných podmínek všech zdrojů energie na trhu. Do doby úplného odstranění dotačních schémat </w:t>
      </w:r>
      <w:r w:rsidR="00680E54" w:rsidRPr="0092047B">
        <w:rPr>
          <w:rFonts w:cstheme="minorHAnsi"/>
        </w:rPr>
        <w:t>prosazovat harmonizované zavádění regulačních me</w:t>
      </w:r>
      <w:r w:rsidRPr="0092047B">
        <w:rPr>
          <w:rFonts w:cstheme="minorHAnsi"/>
        </w:rPr>
        <w:t>chanismů a dotačních schémat</w:t>
      </w:r>
      <w:r w:rsidR="00680E54" w:rsidRPr="0092047B">
        <w:rPr>
          <w:rFonts w:cstheme="minorHAnsi"/>
        </w:rPr>
        <w:t xml:space="preserve"> na zajištění přiměřenosti </w:t>
      </w:r>
      <w:r w:rsidR="002C1D30">
        <w:rPr>
          <w:rFonts w:cstheme="minorHAnsi"/>
        </w:rPr>
        <w:t xml:space="preserve">výrobních kapacit </w:t>
      </w:r>
      <w:r w:rsidR="00680E54" w:rsidRPr="0092047B">
        <w:rPr>
          <w:rFonts w:cstheme="minorHAnsi"/>
        </w:rPr>
        <w:t xml:space="preserve">a systémové spolehlivosti, případně regionální řešení tak, aby nebyly ohroženy zájmy české energetiky a českých společností. </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prosazení jaderné energie jako akceptované bezuhlíkové technologie</w:t>
      </w:r>
      <w:r w:rsidR="00680E54" w:rsidRPr="0092047B">
        <w:rPr>
          <w:rFonts w:cstheme="minorHAnsi"/>
        </w:rPr>
        <w:t>,</w:t>
      </w:r>
      <w:r w:rsidRPr="0092047B">
        <w:rPr>
          <w:rFonts w:cstheme="minorHAnsi"/>
        </w:rPr>
        <w:t xml:space="preserve"> která může být podporována v politice jednotlivých členských zemí.</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vývoj legislativy a regulace v oblasti jaderné bezpečnosti, odpovědnosti za škody, mezinárodních projednávání, ukládání VJP a dalších regulativních opatření v oblasti jaderné energetiky na čistě odborné bázi, bez promítnutí ideologických záměrů a přístupů.</w:t>
      </w:r>
    </w:p>
    <w:p w:rsidR="009724DD" w:rsidRPr="0092047B" w:rsidRDefault="009724DD" w:rsidP="00184DC1">
      <w:pPr>
        <w:pStyle w:val="Zkladntext"/>
        <w:numPr>
          <w:ilvl w:val="2"/>
          <w:numId w:val="17"/>
        </w:numPr>
        <w:spacing w:before="120"/>
        <w:ind w:left="993" w:hanging="567"/>
        <w:contextualSpacing/>
        <w:rPr>
          <w:rStyle w:val="apple-converted-space"/>
          <w:rFonts w:cstheme="minorHAnsi"/>
        </w:rPr>
      </w:pPr>
      <w:r w:rsidRPr="0092047B">
        <w:rPr>
          <w:rFonts w:cs="Arial"/>
          <w:bCs/>
          <w:color w:val="000000"/>
        </w:rPr>
        <w:t>Prosazovat přiměřené změny v oblasti povolovacích procesů a procesů EIA investičních projektů (včetně mezistátních) tak, aby byl u těchto procesů zajištěn co nejefektivnější průběh.</w:t>
      </w:r>
      <w:r w:rsidRPr="0092047B">
        <w:rPr>
          <w:rStyle w:val="apple-converted-space"/>
          <w:rFonts w:cs="Arial"/>
          <w:color w:val="000000"/>
        </w:rPr>
        <w:t> </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w:t>
      </w:r>
      <w:r w:rsidR="00860558">
        <w:rPr>
          <w:rFonts w:cstheme="minorHAnsi"/>
        </w:rPr>
        <w:t>odpora diverzifikace evropských</w:t>
      </w:r>
      <w:r w:rsidRPr="0092047B">
        <w:rPr>
          <w:rFonts w:cstheme="minorHAnsi"/>
        </w:rPr>
        <w:t xml:space="preserve"> přepravních tras a zdrojových teritorií, včetně podpory vyšší interkonektivity (ropa, plyn, elektřina)</w:t>
      </w:r>
      <w:r w:rsidR="00680E54" w:rsidRPr="0092047B">
        <w:rPr>
          <w:rFonts w:cstheme="minorHAnsi"/>
        </w:rPr>
        <w:t xml:space="preserve">, včetně příslušné finanční participace ze strany evropských fondů. </w:t>
      </w:r>
    </w:p>
    <w:p w:rsidR="009724DD" w:rsidRPr="0092047B" w:rsidRDefault="009724DD" w:rsidP="00184DC1">
      <w:pPr>
        <w:pStyle w:val="Zkladntext"/>
        <w:numPr>
          <w:ilvl w:val="2"/>
          <w:numId w:val="17"/>
        </w:numPr>
        <w:spacing w:after="0"/>
        <w:ind w:left="992" w:hanging="567"/>
        <w:rPr>
          <w:rFonts w:cstheme="minorHAnsi"/>
        </w:rPr>
      </w:pPr>
      <w:r w:rsidRPr="0092047B">
        <w:rPr>
          <w:rFonts w:cstheme="minorHAnsi"/>
        </w:rPr>
        <w:t>Posilovat energetickou spolupráci zemí  V4 a snažit se koordinovat postoj ke všem významným dokumentům a rozhodovacím procesům v energetice v rámci EU</w:t>
      </w:r>
      <w:r w:rsidR="00680E54" w:rsidRPr="0092047B">
        <w:rPr>
          <w:rFonts w:cstheme="minorHAnsi"/>
        </w:rPr>
        <w:t>, nicméně cíleně využívat ad hoc koalice napříč EU k prosazování českých zájmů</w:t>
      </w:r>
      <w:r w:rsidRPr="0092047B">
        <w:rPr>
          <w:rFonts w:cstheme="minorHAnsi"/>
        </w:rPr>
        <w:t>.</w:t>
      </w:r>
    </w:p>
    <w:p w:rsidR="00680E54" w:rsidRPr="0092047B" w:rsidRDefault="00680E54" w:rsidP="00184DC1">
      <w:pPr>
        <w:pStyle w:val="Zkladntext"/>
        <w:numPr>
          <w:ilvl w:val="2"/>
          <w:numId w:val="17"/>
        </w:numPr>
        <w:spacing w:after="0"/>
        <w:ind w:left="992" w:hanging="567"/>
        <w:rPr>
          <w:rFonts w:cstheme="minorHAnsi"/>
        </w:rPr>
      </w:pPr>
      <w:r w:rsidRPr="0092047B">
        <w:rPr>
          <w:rFonts w:cstheme="minorHAnsi"/>
        </w:rPr>
        <w:t>V rámci evropských jednání důrazně obhajovat národní suverenitu nad volbou energetického mixu a důsledné technologické neutrality, nákladové efektivity při naplňování evropských dekarbonizačních závazků v kontextu zapojení se ostatních světových emitentů skleníkových plynů do dekarbonizačního úsilí.</w:t>
      </w:r>
      <w:r w:rsidR="006B3BB3" w:rsidRPr="0092047B">
        <w:rPr>
          <w:rFonts w:cstheme="minorHAnsi"/>
        </w:rPr>
        <w:t xml:space="preserve"> </w:t>
      </w:r>
    </w:p>
    <w:p w:rsidR="00680E54" w:rsidRPr="0092047B" w:rsidRDefault="00680E54" w:rsidP="00184DC1">
      <w:pPr>
        <w:pStyle w:val="Zkladntext"/>
        <w:numPr>
          <w:ilvl w:val="2"/>
          <w:numId w:val="17"/>
        </w:numPr>
        <w:spacing w:after="0"/>
        <w:ind w:left="992" w:hanging="567"/>
        <w:rPr>
          <w:rFonts w:cstheme="minorHAnsi"/>
        </w:rPr>
      </w:pPr>
      <w:r w:rsidRPr="0092047B">
        <w:rPr>
          <w:rFonts w:cstheme="minorHAnsi"/>
        </w:rPr>
        <w:t>Podporovat rozvoj krizových plánů pro případy energetických krizí a výjimečných situací na úrovni středoevropského regionu.</w:t>
      </w:r>
    </w:p>
    <w:p w:rsidR="009724DD" w:rsidRPr="0092047B" w:rsidRDefault="009724DD" w:rsidP="00EF045E">
      <w:pPr>
        <w:pStyle w:val="Zkladntext"/>
        <w:spacing w:before="120" w:after="120"/>
        <w:ind w:left="992" w:hanging="567"/>
        <w:rPr>
          <w:rFonts w:cstheme="minorHAnsi"/>
        </w:rPr>
      </w:pPr>
      <w:r w:rsidRPr="0092047B">
        <w:rPr>
          <w:rFonts w:cstheme="minorHAnsi"/>
        </w:rPr>
        <w:t>V rámci zahraniční politiky ve vztahu na země mimo EU:</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aktivní participaci v IEF a IEA a prosazovat zájmy ČR v oblasti stability trhu s</w:t>
      </w:r>
      <w:r w:rsidR="00680E54" w:rsidRPr="0092047B">
        <w:rPr>
          <w:rFonts w:cstheme="minorHAnsi"/>
        </w:rPr>
        <w:t> </w:t>
      </w:r>
      <w:r w:rsidRPr="0092047B">
        <w:rPr>
          <w:rFonts w:cstheme="minorHAnsi"/>
        </w:rPr>
        <w:t>ropou</w:t>
      </w:r>
      <w:r w:rsidR="00680E54" w:rsidRPr="0092047B">
        <w:rPr>
          <w:rFonts w:cstheme="minorHAnsi"/>
        </w:rPr>
        <w:t>.</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 xml:space="preserve">Zajistit podporu smluv s novými producenty plynu ve vazbě na využití </w:t>
      </w:r>
      <w:r w:rsidR="001210CE" w:rsidRPr="0092047B">
        <w:rPr>
          <w:rFonts w:cstheme="minorHAnsi"/>
        </w:rPr>
        <w:t>severojižního</w:t>
      </w:r>
      <w:r w:rsidRPr="0092047B">
        <w:rPr>
          <w:rFonts w:cstheme="minorHAnsi"/>
        </w:rPr>
        <w:t xml:space="preserve"> koridoru a budoucích možností </w:t>
      </w:r>
      <w:r w:rsidR="001210CE" w:rsidRPr="0092047B">
        <w:rPr>
          <w:rFonts w:cstheme="minorHAnsi"/>
        </w:rPr>
        <w:t>přístupu ke LNG</w:t>
      </w:r>
      <w:r w:rsidRPr="0092047B">
        <w:rPr>
          <w:rFonts w:cstheme="minorHAnsi"/>
        </w:rPr>
        <w:t>.</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Koordinovat spolupráci s významnými producentskými a tranzitními zeměmi.</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Podporovat spolupráci v oblasti zabezpečení dodávek ropy a ropných produktů a souvisejících nouzových opatření</w:t>
      </w:r>
      <w:r w:rsidR="00680E54" w:rsidRPr="0092047B">
        <w:rPr>
          <w:rFonts w:cstheme="minorHAnsi"/>
        </w:rPr>
        <w:t>.</w:t>
      </w:r>
    </w:p>
    <w:p w:rsidR="009724DD" w:rsidRPr="0092047B" w:rsidRDefault="009724DD" w:rsidP="00EF045E">
      <w:pPr>
        <w:pStyle w:val="Zkladntext"/>
        <w:numPr>
          <w:ilvl w:val="2"/>
          <w:numId w:val="17"/>
        </w:numPr>
        <w:spacing w:before="120" w:after="120"/>
        <w:ind w:left="993" w:hanging="567"/>
        <w:rPr>
          <w:rFonts w:cstheme="minorHAnsi"/>
        </w:rPr>
      </w:pPr>
      <w:r w:rsidRPr="0092047B">
        <w:rPr>
          <w:rFonts w:cstheme="minorHAnsi"/>
        </w:rPr>
        <w:t>Posílit „energetickou diplomacii“ zejména v zemích producentských či tranzitních, a v tradičních cílových zemích našeho energetického průmyslu i v rozvíjejících se zemích s velkým potenciálem trhu pro energetiku a zejména pro energetické strojírenství. Zaměřit se na informační podporu českých podniků, aktivní vyhledávání obchodních příležitostí a politickou podporu na místní úrovni.</w:t>
      </w:r>
    </w:p>
    <w:p w:rsidR="009724DD" w:rsidRPr="0092047B" w:rsidRDefault="00E278F9" w:rsidP="00EF045E">
      <w:pPr>
        <w:pStyle w:val="Zkladntext"/>
        <w:spacing w:before="120" w:after="120"/>
        <w:ind w:left="720" w:hanging="11"/>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7E7735">
        <w:rPr>
          <w:rFonts w:cstheme="minorHAnsi"/>
        </w:rPr>
        <w:tab/>
      </w:r>
      <w:r w:rsidR="009724DD" w:rsidRPr="0092047B">
        <w:rPr>
          <w:rFonts w:cstheme="minorHAnsi"/>
        </w:rPr>
        <w:t>ÚV ČR, MZV, MPO, MŽP, MV, ERÚ, SSHR</w:t>
      </w:r>
    </w:p>
    <w:p w:rsidR="009724DD" w:rsidRPr="0092047B" w:rsidRDefault="009724DD" w:rsidP="00184DC1">
      <w:pPr>
        <w:pStyle w:val="Zkladntext"/>
        <w:spacing w:before="120"/>
        <w:ind w:left="720" w:hanging="11"/>
        <w:rPr>
          <w:rFonts w:cstheme="minorHAnsi"/>
          <w:u w:val="single"/>
        </w:rPr>
      </w:pPr>
      <w:r w:rsidRPr="0092047B">
        <w:rPr>
          <w:rFonts w:cstheme="minorHAnsi"/>
          <w:u w:val="single"/>
        </w:rPr>
        <w:t>Termín:</w:t>
      </w:r>
      <w:r w:rsidRPr="0092047B">
        <w:rPr>
          <w:rFonts w:cstheme="minorHAnsi"/>
        </w:rPr>
        <w:tab/>
        <w:t>průběžně</w:t>
      </w:r>
    </w:p>
    <w:p w:rsidR="009724DD" w:rsidRPr="0092047B" w:rsidRDefault="009724DD" w:rsidP="00184DC1">
      <w:pPr>
        <w:rPr>
          <w:rFonts w:cstheme="minorHAnsi"/>
        </w:rPr>
      </w:pPr>
      <w:r w:rsidRPr="0092047B">
        <w:rPr>
          <w:rFonts w:cstheme="minorHAnsi"/>
        </w:rPr>
        <w:br w:type="page"/>
      </w:r>
    </w:p>
    <w:p w:rsidR="009724DD" w:rsidRPr="0092047B" w:rsidRDefault="009724DD" w:rsidP="00184DC1">
      <w:pPr>
        <w:pStyle w:val="Nadpis2"/>
      </w:pPr>
      <w:bookmarkStart w:id="838" w:name="_Toc396923408"/>
      <w:r w:rsidRPr="0092047B">
        <w:t>Nástroje v oblasti vzdělávání a podpory vědy a výzkumu</w:t>
      </w:r>
      <w:bookmarkEnd w:id="838"/>
    </w:p>
    <w:p w:rsidR="009724DD" w:rsidRPr="0092047B" w:rsidRDefault="009724DD" w:rsidP="00EF045E">
      <w:pPr>
        <w:pStyle w:val="Zkladntext"/>
        <w:numPr>
          <w:ilvl w:val="0"/>
          <w:numId w:val="22"/>
        </w:numPr>
        <w:spacing w:before="240" w:after="120"/>
        <w:ind w:left="709" w:hanging="567"/>
        <w:rPr>
          <w:rFonts w:cstheme="minorHAnsi"/>
          <w:u w:val="single"/>
        </w:rPr>
      </w:pPr>
      <w:r w:rsidRPr="0092047B">
        <w:rPr>
          <w:rFonts w:cstheme="minorHAnsi"/>
          <w:u w:val="single"/>
        </w:rPr>
        <w:t>Iniciovat v rámci podpory technických a přírodovědných oborů jednání subjektů působících v sektoru energetiky se zástupci technických fakult vysokých škol</w:t>
      </w:r>
    </w:p>
    <w:p w:rsidR="009724DD" w:rsidRPr="0092047B" w:rsidRDefault="009724DD" w:rsidP="00EF045E">
      <w:pPr>
        <w:pStyle w:val="Zkladntext"/>
        <w:numPr>
          <w:ilvl w:val="2"/>
          <w:numId w:val="17"/>
        </w:numPr>
        <w:spacing w:before="120" w:after="120"/>
        <w:ind w:left="993" w:hanging="567"/>
        <w:rPr>
          <w:rFonts w:cstheme="minorHAnsi"/>
        </w:rPr>
      </w:pPr>
      <w:r w:rsidRPr="0092047B">
        <w:rPr>
          <w:rFonts w:cstheme="minorHAnsi"/>
        </w:rPr>
        <w:t>Tématem jednání bude posílení úlohy technického vzdělávání, a to s důrazem na potřeby energetiky.</w:t>
      </w:r>
    </w:p>
    <w:p w:rsidR="009724DD" w:rsidRPr="0092047B" w:rsidRDefault="00E278F9" w:rsidP="00EF045E">
      <w:pPr>
        <w:pStyle w:val="Zkladntext"/>
        <w:spacing w:before="120" w:after="120"/>
        <w:ind w:left="720" w:hanging="11"/>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7E7735">
        <w:rPr>
          <w:rFonts w:cstheme="minorHAnsi"/>
        </w:rPr>
        <w:tab/>
      </w:r>
      <w:r w:rsidR="009724DD" w:rsidRPr="0092047B">
        <w:rPr>
          <w:rFonts w:cstheme="minorHAnsi"/>
        </w:rPr>
        <w:t>MPO</w:t>
      </w:r>
      <w:r w:rsidR="003F4E03">
        <w:rPr>
          <w:rFonts w:cstheme="minorHAnsi"/>
        </w:rPr>
        <w:t xml:space="preserve"> a</w:t>
      </w:r>
      <w:r w:rsidR="003F4E03" w:rsidRPr="0092047B">
        <w:rPr>
          <w:rFonts w:cstheme="minorHAnsi"/>
        </w:rPr>
        <w:t> MŠMT</w:t>
      </w:r>
      <w:r w:rsidR="0079309F">
        <w:rPr>
          <w:rFonts w:cstheme="minorHAnsi"/>
        </w:rPr>
        <w:t xml:space="preserve"> v součinnosti s</w:t>
      </w:r>
      <w:r w:rsidR="003F4E03">
        <w:rPr>
          <w:rFonts w:cstheme="minorHAnsi"/>
        </w:rPr>
        <w:t> dalšími zainteresovanými subjekty</w:t>
      </w:r>
    </w:p>
    <w:p w:rsidR="009724DD" w:rsidRPr="0092047B" w:rsidRDefault="009724DD" w:rsidP="00184DC1">
      <w:pPr>
        <w:pStyle w:val="Zkladntext"/>
        <w:spacing w:before="120"/>
        <w:ind w:left="720" w:hanging="11"/>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2015</w:t>
      </w:r>
    </w:p>
    <w:p w:rsidR="009724DD" w:rsidRPr="0092047B" w:rsidRDefault="009724DD" w:rsidP="00EF045E">
      <w:pPr>
        <w:pStyle w:val="Zkladntext"/>
        <w:numPr>
          <w:ilvl w:val="0"/>
          <w:numId w:val="22"/>
        </w:numPr>
        <w:spacing w:before="240" w:after="120"/>
        <w:ind w:left="709" w:hanging="567"/>
        <w:rPr>
          <w:rFonts w:cstheme="minorHAnsi"/>
          <w:u w:val="single"/>
        </w:rPr>
      </w:pPr>
      <w:r w:rsidRPr="0092047B">
        <w:rPr>
          <w:rFonts w:cstheme="minorHAnsi"/>
          <w:u w:val="single"/>
        </w:rPr>
        <w:t>Zajistit podporu společným výzkumným projektům českých a zahraničních výzkumných ústavů, vysokých škol a firem.</w:t>
      </w:r>
    </w:p>
    <w:p w:rsidR="009724DD" w:rsidRPr="0092047B" w:rsidRDefault="009724DD" w:rsidP="00EF045E">
      <w:pPr>
        <w:pStyle w:val="Zkladntext"/>
        <w:numPr>
          <w:ilvl w:val="2"/>
          <w:numId w:val="17"/>
        </w:numPr>
        <w:spacing w:before="120" w:after="120"/>
        <w:ind w:left="993" w:hanging="567"/>
        <w:rPr>
          <w:rFonts w:cstheme="minorHAnsi"/>
        </w:rPr>
      </w:pPr>
      <w:r w:rsidRPr="0092047B">
        <w:rPr>
          <w:rFonts w:cstheme="minorHAnsi"/>
        </w:rPr>
        <w:t>V rámci programů VaVaI zajišťovat podporu společným projektům výzkumu, vývoje a inovací českých a zahraničních výzkumných organizací a podnikatelů v rámci programů mezinárodní spolupráce.</w:t>
      </w:r>
    </w:p>
    <w:p w:rsidR="009724DD" w:rsidRPr="0092047B" w:rsidRDefault="00E278F9" w:rsidP="00EF045E">
      <w:pPr>
        <w:pStyle w:val="Zkladntext"/>
        <w:spacing w:before="120" w:after="120"/>
        <w:ind w:left="720" w:hanging="11"/>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7E7735">
        <w:rPr>
          <w:rFonts w:cstheme="minorHAnsi"/>
        </w:rPr>
        <w:tab/>
      </w:r>
      <w:r w:rsidR="009724DD" w:rsidRPr="0092047B">
        <w:rPr>
          <w:rFonts w:cstheme="minorHAnsi"/>
        </w:rPr>
        <w:t>MŠMT a ostatní poskytovatelé</w:t>
      </w:r>
    </w:p>
    <w:p w:rsidR="009724DD" w:rsidRPr="0092047B" w:rsidRDefault="009724DD" w:rsidP="00184DC1">
      <w:pPr>
        <w:pStyle w:val="Zkladntext"/>
        <w:spacing w:before="120"/>
        <w:ind w:left="720" w:hanging="11"/>
      </w:pPr>
      <w:r w:rsidRPr="0092047B">
        <w:rPr>
          <w:rFonts w:cstheme="minorHAnsi"/>
          <w:u w:val="single"/>
        </w:rPr>
        <w:t>Termín:</w:t>
      </w:r>
      <w:r w:rsidRPr="0092047B">
        <w:rPr>
          <w:rFonts w:cstheme="minorHAnsi"/>
        </w:rPr>
        <w:tab/>
        <w:t>průběžně</w:t>
      </w:r>
    </w:p>
    <w:p w:rsidR="009724DD" w:rsidRPr="0092047B" w:rsidRDefault="009724DD" w:rsidP="00EF045E">
      <w:pPr>
        <w:pStyle w:val="Zkladntext"/>
        <w:numPr>
          <w:ilvl w:val="0"/>
          <w:numId w:val="22"/>
        </w:numPr>
        <w:spacing w:before="240" w:after="120"/>
        <w:ind w:left="709" w:hanging="567"/>
        <w:rPr>
          <w:rFonts w:cstheme="minorHAnsi"/>
          <w:u w:val="single"/>
        </w:rPr>
      </w:pPr>
      <w:r w:rsidRPr="0092047B">
        <w:rPr>
          <w:rFonts w:cstheme="minorHAnsi"/>
          <w:u w:val="single"/>
        </w:rPr>
        <w:t xml:space="preserve">Zajistit podporu pilotních projektů VaV v oblasti energetiky v návaznosti na SET </w:t>
      </w:r>
      <w:r w:rsidR="001210CE" w:rsidRPr="0092047B">
        <w:rPr>
          <w:rFonts w:cstheme="minorHAnsi"/>
          <w:u w:val="single"/>
        </w:rPr>
        <w:t>plán</w:t>
      </w:r>
    </w:p>
    <w:p w:rsidR="009724DD" w:rsidRPr="0092047B" w:rsidRDefault="009724DD" w:rsidP="00EF045E">
      <w:pPr>
        <w:pStyle w:val="Zkladntext"/>
        <w:numPr>
          <w:ilvl w:val="2"/>
          <w:numId w:val="17"/>
        </w:numPr>
        <w:spacing w:before="120" w:after="120"/>
        <w:ind w:left="993" w:hanging="567"/>
        <w:rPr>
          <w:rFonts w:cstheme="minorHAnsi"/>
        </w:rPr>
      </w:pPr>
      <w:r w:rsidRPr="0092047B">
        <w:rPr>
          <w:rFonts w:cstheme="minorHAnsi"/>
        </w:rPr>
        <w:t>Orientovat nový program strategicky usměrňované podpory výzkumných projektů v oblasti energetiky (inteligentní sítě, elektroakumulace, V</w:t>
      </w:r>
      <w:r w:rsidR="00860558">
        <w:rPr>
          <w:rFonts w:cstheme="minorHAnsi"/>
        </w:rPr>
        <w:t>a</w:t>
      </w:r>
      <w:r w:rsidRPr="0092047B">
        <w:rPr>
          <w:rFonts w:cstheme="minorHAnsi"/>
        </w:rPr>
        <w:t xml:space="preserve">V v oblasti jaderných technologií) v kontextu prioritní oblasti „Udržitelná energetika“ podle usnesení vlády České republiky ze dne 19. července 2012 č. 552 Národní priority orientovaného výzkumu, experimentálního vývoje a inovací.“ a potřeb plynoucích </w:t>
      </w:r>
      <w:r w:rsidR="002D6612">
        <w:rPr>
          <w:rFonts w:cstheme="minorHAnsi"/>
        </w:rPr>
        <w:t xml:space="preserve">z </w:t>
      </w:r>
      <w:r w:rsidRPr="0092047B">
        <w:rPr>
          <w:rFonts w:cstheme="minorHAnsi"/>
        </w:rPr>
        <w:t xml:space="preserve">naplňování Státní energetické koncepce. </w:t>
      </w:r>
    </w:p>
    <w:p w:rsidR="009724DD" w:rsidRPr="0092047B" w:rsidRDefault="00E278F9" w:rsidP="00EF045E">
      <w:pPr>
        <w:pStyle w:val="Zkladntext"/>
        <w:spacing w:before="120" w:after="120"/>
        <w:ind w:left="720" w:hanging="11"/>
        <w:rPr>
          <w:rFonts w:cstheme="minorHAnsi"/>
          <w:u w:val="single"/>
        </w:rPr>
      </w:pPr>
      <w:r w:rsidRPr="0092047B">
        <w:rPr>
          <w:rFonts w:cstheme="minorHAnsi"/>
          <w:u w:val="single"/>
        </w:rPr>
        <w:t>Zajistí</w:t>
      </w:r>
      <w:r w:rsidR="009724DD" w:rsidRPr="0092047B">
        <w:rPr>
          <w:rFonts w:cstheme="minorHAnsi"/>
          <w:u w:val="single"/>
        </w:rPr>
        <w:t>:</w:t>
      </w:r>
      <w:r w:rsidR="009724DD" w:rsidRPr="0092047B">
        <w:rPr>
          <w:rFonts w:cstheme="minorHAnsi"/>
        </w:rPr>
        <w:tab/>
      </w:r>
      <w:r w:rsidR="007E7735">
        <w:rPr>
          <w:rFonts w:cstheme="minorHAnsi"/>
        </w:rPr>
        <w:tab/>
      </w:r>
      <w:r w:rsidR="003F4E03">
        <w:rPr>
          <w:rFonts w:cstheme="minorHAnsi"/>
        </w:rPr>
        <w:t>TA ČR</w:t>
      </w:r>
      <w:r w:rsidR="009724DD" w:rsidRPr="0092047B">
        <w:rPr>
          <w:rFonts w:cstheme="minorHAnsi"/>
        </w:rPr>
        <w:t>, v součinnosti s</w:t>
      </w:r>
      <w:r w:rsidR="003F4E03">
        <w:rPr>
          <w:rFonts w:cstheme="minorHAnsi"/>
        </w:rPr>
        <w:t> MPO</w:t>
      </w:r>
      <w:r w:rsidR="00BA5F02">
        <w:rPr>
          <w:rFonts w:cstheme="minorHAnsi"/>
        </w:rPr>
        <w:t xml:space="preserve"> </w:t>
      </w:r>
      <w:r w:rsidR="009724DD" w:rsidRPr="0092047B">
        <w:rPr>
          <w:rFonts w:cstheme="minorHAnsi"/>
        </w:rPr>
        <w:t>a MŠMT</w:t>
      </w:r>
    </w:p>
    <w:p w:rsidR="009724DD" w:rsidRPr="0092047B" w:rsidRDefault="009724DD" w:rsidP="00184DC1">
      <w:pPr>
        <w:pStyle w:val="Zkladntext"/>
        <w:spacing w:before="120"/>
        <w:ind w:left="720" w:hanging="11"/>
        <w:rPr>
          <w:rFonts w:cstheme="minorHAnsi"/>
          <w:u w:val="single"/>
        </w:rPr>
      </w:pPr>
      <w:r w:rsidRPr="0092047B">
        <w:rPr>
          <w:rFonts w:cstheme="minorHAnsi"/>
          <w:u w:val="single"/>
        </w:rPr>
        <w:t>Termín:</w:t>
      </w:r>
      <w:r w:rsidRPr="0092047B">
        <w:rPr>
          <w:rFonts w:cstheme="minorHAnsi"/>
        </w:rPr>
        <w:tab/>
        <w:t>podle UV č. 552/12</w:t>
      </w:r>
    </w:p>
    <w:p w:rsidR="009724DD" w:rsidRPr="0092047B" w:rsidRDefault="009724DD" w:rsidP="00184DC1">
      <w:pPr>
        <w:rPr>
          <w:rFonts w:cstheme="minorHAnsi"/>
        </w:rPr>
      </w:pPr>
      <w:r w:rsidRPr="0092047B">
        <w:rPr>
          <w:rFonts w:cstheme="minorHAnsi"/>
        </w:rPr>
        <w:br w:type="page"/>
      </w:r>
    </w:p>
    <w:p w:rsidR="009724DD" w:rsidRPr="0092047B" w:rsidRDefault="009724DD" w:rsidP="00184DC1">
      <w:pPr>
        <w:pStyle w:val="Nadpis2"/>
      </w:pPr>
      <w:bookmarkStart w:id="839" w:name="_Toc396923409"/>
      <w:r w:rsidRPr="0092047B">
        <w:t>Výkon vlastnických práv státu k energetickým společnostem s majetkovou účastí Č</w:t>
      </w:r>
      <w:r w:rsidR="005218D2">
        <w:t>eské republiky</w:t>
      </w:r>
      <w:bookmarkEnd w:id="839"/>
      <w:r w:rsidRPr="0092047B">
        <w:t xml:space="preserve"> </w:t>
      </w:r>
    </w:p>
    <w:p w:rsidR="009724DD" w:rsidRPr="0092047B" w:rsidRDefault="009724DD" w:rsidP="00EF045E">
      <w:pPr>
        <w:pStyle w:val="Zkladntext"/>
        <w:numPr>
          <w:ilvl w:val="0"/>
          <w:numId w:val="23"/>
        </w:numPr>
        <w:spacing w:before="240" w:after="120"/>
        <w:ind w:left="709" w:hanging="567"/>
        <w:rPr>
          <w:rFonts w:cstheme="minorHAnsi"/>
          <w:u w:val="single"/>
        </w:rPr>
      </w:pPr>
      <w:r w:rsidRPr="0092047B">
        <w:rPr>
          <w:rFonts w:cstheme="minorHAnsi"/>
          <w:u w:val="single"/>
        </w:rPr>
        <w:t>Zajistit posílení pozice státu v energetických společnostech s významným vlivem státu</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Soustředit se na přípravu valných hromad a konkrétní zadání vlastníka na VH směřující k naplnění strategických zájmů státu vyjádřených v SEK a Surovinové politice.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Posílit kontrolní úlohu dozorčích rad nad realizací zadání VH.</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obsazování dozorčích rad osobami s odbornými předpoklady pro řádný výkon této funkce.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Zajistit změnu stanov tak</w:t>
      </w:r>
      <w:r w:rsidR="00860558">
        <w:rPr>
          <w:rFonts w:cstheme="minorHAnsi"/>
        </w:rPr>
        <w:t>,</w:t>
      </w:r>
      <w:r w:rsidRPr="0092047B">
        <w:rPr>
          <w:rFonts w:cstheme="minorHAnsi"/>
        </w:rPr>
        <w:t xml:space="preserve"> aby zajišťovala ve všech společnostech s nadpoloviční účastí státu:</w:t>
      </w:r>
    </w:p>
    <w:p w:rsidR="009724DD" w:rsidRPr="0092047B" w:rsidRDefault="009724DD" w:rsidP="00184DC1">
      <w:pPr>
        <w:pStyle w:val="Zkladntext"/>
        <w:numPr>
          <w:ilvl w:val="0"/>
          <w:numId w:val="24"/>
        </w:numPr>
        <w:spacing w:before="120"/>
        <w:ind w:left="1560" w:hanging="567"/>
        <w:contextualSpacing/>
        <w:rPr>
          <w:rFonts w:cstheme="minorHAnsi"/>
        </w:rPr>
      </w:pPr>
      <w:r w:rsidRPr="0092047B">
        <w:rPr>
          <w:rFonts w:cstheme="minorHAnsi"/>
        </w:rPr>
        <w:t>Schvalování strategie společnosti DR a zajištění souladu se SEK</w:t>
      </w:r>
      <w:r w:rsidR="00860558">
        <w:rPr>
          <w:rFonts w:cstheme="minorHAnsi"/>
        </w:rPr>
        <w:t>.</w:t>
      </w:r>
    </w:p>
    <w:p w:rsidR="009724DD" w:rsidRPr="0092047B" w:rsidRDefault="009724DD" w:rsidP="00EF045E">
      <w:pPr>
        <w:pStyle w:val="Zkladntext"/>
        <w:numPr>
          <w:ilvl w:val="0"/>
          <w:numId w:val="24"/>
        </w:numPr>
        <w:spacing w:before="120" w:after="120"/>
        <w:ind w:left="1560" w:hanging="567"/>
        <w:rPr>
          <w:rFonts w:cstheme="minorHAnsi"/>
        </w:rPr>
      </w:pPr>
      <w:r w:rsidRPr="0092047B">
        <w:rPr>
          <w:rFonts w:cstheme="minorHAnsi"/>
        </w:rPr>
        <w:t>Schvalování významných investičních rozhodnutí a zajištění jejich souladu se schválenou strategií společnosti, se SEK, surovinovou politikou,</w:t>
      </w:r>
      <w:r w:rsidRPr="0092047B">
        <w:rPr>
          <w:b/>
          <w:sz w:val="22"/>
          <w:szCs w:val="22"/>
        </w:rPr>
        <w:t xml:space="preserve"> </w:t>
      </w:r>
      <w:r w:rsidRPr="0092047B">
        <w:rPr>
          <w:rFonts w:cstheme="minorHAnsi"/>
        </w:rPr>
        <w:t>Bezpečnostní strategií ČR a případnými dalšími koncepčními dokumenty</w:t>
      </w:r>
      <w:r w:rsidR="00860558">
        <w:rPr>
          <w:rFonts w:cstheme="minorHAnsi"/>
        </w:rPr>
        <w:t>.</w:t>
      </w:r>
    </w:p>
    <w:p w:rsidR="009724DD" w:rsidRPr="0092047B" w:rsidRDefault="00E278F9" w:rsidP="00EF045E">
      <w:pPr>
        <w:pStyle w:val="Zkladntext"/>
        <w:spacing w:before="120" w:after="120"/>
        <w:ind w:firstLine="708"/>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7E7735">
        <w:rPr>
          <w:rFonts w:cstheme="minorHAnsi"/>
        </w:rPr>
        <w:tab/>
      </w:r>
      <w:r w:rsidR="009724DD" w:rsidRPr="0092047B">
        <w:rPr>
          <w:rFonts w:cstheme="minorHAnsi"/>
        </w:rPr>
        <w:t xml:space="preserve">MPO, MF </w:t>
      </w:r>
    </w:p>
    <w:p w:rsidR="009724DD" w:rsidRPr="0092047B" w:rsidRDefault="009724DD" w:rsidP="00184DC1">
      <w:pPr>
        <w:pStyle w:val="Zkladntext"/>
        <w:spacing w:before="120"/>
        <w:ind w:firstLine="708"/>
        <w:rPr>
          <w:rFonts w:cstheme="minorHAnsi"/>
          <w:u w:val="single"/>
        </w:rPr>
      </w:pPr>
      <w:r w:rsidRPr="0092047B">
        <w:rPr>
          <w:rFonts w:cstheme="minorHAnsi"/>
          <w:u w:val="single"/>
        </w:rPr>
        <w:t>Termín:</w:t>
      </w:r>
      <w:r w:rsidRPr="0092047B">
        <w:rPr>
          <w:rFonts w:cstheme="minorHAnsi"/>
        </w:rPr>
        <w:t xml:space="preserve"> </w:t>
      </w:r>
      <w:r w:rsidRPr="0092047B">
        <w:rPr>
          <w:rFonts w:cstheme="minorHAnsi"/>
        </w:rPr>
        <w:tab/>
        <w:t>do 31. 12. 2015</w:t>
      </w:r>
    </w:p>
    <w:p w:rsidR="009724DD" w:rsidRPr="0092047B" w:rsidRDefault="009724DD" w:rsidP="00184DC1">
      <w:pPr>
        <w:rPr>
          <w:rFonts w:cstheme="minorHAnsi"/>
        </w:rPr>
      </w:pPr>
      <w:r w:rsidRPr="0092047B">
        <w:rPr>
          <w:rFonts w:cstheme="minorHAnsi"/>
        </w:rPr>
        <w:br w:type="page"/>
      </w:r>
    </w:p>
    <w:p w:rsidR="009724DD" w:rsidRPr="0092047B" w:rsidRDefault="009724DD" w:rsidP="00184DC1">
      <w:pPr>
        <w:pStyle w:val="Nadpis2"/>
      </w:pPr>
      <w:bookmarkStart w:id="840" w:name="_Toc396923410"/>
      <w:r w:rsidRPr="0092047B">
        <w:t>Komunikace a medializace</w:t>
      </w:r>
      <w:bookmarkEnd w:id="840"/>
    </w:p>
    <w:p w:rsidR="009724DD" w:rsidRPr="0092047B" w:rsidRDefault="009724DD" w:rsidP="00EF045E">
      <w:pPr>
        <w:pStyle w:val="Zkladntext"/>
        <w:numPr>
          <w:ilvl w:val="0"/>
          <w:numId w:val="25"/>
        </w:numPr>
        <w:spacing w:before="240" w:after="120"/>
        <w:ind w:left="709" w:hanging="567"/>
        <w:rPr>
          <w:rFonts w:cstheme="minorHAnsi"/>
          <w:u w:val="single"/>
        </w:rPr>
      </w:pPr>
      <w:r w:rsidRPr="0092047B">
        <w:rPr>
          <w:rFonts w:cstheme="minorHAnsi"/>
          <w:u w:val="single"/>
        </w:rPr>
        <w:t xml:space="preserve">Zveřejnit </w:t>
      </w:r>
      <w:r w:rsidR="00E6206F">
        <w:rPr>
          <w:rFonts w:cstheme="minorHAnsi"/>
          <w:u w:val="single"/>
        </w:rPr>
        <w:t xml:space="preserve">Státní </w:t>
      </w:r>
      <w:r w:rsidRPr="0092047B">
        <w:rPr>
          <w:rFonts w:cstheme="minorHAnsi"/>
          <w:u w:val="single"/>
        </w:rPr>
        <w:t>energetick</w:t>
      </w:r>
      <w:r w:rsidR="00447347">
        <w:rPr>
          <w:rFonts w:cstheme="minorHAnsi"/>
          <w:u w:val="single"/>
        </w:rPr>
        <w:t>ou</w:t>
      </w:r>
      <w:r w:rsidRPr="0092047B">
        <w:rPr>
          <w:rFonts w:cstheme="minorHAnsi"/>
          <w:u w:val="single"/>
        </w:rPr>
        <w:t xml:space="preserve"> koncepci</w:t>
      </w:r>
      <w:r w:rsidR="00447347">
        <w:rPr>
          <w:rFonts w:cstheme="minorHAnsi"/>
          <w:u w:val="single"/>
        </w:rPr>
        <w:t>,</w:t>
      </w:r>
      <w:r w:rsidRPr="0092047B">
        <w:rPr>
          <w:rFonts w:cstheme="minorHAnsi"/>
          <w:u w:val="single"/>
        </w:rPr>
        <w:t xml:space="preserve"> </w:t>
      </w:r>
      <w:r w:rsidR="00FD6A0D">
        <w:rPr>
          <w:rFonts w:cstheme="minorHAnsi"/>
          <w:u w:val="single"/>
        </w:rPr>
        <w:t>a</w:t>
      </w:r>
      <w:r w:rsidR="00447347">
        <w:rPr>
          <w:rFonts w:cstheme="minorHAnsi"/>
          <w:u w:val="single"/>
        </w:rPr>
        <w:t xml:space="preserve">nalýzu ekonomických jejích dopadů a </w:t>
      </w:r>
      <w:r w:rsidR="00FD6A0D">
        <w:rPr>
          <w:rFonts w:cstheme="minorHAnsi"/>
          <w:u w:val="single"/>
        </w:rPr>
        <w:t xml:space="preserve">možné scénáře vývoje české energetiky </w:t>
      </w:r>
      <w:r w:rsidRPr="0092047B">
        <w:rPr>
          <w:rFonts w:cstheme="minorHAnsi"/>
          <w:u w:val="single"/>
        </w:rPr>
        <w:t>po jejím projednání vládou</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Zpracovat a zveřejnit výkladové dokumenty obsahující podrobný výklad situace v energetice, současných a budoucích podmínek a trendů energetiky ČR a okrajových podmínek tvorby Státní energetické koncepce.</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Zpřístupnit na jednom místě dostupné analytické zprávy a dlouhodobé predikce vývoje v energetice, nebo uvést odkazy na příslušné dokumenty.</w:t>
      </w:r>
    </w:p>
    <w:p w:rsidR="009724DD" w:rsidRPr="0092047B" w:rsidRDefault="009724DD" w:rsidP="00184DC1">
      <w:pPr>
        <w:pStyle w:val="Zkladntext"/>
        <w:numPr>
          <w:ilvl w:val="2"/>
          <w:numId w:val="17"/>
        </w:numPr>
        <w:spacing w:before="120"/>
        <w:ind w:left="993" w:hanging="567"/>
        <w:contextualSpacing/>
        <w:rPr>
          <w:rFonts w:cstheme="minorHAnsi"/>
        </w:rPr>
      </w:pPr>
      <w:r w:rsidRPr="0092047B">
        <w:rPr>
          <w:rFonts w:cstheme="minorHAnsi"/>
        </w:rPr>
        <w:t>Doporučit zařazení informace o energetice a energetické strategii do rámcových vzdělávacích programů všech technických středních škol a alespoň v základní podobě do rámcového vzdělávacího programu pro gymnázia.</w:t>
      </w:r>
    </w:p>
    <w:p w:rsidR="00A83D7F" w:rsidRPr="00A83D7F" w:rsidRDefault="009724DD" w:rsidP="00EF045E">
      <w:pPr>
        <w:pStyle w:val="Zkladntext"/>
        <w:numPr>
          <w:ilvl w:val="2"/>
          <w:numId w:val="17"/>
        </w:numPr>
        <w:spacing w:before="120" w:after="120"/>
        <w:ind w:left="992" w:hanging="567"/>
        <w:rPr>
          <w:rFonts w:cstheme="minorHAnsi"/>
        </w:rPr>
      </w:pPr>
      <w:r w:rsidRPr="0092047B">
        <w:rPr>
          <w:rFonts w:cstheme="minorHAnsi"/>
        </w:rPr>
        <w:t>Podpořit uspořádání cyklu odborných seminářů pro energetickou odbornou veřejnost zaměřených na prezentaci SEK, jejích jedn</w:t>
      </w:r>
      <w:r w:rsidR="00A83D7F">
        <w:rPr>
          <w:rFonts w:cstheme="minorHAnsi"/>
        </w:rPr>
        <w:t xml:space="preserve">otlivých oblastí a souvislostí. </w:t>
      </w:r>
      <w:r w:rsidRPr="0092047B">
        <w:rPr>
          <w:rFonts w:cstheme="minorHAnsi"/>
        </w:rPr>
        <w:t>Uspořádat v rámci seminářů diskuse.</w:t>
      </w:r>
    </w:p>
    <w:p w:rsidR="009724DD" w:rsidRPr="0092047B" w:rsidRDefault="00E278F9" w:rsidP="00EF045E">
      <w:pPr>
        <w:pStyle w:val="Zkladntext"/>
        <w:spacing w:before="120" w:after="120"/>
        <w:ind w:left="708" w:firstLine="1"/>
        <w:rPr>
          <w:rFonts w:cstheme="minorHAnsi"/>
        </w:rPr>
      </w:pPr>
      <w:r w:rsidRPr="0092047B">
        <w:rPr>
          <w:rFonts w:cstheme="minorHAnsi"/>
          <w:u w:val="single"/>
        </w:rPr>
        <w:t>Zajistí</w:t>
      </w:r>
      <w:r w:rsidR="009724DD" w:rsidRPr="0092047B">
        <w:rPr>
          <w:rFonts w:cstheme="minorHAnsi"/>
          <w:u w:val="single"/>
        </w:rPr>
        <w:t>:</w:t>
      </w:r>
      <w:r w:rsidR="009724DD" w:rsidRPr="0092047B">
        <w:rPr>
          <w:rFonts w:cstheme="minorHAnsi"/>
        </w:rPr>
        <w:t xml:space="preserve"> </w:t>
      </w:r>
      <w:r w:rsidR="009724DD" w:rsidRPr="0092047B">
        <w:rPr>
          <w:rFonts w:cstheme="minorHAnsi"/>
        </w:rPr>
        <w:tab/>
      </w:r>
      <w:r w:rsidR="00BA5F02">
        <w:rPr>
          <w:rFonts w:cstheme="minorHAnsi"/>
        </w:rPr>
        <w:tab/>
      </w:r>
      <w:r w:rsidR="009724DD" w:rsidRPr="0092047B">
        <w:rPr>
          <w:rFonts w:cstheme="minorHAnsi"/>
        </w:rPr>
        <w:t>MPO, MŠMT</w:t>
      </w:r>
    </w:p>
    <w:p w:rsidR="009724DD" w:rsidRPr="0092047B" w:rsidRDefault="009724DD" w:rsidP="00184DC1">
      <w:pPr>
        <w:pStyle w:val="Zkladntext"/>
        <w:spacing w:before="120"/>
        <w:ind w:left="2124" w:hanging="1415"/>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2017</w:t>
      </w:r>
      <w:r w:rsidR="00E745E3">
        <w:rPr>
          <w:rFonts w:cstheme="minorHAnsi"/>
        </w:rPr>
        <w:t xml:space="preserve"> (zveřejnění SEK a všech relevantních dokumentů neprodleně po schválení vládou)</w:t>
      </w:r>
    </w:p>
    <w:p w:rsidR="009724DD" w:rsidRPr="0092047B" w:rsidRDefault="009724DD" w:rsidP="00EF045E">
      <w:pPr>
        <w:pStyle w:val="Zkladntext"/>
        <w:numPr>
          <w:ilvl w:val="0"/>
          <w:numId w:val="25"/>
        </w:numPr>
        <w:spacing w:before="240" w:after="120"/>
        <w:ind w:left="709" w:hanging="567"/>
        <w:rPr>
          <w:rFonts w:cstheme="minorHAnsi"/>
          <w:u w:val="single"/>
        </w:rPr>
      </w:pPr>
      <w:r w:rsidRPr="0092047B">
        <w:rPr>
          <w:rFonts w:cstheme="minorHAnsi"/>
          <w:u w:val="single"/>
        </w:rPr>
        <w:t>Oslovit vedení vysokých škol</w:t>
      </w:r>
    </w:p>
    <w:p w:rsidR="009724DD" w:rsidRPr="0092047B" w:rsidRDefault="009724DD" w:rsidP="00EF045E">
      <w:pPr>
        <w:pStyle w:val="Zkladntext"/>
        <w:numPr>
          <w:ilvl w:val="2"/>
          <w:numId w:val="17"/>
        </w:numPr>
        <w:spacing w:before="120" w:after="120"/>
        <w:ind w:left="993" w:hanging="567"/>
        <w:rPr>
          <w:rFonts w:cstheme="minorHAnsi"/>
        </w:rPr>
      </w:pPr>
      <w:r w:rsidRPr="0092047B">
        <w:rPr>
          <w:rFonts w:cstheme="minorHAnsi"/>
        </w:rPr>
        <w:t>Doporučit rektorům vysokých škol zařazení informací o energetice a energetické strategii do studijních programů všech technických vysokých škol a alespoň v základní podobě do studijních programů humanitně zaměřených vysokých škol.</w:t>
      </w:r>
    </w:p>
    <w:p w:rsidR="009724DD" w:rsidRPr="0092047B" w:rsidRDefault="00E278F9" w:rsidP="00EF045E">
      <w:pPr>
        <w:pStyle w:val="Zkladntext"/>
        <w:spacing w:before="120" w:after="120"/>
        <w:ind w:left="708" w:firstLine="1"/>
        <w:rPr>
          <w:rFonts w:cstheme="minorHAnsi"/>
          <w:u w:val="single"/>
        </w:rPr>
      </w:pPr>
      <w:r w:rsidRPr="0092047B">
        <w:rPr>
          <w:rFonts w:cstheme="minorHAnsi"/>
          <w:u w:val="single"/>
        </w:rPr>
        <w:t>Za</w:t>
      </w:r>
      <w:r w:rsidR="00F962EA" w:rsidRPr="0092047B">
        <w:rPr>
          <w:rFonts w:cstheme="minorHAnsi"/>
          <w:u w:val="single"/>
        </w:rPr>
        <w:t>j</w:t>
      </w:r>
      <w:r w:rsidRPr="0092047B">
        <w:rPr>
          <w:rFonts w:cstheme="minorHAnsi"/>
          <w:u w:val="single"/>
        </w:rPr>
        <w:t>istí:</w:t>
      </w:r>
      <w:r w:rsidR="009724DD" w:rsidRPr="0092047B">
        <w:rPr>
          <w:rFonts w:cstheme="minorHAnsi"/>
        </w:rPr>
        <w:t xml:space="preserve"> </w:t>
      </w:r>
      <w:r w:rsidR="009724DD" w:rsidRPr="0092047B">
        <w:rPr>
          <w:rFonts w:cstheme="minorHAnsi"/>
        </w:rPr>
        <w:tab/>
      </w:r>
      <w:r w:rsidRPr="0092047B">
        <w:rPr>
          <w:rFonts w:cstheme="minorHAnsi"/>
        </w:rPr>
        <w:tab/>
      </w:r>
      <w:r w:rsidR="009724DD" w:rsidRPr="0092047B">
        <w:rPr>
          <w:rFonts w:cstheme="minorHAnsi"/>
        </w:rPr>
        <w:t>MPO</w:t>
      </w:r>
    </w:p>
    <w:p w:rsidR="009724DD" w:rsidRPr="0092047B" w:rsidRDefault="009724DD" w:rsidP="00184DC1">
      <w:pPr>
        <w:pStyle w:val="Zkladntext"/>
        <w:spacing w:before="120"/>
        <w:ind w:left="708" w:firstLine="1"/>
        <w:rPr>
          <w:rFonts w:cstheme="minorHAnsi"/>
        </w:rPr>
      </w:pPr>
      <w:r w:rsidRPr="0092047B">
        <w:rPr>
          <w:rFonts w:cstheme="minorHAnsi"/>
          <w:u w:val="single"/>
        </w:rPr>
        <w:t>Termín:</w:t>
      </w:r>
      <w:r w:rsidRPr="0092047B">
        <w:rPr>
          <w:rFonts w:cstheme="minorHAnsi"/>
        </w:rPr>
        <w:t xml:space="preserve"> </w:t>
      </w:r>
      <w:r w:rsidRPr="0092047B">
        <w:rPr>
          <w:rFonts w:cstheme="minorHAnsi"/>
        </w:rPr>
        <w:tab/>
        <w:t>do 31. 12. 2014</w:t>
      </w:r>
    </w:p>
    <w:p w:rsidR="009724DD" w:rsidRPr="0092047B" w:rsidRDefault="009724DD" w:rsidP="00184DC1">
      <w:pPr>
        <w:pStyle w:val="Zkladntext"/>
        <w:ind w:left="1080"/>
        <w:rPr>
          <w:rFonts w:cstheme="minorHAnsi"/>
          <w:bCs/>
        </w:rPr>
      </w:pPr>
    </w:p>
    <w:p w:rsidR="00B7562F" w:rsidRPr="0092047B" w:rsidRDefault="00B7562F" w:rsidP="00184DC1">
      <w:pPr>
        <w:spacing w:after="0"/>
        <w:jc w:val="left"/>
        <w:rPr>
          <w:rFonts w:ascii="Calibri" w:hAnsi="Calibri" w:cs="Calibri"/>
          <w:b/>
          <w:sz w:val="32"/>
          <w:szCs w:val="32"/>
        </w:rPr>
      </w:pPr>
      <w:r w:rsidRPr="0092047B">
        <w:br w:type="page"/>
      </w:r>
    </w:p>
    <w:p w:rsidR="007D2C62" w:rsidRPr="0092047B" w:rsidRDefault="007D2C62" w:rsidP="00184DC1">
      <w:pPr>
        <w:pStyle w:val="Nadpis1"/>
      </w:pPr>
      <w:bookmarkStart w:id="841" w:name="_Toc362281694"/>
      <w:bookmarkStart w:id="842" w:name="_Toc362775799"/>
      <w:bookmarkStart w:id="843" w:name="_Toc362775883"/>
      <w:bookmarkStart w:id="844" w:name="_Toc366046036"/>
      <w:bookmarkStart w:id="845" w:name="_Toc387757699"/>
      <w:bookmarkStart w:id="846" w:name="_Toc396923411"/>
      <w:bookmarkStart w:id="847" w:name="_Toc333818873"/>
      <w:bookmarkStart w:id="848" w:name="_Toc361039053"/>
      <w:bookmarkEnd w:id="789"/>
      <w:bookmarkEnd w:id="790"/>
      <w:bookmarkEnd w:id="791"/>
      <w:bookmarkEnd w:id="792"/>
      <w:bookmarkEnd w:id="841"/>
      <w:bookmarkEnd w:id="842"/>
      <w:bookmarkEnd w:id="843"/>
      <w:bookmarkEnd w:id="844"/>
      <w:r w:rsidRPr="0092047B">
        <w:t>Očekávaný vývoj energetiky ČR do roku 2040 dle optimalizovaného scénáře</w:t>
      </w:r>
      <w:bookmarkEnd w:id="845"/>
      <w:bookmarkEnd w:id="846"/>
    </w:p>
    <w:p w:rsidR="003F472D" w:rsidRDefault="003F472D" w:rsidP="00184DC1">
      <w:pPr>
        <w:rPr>
          <w:rFonts w:cstheme="minorHAnsi"/>
          <w:bCs/>
        </w:rPr>
      </w:pPr>
      <w:r w:rsidRPr="0092047B">
        <w:rPr>
          <w:rFonts w:cstheme="minorHAnsi"/>
          <w:bCs/>
        </w:rPr>
        <w:t>Tato kapitola představuje kvantifikaci jednoho z možných scénářů vývoje české energetiky v dlouhodobém horizontu v souladu se strategickým zadáním SEK, za předem stanovených předpokladů a očekávaného vývoje technologií (včetně nákladů), národního hospodářství a</w:t>
      </w:r>
      <w:r w:rsidR="00645B67" w:rsidRPr="0092047B">
        <w:rPr>
          <w:rFonts w:cstheme="minorHAnsi"/>
          <w:bCs/>
        </w:rPr>
        <w:t> </w:t>
      </w:r>
      <w:r w:rsidRPr="0092047B">
        <w:rPr>
          <w:rFonts w:cstheme="minorHAnsi"/>
          <w:bCs/>
        </w:rPr>
        <w:t>české i evropské politiky. Nejedná se tudíž o strategické zadání, pouze o ilustraci jednoho ze scénářů vhodného vývoje v rámci doporučených koridorů.</w:t>
      </w:r>
    </w:p>
    <w:p w:rsidR="00E64319" w:rsidRPr="0092047B" w:rsidRDefault="00E64319" w:rsidP="00184DC1">
      <w:pPr>
        <w:rPr>
          <w:rFonts w:cstheme="minorHAnsi"/>
          <w:bCs/>
        </w:rPr>
      </w:pPr>
      <w:r w:rsidRPr="00E64319">
        <w:rPr>
          <w:rFonts w:cstheme="minorHAnsi"/>
          <w:bCs/>
        </w:rPr>
        <w:t>Prognózovaný vývoj je zatížen velkou mírou nejistoty a vychází z aktuálně dostupných informací</w:t>
      </w:r>
      <w:r w:rsidR="00B871F8">
        <w:rPr>
          <w:rFonts w:cstheme="minorHAnsi"/>
          <w:bCs/>
        </w:rPr>
        <w:t xml:space="preserve"> a expertních odhadů</w:t>
      </w:r>
      <w:r w:rsidRPr="00E64319">
        <w:rPr>
          <w:rFonts w:cstheme="minorHAnsi"/>
          <w:bCs/>
        </w:rPr>
        <w:t xml:space="preserve"> ohledně vstupních parametrů. V případě, že by došlo k významné odchylce vstupních parametrů v čase, došlo by také k potenciálně odlišnému vývoji předkládaných prognóz. Odchylky prognózy od skutečného stavu budou </w:t>
      </w:r>
      <w:r w:rsidR="00B871F8">
        <w:rPr>
          <w:rFonts w:cstheme="minorHAnsi"/>
          <w:bCs/>
        </w:rPr>
        <w:t xml:space="preserve">MPO </w:t>
      </w:r>
      <w:r w:rsidRPr="00E64319">
        <w:rPr>
          <w:rFonts w:cstheme="minorHAnsi"/>
          <w:bCs/>
        </w:rPr>
        <w:t xml:space="preserve">průběžně vyhodnocovány a jejich případná korekce bude předkládána v rámci periodického vyhodnocování dokumentu a </w:t>
      </w:r>
      <w:r>
        <w:rPr>
          <w:rFonts w:cstheme="minorHAnsi"/>
          <w:bCs/>
        </w:rPr>
        <w:t xml:space="preserve">jeho </w:t>
      </w:r>
      <w:r w:rsidRPr="00E64319">
        <w:rPr>
          <w:rFonts w:cstheme="minorHAnsi"/>
          <w:bCs/>
        </w:rPr>
        <w:t>případné aktualizace v souladu se zákonem.</w:t>
      </w:r>
    </w:p>
    <w:p w:rsidR="003F472D" w:rsidRPr="0092047B" w:rsidRDefault="003F472D" w:rsidP="00184DC1">
      <w:pPr>
        <w:pStyle w:val="Nadpis2"/>
      </w:pPr>
      <w:bookmarkStart w:id="849" w:name="_Ref367885749"/>
      <w:bookmarkStart w:id="850" w:name="_Toc387757700"/>
      <w:bookmarkStart w:id="851" w:name="_Toc396923412"/>
      <w:r w:rsidRPr="0092047B">
        <w:t>Základní vstupy do modelu</w:t>
      </w:r>
      <w:bookmarkEnd w:id="849"/>
      <w:bookmarkEnd w:id="850"/>
      <w:bookmarkEnd w:id="851"/>
    </w:p>
    <w:p w:rsidR="003F472D" w:rsidRPr="0092047B" w:rsidRDefault="003F472D" w:rsidP="00EF045E">
      <w:pPr>
        <w:spacing w:after="120"/>
        <w:rPr>
          <w:rFonts w:cstheme="minorHAnsi"/>
          <w:bCs/>
        </w:rPr>
      </w:pPr>
      <w:r w:rsidRPr="0092047B">
        <w:rPr>
          <w:rFonts w:cstheme="minorHAnsi"/>
          <w:bCs/>
        </w:rPr>
        <w:t>Mezi klíčové vstupy/předpoklady optimalizovaného scénáře vývoje energetické bilance ČR patří:</w:t>
      </w:r>
    </w:p>
    <w:p w:rsidR="003F472D" w:rsidRPr="0092047B" w:rsidRDefault="003F472D" w:rsidP="00184DC1">
      <w:pPr>
        <w:pStyle w:val="Odstavecseseznamem"/>
        <w:numPr>
          <w:ilvl w:val="0"/>
          <w:numId w:val="26"/>
        </w:numPr>
        <w:spacing w:after="0" w:line="240" w:lineRule="auto"/>
        <w:rPr>
          <w:rFonts w:asciiTheme="minorHAnsi" w:hAnsiTheme="minorHAnsi" w:cstheme="minorHAnsi"/>
          <w:bCs/>
          <w:sz w:val="24"/>
          <w:szCs w:val="24"/>
        </w:rPr>
      </w:pPr>
      <w:r w:rsidRPr="0092047B">
        <w:rPr>
          <w:sz w:val="24"/>
          <w:szCs w:val="24"/>
        </w:rPr>
        <w:t>Respektování již přijatých závazků ČR (včetně těch vůči EU), jakými jsou například:</w:t>
      </w:r>
    </w:p>
    <w:p w:rsidR="003F472D" w:rsidRPr="0092047B" w:rsidRDefault="003F472D" w:rsidP="00184DC1">
      <w:pPr>
        <w:pStyle w:val="Odstavecseseznamem"/>
        <w:numPr>
          <w:ilvl w:val="1"/>
          <w:numId w:val="26"/>
        </w:numPr>
        <w:spacing w:after="0" w:line="240" w:lineRule="auto"/>
        <w:rPr>
          <w:rFonts w:asciiTheme="minorHAnsi" w:hAnsiTheme="minorHAnsi" w:cstheme="minorHAnsi"/>
          <w:bCs/>
          <w:sz w:val="24"/>
          <w:szCs w:val="24"/>
        </w:rPr>
      </w:pPr>
      <w:r w:rsidRPr="0092047B">
        <w:rPr>
          <w:sz w:val="24"/>
          <w:szCs w:val="24"/>
        </w:rPr>
        <w:t xml:space="preserve">Klimaticko-energetický balíček, </w:t>
      </w:r>
    </w:p>
    <w:p w:rsidR="003F472D" w:rsidRPr="0092047B" w:rsidRDefault="003F472D" w:rsidP="00184DC1">
      <w:pPr>
        <w:pStyle w:val="Odstavecseseznamem"/>
        <w:numPr>
          <w:ilvl w:val="1"/>
          <w:numId w:val="26"/>
        </w:numPr>
        <w:spacing w:after="0" w:line="240" w:lineRule="auto"/>
        <w:rPr>
          <w:sz w:val="24"/>
          <w:szCs w:val="24"/>
        </w:rPr>
      </w:pPr>
      <w:r w:rsidRPr="0092047B">
        <w:rPr>
          <w:sz w:val="24"/>
          <w:szCs w:val="24"/>
        </w:rPr>
        <w:t>Směrnice Evropského parlamentu a Rady 2012/27/EU ze dne 25. října 2012 o energetické účinnosti, o změně směrnic 2009/125/ES a 2010/30/EU a o zrušení směrnic 2004/8/ES a 2006/32/ES</w:t>
      </w:r>
      <w:r w:rsidR="006477DA">
        <w:rPr>
          <w:sz w:val="24"/>
          <w:szCs w:val="24"/>
        </w:rPr>
        <w:t>,</w:t>
      </w:r>
    </w:p>
    <w:p w:rsidR="003F472D" w:rsidRPr="0092047B" w:rsidRDefault="003F472D" w:rsidP="00184DC1">
      <w:pPr>
        <w:pStyle w:val="Odstavecseseznamem"/>
        <w:numPr>
          <w:ilvl w:val="1"/>
          <w:numId w:val="26"/>
        </w:numPr>
        <w:spacing w:after="0" w:line="240" w:lineRule="auto"/>
        <w:rPr>
          <w:rFonts w:asciiTheme="minorHAnsi" w:hAnsiTheme="minorHAnsi" w:cstheme="minorHAnsi"/>
          <w:bCs/>
          <w:sz w:val="24"/>
          <w:szCs w:val="24"/>
        </w:rPr>
      </w:pPr>
      <w:r w:rsidRPr="0092047B">
        <w:rPr>
          <w:sz w:val="24"/>
          <w:szCs w:val="24"/>
        </w:rPr>
        <w:t xml:space="preserve">Směrnice Evropského parlamentu a Rady </w:t>
      </w:r>
      <w:hyperlink r:id="rId22" w:tgtFrame="_blank" w:tooltip="2010/75/EU" w:history="1">
        <w:r w:rsidRPr="0092047B">
          <w:rPr>
            <w:sz w:val="24"/>
            <w:szCs w:val="24"/>
          </w:rPr>
          <w:t>2010/75/EU</w:t>
        </w:r>
      </w:hyperlink>
      <w:r w:rsidRPr="0092047B">
        <w:rPr>
          <w:sz w:val="24"/>
          <w:szCs w:val="24"/>
        </w:rPr>
        <w:t xml:space="preserve"> ze dne 24. listopadu 2010 o průmyslových emisích (integrované prevenci a omezování znečištění),</w:t>
      </w:r>
    </w:p>
    <w:p w:rsidR="003F472D" w:rsidRPr="0092047B" w:rsidRDefault="003F4E03" w:rsidP="00184DC1">
      <w:pPr>
        <w:pStyle w:val="Odstavecseseznamem"/>
        <w:numPr>
          <w:ilvl w:val="1"/>
          <w:numId w:val="26"/>
        </w:numPr>
        <w:spacing w:after="0" w:line="240" w:lineRule="auto"/>
        <w:rPr>
          <w:rFonts w:asciiTheme="minorHAnsi" w:hAnsiTheme="minorHAnsi" w:cstheme="minorHAnsi"/>
          <w:bCs/>
          <w:sz w:val="24"/>
          <w:szCs w:val="24"/>
        </w:rPr>
      </w:pPr>
      <w:r>
        <w:rPr>
          <w:sz w:val="24"/>
          <w:szCs w:val="24"/>
        </w:rPr>
        <w:t>A</w:t>
      </w:r>
      <w:r w:rsidR="003F472D" w:rsidRPr="0092047B">
        <w:rPr>
          <w:sz w:val="24"/>
          <w:szCs w:val="24"/>
        </w:rPr>
        <w:t>kční plán pro biomasu,</w:t>
      </w:r>
    </w:p>
    <w:p w:rsidR="003F472D" w:rsidRPr="0092047B" w:rsidRDefault="003F472D" w:rsidP="00184DC1">
      <w:pPr>
        <w:pStyle w:val="Odstavecseseznamem"/>
        <w:numPr>
          <w:ilvl w:val="1"/>
          <w:numId w:val="26"/>
        </w:numPr>
        <w:spacing w:after="0" w:line="240" w:lineRule="auto"/>
        <w:rPr>
          <w:rFonts w:asciiTheme="minorHAnsi" w:hAnsiTheme="minorHAnsi" w:cstheme="minorHAnsi"/>
          <w:bCs/>
          <w:sz w:val="24"/>
          <w:szCs w:val="24"/>
        </w:rPr>
      </w:pPr>
      <w:r w:rsidRPr="0092047B">
        <w:rPr>
          <w:sz w:val="24"/>
          <w:szCs w:val="24"/>
        </w:rPr>
        <w:t xml:space="preserve">Národní akční plán </w:t>
      </w:r>
      <w:r w:rsidR="008F57E4">
        <w:rPr>
          <w:sz w:val="24"/>
          <w:szCs w:val="24"/>
        </w:rPr>
        <w:t xml:space="preserve">ČR </w:t>
      </w:r>
      <w:r w:rsidRPr="0092047B">
        <w:rPr>
          <w:sz w:val="24"/>
          <w:szCs w:val="24"/>
        </w:rPr>
        <w:t xml:space="preserve">pro </w:t>
      </w:r>
      <w:r w:rsidR="003F4E03">
        <w:rPr>
          <w:sz w:val="24"/>
          <w:szCs w:val="24"/>
        </w:rPr>
        <w:t>energii z</w:t>
      </w:r>
      <w:r w:rsidR="008F57E4">
        <w:rPr>
          <w:sz w:val="24"/>
          <w:szCs w:val="24"/>
        </w:rPr>
        <w:t> obnovitelných zdrojů</w:t>
      </w:r>
      <w:r w:rsidRPr="0092047B">
        <w:rPr>
          <w:sz w:val="24"/>
          <w:szCs w:val="24"/>
        </w:rPr>
        <w:t>,</w:t>
      </w:r>
    </w:p>
    <w:p w:rsidR="006F3F45" w:rsidRPr="0092047B" w:rsidRDefault="006F3F45" w:rsidP="00184DC1">
      <w:pPr>
        <w:pStyle w:val="Odstavecseseznamem"/>
        <w:numPr>
          <w:ilvl w:val="1"/>
          <w:numId w:val="26"/>
        </w:numPr>
        <w:spacing w:after="0" w:line="240" w:lineRule="auto"/>
        <w:rPr>
          <w:rFonts w:asciiTheme="minorHAnsi" w:hAnsiTheme="minorHAnsi" w:cstheme="minorHAnsi"/>
          <w:bCs/>
          <w:sz w:val="24"/>
          <w:szCs w:val="24"/>
        </w:rPr>
      </w:pPr>
      <w:r w:rsidRPr="0092047B">
        <w:rPr>
          <w:sz w:val="24"/>
          <w:szCs w:val="24"/>
        </w:rPr>
        <w:t>Národní akční plán energetické účinnosti ČR,</w:t>
      </w:r>
    </w:p>
    <w:p w:rsidR="003F472D" w:rsidRPr="00153DE0" w:rsidRDefault="003F472D" w:rsidP="00184DC1">
      <w:pPr>
        <w:pStyle w:val="Odstavecseseznamem"/>
        <w:numPr>
          <w:ilvl w:val="1"/>
          <w:numId w:val="26"/>
        </w:numPr>
        <w:spacing w:after="0" w:line="240" w:lineRule="auto"/>
        <w:rPr>
          <w:rFonts w:asciiTheme="minorHAnsi" w:hAnsiTheme="minorHAnsi" w:cstheme="minorHAnsi"/>
          <w:bCs/>
          <w:sz w:val="24"/>
          <w:szCs w:val="24"/>
        </w:rPr>
      </w:pPr>
      <w:r w:rsidRPr="00153DE0">
        <w:rPr>
          <w:rFonts w:asciiTheme="minorHAnsi" w:hAnsiTheme="minorHAnsi" w:cstheme="minorHAnsi"/>
          <w:bCs/>
          <w:sz w:val="24"/>
          <w:szCs w:val="24"/>
        </w:rPr>
        <w:t>Plán odpadového hospodářství ČR (2003).</w:t>
      </w:r>
    </w:p>
    <w:p w:rsidR="00153DE0" w:rsidRPr="00153DE0" w:rsidRDefault="003F472D" w:rsidP="00184DC1">
      <w:pPr>
        <w:pStyle w:val="Odstavecseseznamem"/>
        <w:numPr>
          <w:ilvl w:val="0"/>
          <w:numId w:val="26"/>
        </w:numPr>
        <w:spacing w:after="0" w:line="240" w:lineRule="auto"/>
        <w:rPr>
          <w:sz w:val="24"/>
          <w:szCs w:val="24"/>
        </w:rPr>
      </w:pPr>
      <w:r w:rsidRPr="00153DE0">
        <w:rPr>
          <w:rFonts w:asciiTheme="minorHAnsi" w:hAnsiTheme="minorHAnsi" w:cstheme="minorHAnsi"/>
          <w:bCs/>
          <w:sz w:val="24"/>
          <w:szCs w:val="24"/>
        </w:rPr>
        <w:t>Připraveny byly celkem 3 scénáře spotřeby elektřiny - nízký, referenční a vysoký - vycházející z</w:t>
      </w:r>
      <w:r w:rsidR="00153DE0" w:rsidRPr="00153DE0">
        <w:rPr>
          <w:rFonts w:asciiTheme="minorHAnsi" w:hAnsiTheme="minorHAnsi" w:cstheme="minorHAnsi"/>
          <w:bCs/>
          <w:sz w:val="24"/>
          <w:szCs w:val="24"/>
        </w:rPr>
        <w:t xml:space="preserve"> makroekonomického modelu MPO</w:t>
      </w:r>
      <w:r w:rsidR="006F6CF7">
        <w:rPr>
          <w:rFonts w:asciiTheme="minorHAnsi" w:hAnsiTheme="minorHAnsi" w:cstheme="minorHAnsi"/>
          <w:bCs/>
          <w:sz w:val="24"/>
          <w:szCs w:val="24"/>
        </w:rPr>
        <w:t xml:space="preserve"> na bázi </w:t>
      </w:r>
      <w:r w:rsidR="008813B5">
        <w:rPr>
          <w:rFonts w:asciiTheme="minorHAnsi" w:hAnsiTheme="minorHAnsi" w:cstheme="minorHAnsi"/>
          <w:bCs/>
          <w:sz w:val="24"/>
          <w:szCs w:val="24"/>
        </w:rPr>
        <w:t>i</w:t>
      </w:r>
      <w:r w:rsidR="006F6CF7">
        <w:rPr>
          <w:rFonts w:asciiTheme="minorHAnsi" w:hAnsiTheme="minorHAnsi" w:cstheme="minorHAnsi"/>
          <w:bCs/>
          <w:sz w:val="24"/>
          <w:szCs w:val="24"/>
        </w:rPr>
        <w:t>nput-output metodiky</w:t>
      </w:r>
      <w:r w:rsidR="00153DE0" w:rsidRPr="00153DE0">
        <w:rPr>
          <w:rFonts w:asciiTheme="minorHAnsi" w:hAnsiTheme="minorHAnsi" w:cstheme="minorHAnsi"/>
          <w:bCs/>
          <w:sz w:val="24"/>
          <w:szCs w:val="24"/>
        </w:rPr>
        <w:t>. Vývoj spotřeby elektřiny</w:t>
      </w:r>
      <w:r w:rsidR="00B43230">
        <w:rPr>
          <w:rFonts w:asciiTheme="minorHAnsi" w:hAnsiTheme="minorHAnsi" w:cstheme="minorHAnsi"/>
          <w:bCs/>
          <w:sz w:val="24"/>
          <w:szCs w:val="24"/>
        </w:rPr>
        <w:t xml:space="preserve"> netto a spotřeby elektřiny bez zahrnutí spotřeby v rámci elektromobility ukazuje</w:t>
      </w:r>
      <w:r w:rsidR="00153DE0" w:rsidRPr="00153DE0">
        <w:rPr>
          <w:rFonts w:asciiTheme="minorHAnsi" w:hAnsiTheme="minorHAnsi" w:cstheme="minorHAnsi"/>
          <w:bCs/>
          <w:sz w:val="24"/>
          <w:szCs w:val="24"/>
        </w:rPr>
        <w:t xml:space="preserve"> </w:t>
      </w:r>
      <w:r w:rsidR="008813B5" w:rsidRPr="008813B5">
        <w:fldChar w:fldCharType="begin"/>
      </w:r>
      <w:r w:rsidR="008813B5" w:rsidRPr="008813B5">
        <w:rPr>
          <w:rFonts w:asciiTheme="minorHAnsi" w:hAnsiTheme="minorHAnsi" w:cstheme="minorHAnsi"/>
          <w:bCs/>
          <w:sz w:val="24"/>
          <w:szCs w:val="24"/>
        </w:rPr>
        <w:instrText xml:space="preserve"> REF _Ref395075804 \h </w:instrText>
      </w:r>
      <w:r w:rsidR="008813B5" w:rsidRPr="008813B5">
        <w:instrText xml:space="preserve"> \* MERGEFORMAT </w:instrText>
      </w:r>
      <w:r w:rsidR="008813B5" w:rsidRPr="008813B5">
        <w:fldChar w:fldCharType="separate"/>
      </w:r>
      <w:r w:rsidR="0096423F" w:rsidRPr="0096423F">
        <w:t xml:space="preserve">Graf č. </w:t>
      </w:r>
      <w:r w:rsidR="0096423F" w:rsidRPr="0096423F">
        <w:rPr>
          <w:noProof/>
        </w:rPr>
        <w:t>3</w:t>
      </w:r>
      <w:r w:rsidR="008813B5" w:rsidRPr="008813B5">
        <w:fldChar w:fldCharType="end"/>
      </w:r>
      <w:r w:rsidR="00D63E89" w:rsidRPr="00153DE0">
        <w:t xml:space="preserve"> </w:t>
      </w:r>
      <w:r w:rsidR="00B43230">
        <w:t xml:space="preserve">uvedený </w:t>
      </w:r>
      <w:r w:rsidRPr="00153DE0">
        <w:rPr>
          <w:rFonts w:asciiTheme="minorHAnsi" w:hAnsiTheme="minorHAnsi" w:cstheme="minorHAnsi"/>
          <w:bCs/>
          <w:sz w:val="24"/>
          <w:szCs w:val="24"/>
        </w:rPr>
        <w:t xml:space="preserve">níže. </w:t>
      </w:r>
      <w:r w:rsidR="00153DE0">
        <w:rPr>
          <w:rFonts w:asciiTheme="minorHAnsi" w:hAnsiTheme="minorHAnsi" w:cstheme="minorHAnsi"/>
          <w:bCs/>
          <w:sz w:val="24"/>
          <w:szCs w:val="24"/>
        </w:rPr>
        <w:t xml:space="preserve">Pro tvorbu scénářů spotřeby byl využit předpoklad vývoje HDP (potažmo HPH) na základě </w:t>
      </w:r>
      <w:r w:rsidR="002D6612">
        <w:rPr>
          <w:rFonts w:asciiTheme="minorHAnsi" w:hAnsiTheme="minorHAnsi" w:cstheme="minorHAnsi"/>
          <w:bCs/>
          <w:sz w:val="24"/>
          <w:szCs w:val="24"/>
        </w:rPr>
        <w:t xml:space="preserve">prognóz </w:t>
      </w:r>
      <w:r w:rsidR="00153DE0">
        <w:rPr>
          <w:rFonts w:asciiTheme="minorHAnsi" w:hAnsiTheme="minorHAnsi" w:cstheme="minorHAnsi"/>
          <w:bCs/>
          <w:sz w:val="24"/>
          <w:szCs w:val="24"/>
        </w:rPr>
        <w:t>MPO a MF</w:t>
      </w:r>
      <w:r w:rsidR="006F6CF7">
        <w:rPr>
          <w:rFonts w:asciiTheme="minorHAnsi" w:hAnsiTheme="minorHAnsi" w:cstheme="minorHAnsi"/>
          <w:bCs/>
          <w:sz w:val="24"/>
          <w:szCs w:val="24"/>
        </w:rPr>
        <w:t>, přičemž prognóza MPO je konzervativnější</w:t>
      </w:r>
      <w:r w:rsidR="00B43230">
        <w:rPr>
          <w:rFonts w:asciiTheme="minorHAnsi" w:hAnsiTheme="minorHAnsi" w:cstheme="minorHAnsi"/>
          <w:bCs/>
          <w:sz w:val="24"/>
          <w:szCs w:val="24"/>
        </w:rPr>
        <w:t>.</w:t>
      </w:r>
      <w:r w:rsidR="00153DE0">
        <w:rPr>
          <w:rFonts w:asciiTheme="minorHAnsi" w:hAnsiTheme="minorHAnsi" w:cstheme="minorHAnsi"/>
          <w:bCs/>
          <w:sz w:val="24"/>
          <w:szCs w:val="24"/>
        </w:rPr>
        <w:t xml:space="preserve"> Prognóza vychází z referenční spotřeby elektřiny v roce 2013 na úrovni podniků s odstraněním možných výkyvů v rámci tohoto roku. Vývoj spotřeby elektřiny je pak navázán na vývoj HPH v daném odvětví s přihlédnutím k vývoji elektroenergetické náročnosti</w:t>
      </w:r>
      <w:r w:rsidR="006F6CF7">
        <w:rPr>
          <w:rFonts w:asciiTheme="minorHAnsi" w:hAnsiTheme="minorHAnsi" w:cstheme="minorHAnsi"/>
          <w:bCs/>
          <w:sz w:val="24"/>
          <w:szCs w:val="24"/>
        </w:rPr>
        <w:t xml:space="preserve"> tvorby HPH</w:t>
      </w:r>
      <w:r w:rsidR="00153DE0">
        <w:rPr>
          <w:rFonts w:asciiTheme="minorHAnsi" w:hAnsiTheme="minorHAnsi" w:cstheme="minorHAnsi"/>
          <w:bCs/>
          <w:sz w:val="24"/>
          <w:szCs w:val="24"/>
        </w:rPr>
        <w:t>.</w:t>
      </w:r>
      <w:r w:rsidR="006F6CF7">
        <w:rPr>
          <w:rFonts w:asciiTheme="minorHAnsi" w:hAnsiTheme="minorHAnsi" w:cstheme="minorHAnsi"/>
          <w:bCs/>
          <w:sz w:val="24"/>
          <w:szCs w:val="24"/>
        </w:rPr>
        <w:t xml:space="preserve"> Odvětvové charakteristiky byly konzultovány s jednotlivými odborovými svazy sdruženými pod Svazem průmyslu a</w:t>
      </w:r>
      <w:r w:rsidR="008813B5">
        <w:rPr>
          <w:rFonts w:asciiTheme="minorHAnsi" w:hAnsiTheme="minorHAnsi" w:cstheme="minorHAnsi"/>
          <w:bCs/>
          <w:sz w:val="24"/>
          <w:szCs w:val="24"/>
        </w:rPr>
        <w:t> </w:t>
      </w:r>
      <w:r w:rsidR="006F6CF7">
        <w:rPr>
          <w:rFonts w:asciiTheme="minorHAnsi" w:hAnsiTheme="minorHAnsi" w:cstheme="minorHAnsi"/>
          <w:bCs/>
          <w:sz w:val="24"/>
          <w:szCs w:val="24"/>
        </w:rPr>
        <w:t>dopravy ČR.</w:t>
      </w:r>
    </w:p>
    <w:p w:rsidR="003F472D" w:rsidRPr="0092047B" w:rsidRDefault="003F472D" w:rsidP="00184DC1">
      <w:pPr>
        <w:spacing w:after="0"/>
        <w:jc w:val="left"/>
        <w:rPr>
          <w:rFonts w:ascii="Calibri" w:hAnsi="Calibri"/>
        </w:rPr>
      </w:pPr>
      <w:r w:rsidRPr="0092047B">
        <w:br w:type="page"/>
      </w:r>
    </w:p>
    <w:p w:rsidR="00235C7B" w:rsidRDefault="00235C7B" w:rsidP="00184DC1">
      <w:pPr>
        <w:pStyle w:val="Titulek"/>
        <w:keepNext/>
        <w:spacing w:before="240" w:after="120"/>
        <w:jc w:val="left"/>
      </w:pPr>
      <w:bookmarkStart w:id="852" w:name="_Ref395075804"/>
      <w:bookmarkStart w:id="853" w:name="_Toc396923119"/>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3</w:t>
      </w:r>
      <w:r w:rsidRPr="00235C7B">
        <w:rPr>
          <w:b/>
        </w:rPr>
        <w:fldChar w:fldCharType="end"/>
      </w:r>
      <w:bookmarkEnd w:id="852"/>
      <w:r w:rsidRPr="00235C7B">
        <w:rPr>
          <w:b/>
        </w:rPr>
        <w:t xml:space="preserve">: </w:t>
      </w:r>
      <w:r w:rsidRPr="0014490D">
        <w:t>Srovnání scénářů tuzemské netto spotřeby elektřiny</w:t>
      </w:r>
      <w:bookmarkEnd w:id="853"/>
    </w:p>
    <w:p w:rsidR="003F472D" w:rsidRPr="0014490D" w:rsidRDefault="003F472D" w:rsidP="00184DC1">
      <w:pPr>
        <w:pStyle w:val="Odstavecseseznamem"/>
        <w:spacing w:before="120" w:after="120" w:line="240" w:lineRule="auto"/>
        <w:ind w:left="0"/>
        <w:jc w:val="center"/>
        <w:rPr>
          <w:sz w:val="24"/>
        </w:rPr>
      </w:pPr>
      <w:r w:rsidRPr="0014490D">
        <w:rPr>
          <w:rFonts w:cstheme="minorHAnsi"/>
          <w:noProof/>
        </w:rPr>
        <w:drawing>
          <wp:inline distT="0" distB="0" distL="0" distR="0" wp14:anchorId="457C2F3C" wp14:editId="482CE431">
            <wp:extent cx="5760000" cy="3780000"/>
            <wp:effectExtent l="0" t="0" r="12700" b="11430"/>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472D" w:rsidRPr="0014490D" w:rsidRDefault="003F472D" w:rsidP="00184DC1">
      <w:pPr>
        <w:pStyle w:val="Bullet1"/>
        <w:numPr>
          <w:ilvl w:val="0"/>
          <w:numId w:val="0"/>
        </w:numPr>
        <w:spacing w:after="240"/>
        <w:jc w:val="right"/>
        <w:rPr>
          <w:rFonts w:asciiTheme="minorHAnsi" w:hAnsiTheme="minorHAnsi" w:cstheme="minorHAnsi"/>
          <w:i/>
        </w:rPr>
      </w:pPr>
      <w:r w:rsidRPr="0014490D">
        <w:rPr>
          <w:rFonts w:asciiTheme="minorHAnsi" w:hAnsiTheme="minorHAnsi" w:cstheme="minorHAnsi"/>
          <w:i/>
        </w:rPr>
        <w:t xml:space="preserve">Zdroj: </w:t>
      </w:r>
      <w:r w:rsidR="0014490D">
        <w:rPr>
          <w:rFonts w:asciiTheme="minorHAnsi" w:hAnsiTheme="minorHAnsi" w:cstheme="minorHAnsi"/>
          <w:i/>
        </w:rPr>
        <w:t>Expertní analýza MPO, predikce MF</w:t>
      </w:r>
    </w:p>
    <w:p w:rsidR="003F472D" w:rsidRPr="006F6CF7" w:rsidRDefault="00001B4E" w:rsidP="00184DC1">
      <w:pPr>
        <w:pStyle w:val="Odstavecseseznamem"/>
        <w:numPr>
          <w:ilvl w:val="0"/>
          <w:numId w:val="26"/>
        </w:numPr>
        <w:spacing w:after="0" w:line="240" w:lineRule="auto"/>
        <w:rPr>
          <w:sz w:val="24"/>
        </w:rPr>
      </w:pPr>
      <w:r>
        <w:rPr>
          <w:rFonts w:asciiTheme="minorHAnsi" w:hAnsiTheme="minorHAnsi" w:cstheme="minorHAnsi"/>
          <w:bCs/>
          <w:sz w:val="24"/>
          <w:szCs w:val="24"/>
        </w:rPr>
        <w:t>Očekávaný průměrný růst HDP</w:t>
      </w:r>
      <w:r w:rsidR="00893F0B">
        <w:rPr>
          <w:rFonts w:asciiTheme="minorHAnsi" w:hAnsiTheme="minorHAnsi" w:cstheme="minorHAnsi"/>
          <w:bCs/>
          <w:sz w:val="24"/>
          <w:szCs w:val="24"/>
        </w:rPr>
        <w:t xml:space="preserve"> ve stálých cenách roku 2005</w:t>
      </w:r>
      <w:r>
        <w:rPr>
          <w:rFonts w:asciiTheme="minorHAnsi" w:hAnsiTheme="minorHAnsi" w:cstheme="minorHAnsi"/>
          <w:bCs/>
          <w:sz w:val="24"/>
          <w:szCs w:val="24"/>
        </w:rPr>
        <w:t xml:space="preserve"> mezi lety 2012 až 2040 je pro referenční scénář spotřeby elektřiny uvažován o velikosti 1,</w:t>
      </w:r>
      <w:r w:rsidR="00280A8D">
        <w:rPr>
          <w:rFonts w:asciiTheme="minorHAnsi" w:hAnsiTheme="minorHAnsi" w:cstheme="minorHAnsi"/>
          <w:bCs/>
          <w:sz w:val="24"/>
          <w:szCs w:val="24"/>
        </w:rPr>
        <w:t>9</w:t>
      </w:r>
      <w:r>
        <w:rPr>
          <w:rFonts w:asciiTheme="minorHAnsi" w:hAnsiTheme="minorHAnsi" w:cstheme="minorHAnsi"/>
          <w:bCs/>
          <w:sz w:val="24"/>
          <w:szCs w:val="24"/>
        </w:rPr>
        <w:t>2 %.</w:t>
      </w:r>
    </w:p>
    <w:p w:rsidR="003F472D" w:rsidRPr="0092047B" w:rsidRDefault="003F472D" w:rsidP="00184DC1">
      <w:pPr>
        <w:pStyle w:val="Odstavecseseznamem"/>
        <w:numPr>
          <w:ilvl w:val="0"/>
          <w:numId w:val="26"/>
        </w:numPr>
        <w:spacing w:after="0" w:line="240" w:lineRule="auto"/>
        <w:rPr>
          <w:sz w:val="24"/>
        </w:rPr>
      </w:pPr>
      <w:r w:rsidRPr="0092047B">
        <w:rPr>
          <w:rFonts w:asciiTheme="minorHAnsi" w:hAnsiTheme="minorHAnsi" w:cstheme="minorHAnsi"/>
          <w:bCs/>
          <w:sz w:val="24"/>
          <w:szCs w:val="24"/>
        </w:rPr>
        <w:t>Provoz JETE za rok 2040 a JEDU do období mezi lety 2034 až 2036 a v návaznosti na jejich postupné odstavování dále výstavba nových zdrojů s výrobou cca 30 TWh v horizontu ASEK, přičemž tyto zdroje by měly být do elektrizační soustavy připojeny mezi lety 2033 až 2037, podle predikce bilance výroby a spotřeby.</w:t>
      </w:r>
    </w:p>
    <w:p w:rsidR="003F472D" w:rsidRPr="0092047B" w:rsidRDefault="003F472D" w:rsidP="00184DC1">
      <w:pPr>
        <w:pStyle w:val="Odstavecseseznamem"/>
        <w:numPr>
          <w:ilvl w:val="0"/>
          <w:numId w:val="26"/>
        </w:numPr>
        <w:spacing w:after="0" w:line="240" w:lineRule="auto"/>
        <w:rPr>
          <w:sz w:val="24"/>
        </w:rPr>
      </w:pPr>
      <w:r w:rsidRPr="0092047B">
        <w:rPr>
          <w:rFonts w:asciiTheme="minorHAnsi" w:hAnsiTheme="minorHAnsi" w:cstheme="minorHAnsi"/>
          <w:bCs/>
          <w:sz w:val="24"/>
          <w:szCs w:val="24"/>
        </w:rPr>
        <w:t>Pro vývoj cen zdrojů byly využity expertní odhady MPO, jakož i odhady Mezinárodní energetické agentury a Evropské komise. Pro predikce investičních nákladů do energetické infrastruktury byly použity vlastní odhady zpracované na MPO a údaje dodané provozovateli energetické infrastruktury.</w:t>
      </w:r>
    </w:p>
    <w:p w:rsidR="003F472D" w:rsidRPr="0092047B" w:rsidRDefault="003F472D" w:rsidP="00184DC1">
      <w:pPr>
        <w:pStyle w:val="Odstavecseseznamem"/>
        <w:numPr>
          <w:ilvl w:val="0"/>
          <w:numId w:val="26"/>
        </w:numPr>
        <w:spacing w:after="0" w:line="240" w:lineRule="auto"/>
        <w:rPr>
          <w:sz w:val="24"/>
        </w:rPr>
      </w:pPr>
      <w:r w:rsidRPr="0092047B">
        <w:rPr>
          <w:sz w:val="24"/>
        </w:rPr>
        <w:t xml:space="preserve">Disponibilita OZE </w:t>
      </w:r>
      <w:r w:rsidRPr="0092047B">
        <w:rPr>
          <w:rFonts w:asciiTheme="minorHAnsi" w:hAnsiTheme="minorHAnsi" w:cstheme="minorHAnsi"/>
          <w:sz w:val="24"/>
          <w:szCs w:val="24"/>
        </w:rPr>
        <w:t>v souladu s Národním akčním plánem pro OZE do roku 2020, dále v souladu s Akčním plánem pro biomasu a výstupy z projektu N</w:t>
      </w:r>
      <w:r w:rsidR="007F3F0D" w:rsidRPr="0092047B">
        <w:rPr>
          <w:rFonts w:asciiTheme="minorHAnsi" w:hAnsiTheme="minorHAnsi" w:cstheme="minorHAnsi"/>
          <w:sz w:val="24"/>
          <w:szCs w:val="24"/>
        </w:rPr>
        <w:t xml:space="preserve">árodního </w:t>
      </w:r>
      <w:r w:rsidRPr="0092047B">
        <w:rPr>
          <w:rFonts w:asciiTheme="minorHAnsi" w:hAnsiTheme="minorHAnsi" w:cstheme="minorHAnsi"/>
          <w:sz w:val="24"/>
          <w:szCs w:val="24"/>
        </w:rPr>
        <w:t>A</w:t>
      </w:r>
      <w:r w:rsidR="007F3F0D" w:rsidRPr="0092047B">
        <w:rPr>
          <w:rFonts w:asciiTheme="minorHAnsi" w:hAnsiTheme="minorHAnsi" w:cstheme="minorHAnsi"/>
          <w:sz w:val="24"/>
          <w:szCs w:val="24"/>
        </w:rPr>
        <w:t xml:space="preserve">kčního </w:t>
      </w:r>
      <w:r w:rsidRPr="0092047B">
        <w:rPr>
          <w:rFonts w:asciiTheme="minorHAnsi" w:hAnsiTheme="minorHAnsi" w:cstheme="minorHAnsi"/>
          <w:sz w:val="24"/>
          <w:szCs w:val="24"/>
        </w:rPr>
        <w:t>P</w:t>
      </w:r>
      <w:r w:rsidR="007F3F0D" w:rsidRPr="0092047B">
        <w:rPr>
          <w:rFonts w:asciiTheme="minorHAnsi" w:hAnsiTheme="minorHAnsi" w:cstheme="minorHAnsi"/>
          <w:sz w:val="24"/>
          <w:szCs w:val="24"/>
        </w:rPr>
        <w:t>lánu pro inteligentní sítě</w:t>
      </w:r>
      <w:r w:rsidRPr="0092047B">
        <w:rPr>
          <w:rFonts w:asciiTheme="minorHAnsi" w:hAnsiTheme="minorHAnsi" w:cstheme="minorHAnsi"/>
          <w:sz w:val="24"/>
          <w:szCs w:val="24"/>
        </w:rPr>
        <w:t>.</w:t>
      </w:r>
    </w:p>
    <w:p w:rsidR="003F472D" w:rsidRPr="0092047B" w:rsidRDefault="003F472D" w:rsidP="00184DC1">
      <w:pPr>
        <w:pStyle w:val="Odstavecseseznamem"/>
        <w:numPr>
          <w:ilvl w:val="0"/>
          <w:numId w:val="26"/>
        </w:numPr>
        <w:spacing w:after="0" w:line="240" w:lineRule="auto"/>
        <w:rPr>
          <w:sz w:val="24"/>
        </w:rPr>
      </w:pPr>
      <w:r w:rsidRPr="0092047B">
        <w:rPr>
          <w:rFonts w:asciiTheme="minorHAnsi" w:hAnsiTheme="minorHAnsi" w:cstheme="minorHAnsi"/>
          <w:bCs/>
          <w:sz w:val="24"/>
          <w:szCs w:val="24"/>
        </w:rPr>
        <w:t>Disponibilita ČU a HU v optimalizovaném scénáři podle posledních těžebních výhledů s respektováním existujících dobývacích prostor.</w:t>
      </w:r>
    </w:p>
    <w:p w:rsidR="003F472D" w:rsidRPr="0092047B" w:rsidRDefault="003F472D" w:rsidP="00184DC1">
      <w:pPr>
        <w:pStyle w:val="Odstavecseseznamem"/>
        <w:numPr>
          <w:ilvl w:val="0"/>
          <w:numId w:val="26"/>
        </w:numPr>
        <w:spacing w:after="0" w:line="240" w:lineRule="auto"/>
        <w:rPr>
          <w:sz w:val="24"/>
        </w:rPr>
      </w:pPr>
      <w:r w:rsidRPr="0092047B">
        <w:rPr>
          <w:rFonts w:asciiTheme="minorHAnsi" w:hAnsiTheme="minorHAnsi" w:cstheme="minorHAnsi"/>
          <w:bCs/>
          <w:sz w:val="24"/>
          <w:szCs w:val="24"/>
        </w:rPr>
        <w:t>Předpokládána je prioritní dodávka domácíh</w:t>
      </w:r>
      <w:r w:rsidR="006059D3">
        <w:rPr>
          <w:rFonts w:asciiTheme="minorHAnsi" w:hAnsiTheme="minorHAnsi" w:cstheme="minorHAnsi"/>
          <w:bCs/>
          <w:sz w:val="24"/>
          <w:szCs w:val="24"/>
        </w:rPr>
        <w:t>o disponibilního HU do systémů S</w:t>
      </w:r>
      <w:r w:rsidRPr="0092047B">
        <w:rPr>
          <w:rFonts w:asciiTheme="minorHAnsi" w:hAnsiTheme="minorHAnsi" w:cstheme="minorHAnsi"/>
          <w:bCs/>
          <w:sz w:val="24"/>
          <w:szCs w:val="24"/>
        </w:rPr>
        <w:t>ZT a vysokoúčinné KVET.</w:t>
      </w:r>
    </w:p>
    <w:p w:rsidR="003F472D" w:rsidRPr="0092047B" w:rsidRDefault="003F472D" w:rsidP="00184DC1">
      <w:pPr>
        <w:pStyle w:val="Odstavecseseznamem"/>
        <w:numPr>
          <w:ilvl w:val="0"/>
          <w:numId w:val="26"/>
        </w:numPr>
        <w:spacing w:after="0" w:line="240" w:lineRule="auto"/>
        <w:rPr>
          <w:sz w:val="24"/>
        </w:rPr>
      </w:pPr>
      <w:r w:rsidRPr="0092047B">
        <w:rPr>
          <w:rFonts w:asciiTheme="minorHAnsi" w:hAnsiTheme="minorHAnsi" w:cstheme="minorHAnsi"/>
          <w:bCs/>
          <w:sz w:val="24"/>
          <w:szCs w:val="24"/>
        </w:rPr>
        <w:t>Potenciál energetického využívání odpadů, a tudíž i potenciál výstavby spaloven v optimalizovaném scénáři předpokládá:</w:t>
      </w:r>
    </w:p>
    <w:p w:rsidR="003F472D" w:rsidRPr="0092047B" w:rsidRDefault="003F472D" w:rsidP="00184DC1">
      <w:pPr>
        <w:pStyle w:val="Odstavecseseznamem"/>
        <w:numPr>
          <w:ilvl w:val="1"/>
          <w:numId w:val="26"/>
        </w:numPr>
        <w:spacing w:after="0" w:line="240" w:lineRule="auto"/>
        <w:rPr>
          <w:sz w:val="24"/>
        </w:rPr>
      </w:pPr>
      <w:r w:rsidRPr="0092047B">
        <w:rPr>
          <w:rFonts w:asciiTheme="minorHAnsi" w:hAnsiTheme="minorHAnsi" w:cstheme="minorHAnsi"/>
          <w:bCs/>
          <w:sz w:val="24"/>
          <w:szCs w:val="24"/>
        </w:rPr>
        <w:t>Ekonomické znevýhodnění skládkování odpadů, následně zákaz skládkování</w:t>
      </w:r>
      <w:r w:rsidR="0014690B">
        <w:rPr>
          <w:rFonts w:asciiTheme="minorHAnsi" w:hAnsiTheme="minorHAnsi" w:cstheme="minorHAnsi"/>
          <w:bCs/>
          <w:sz w:val="24"/>
          <w:szCs w:val="24"/>
        </w:rPr>
        <w:t xml:space="preserve"> vybraných skupin odpadů</w:t>
      </w:r>
      <w:r w:rsidRPr="0092047B">
        <w:rPr>
          <w:rFonts w:asciiTheme="minorHAnsi" w:hAnsiTheme="minorHAnsi" w:cstheme="minorHAnsi"/>
          <w:bCs/>
          <w:sz w:val="24"/>
          <w:szCs w:val="24"/>
        </w:rPr>
        <w:t>.</w:t>
      </w:r>
      <w:r w:rsidR="0014690B">
        <w:rPr>
          <w:rStyle w:val="Znakapoznpodarou"/>
          <w:rFonts w:asciiTheme="minorHAnsi" w:hAnsiTheme="minorHAnsi" w:cstheme="minorHAnsi"/>
          <w:bCs/>
          <w:sz w:val="24"/>
          <w:szCs w:val="24"/>
        </w:rPr>
        <w:footnoteReference w:id="22"/>
      </w:r>
    </w:p>
    <w:p w:rsidR="003F472D" w:rsidRPr="0092047B" w:rsidRDefault="003F472D" w:rsidP="00184DC1">
      <w:pPr>
        <w:pStyle w:val="Odstavecseseznamem"/>
        <w:numPr>
          <w:ilvl w:val="1"/>
          <w:numId w:val="26"/>
        </w:numPr>
        <w:spacing w:after="0" w:line="240" w:lineRule="auto"/>
        <w:rPr>
          <w:sz w:val="24"/>
        </w:rPr>
      </w:pPr>
      <w:r w:rsidRPr="0092047B">
        <w:rPr>
          <w:rFonts w:asciiTheme="minorHAnsi" w:hAnsiTheme="minorHAnsi" w:cstheme="minorHAnsi"/>
          <w:bCs/>
          <w:sz w:val="24"/>
          <w:szCs w:val="24"/>
        </w:rPr>
        <w:t>Respektování hierarchie nakládání s odpady podle aktuálního Plánu odpadového hospodářství ČR.</w:t>
      </w:r>
    </w:p>
    <w:p w:rsidR="003F472D" w:rsidRPr="0092047B" w:rsidRDefault="003F472D" w:rsidP="00184DC1">
      <w:pPr>
        <w:pStyle w:val="Odstavecseseznamem"/>
        <w:numPr>
          <w:ilvl w:val="1"/>
          <w:numId w:val="26"/>
        </w:numPr>
        <w:spacing w:after="0" w:line="240" w:lineRule="auto"/>
        <w:ind w:left="1485" w:hanging="357"/>
        <w:rPr>
          <w:sz w:val="24"/>
        </w:rPr>
      </w:pPr>
      <w:r w:rsidRPr="0092047B">
        <w:rPr>
          <w:rFonts w:asciiTheme="minorHAnsi" w:hAnsiTheme="minorHAnsi" w:cstheme="minorHAnsi"/>
          <w:bCs/>
          <w:sz w:val="24"/>
          <w:szCs w:val="24"/>
        </w:rPr>
        <w:t>Zavedení adekvátních mechanismů zamezujících vývozu energeticky využitelného odpadu do zahraničí ve zvýšené míře a jeho přednostní využití na území ČR.</w:t>
      </w:r>
    </w:p>
    <w:p w:rsidR="003F472D" w:rsidRPr="0092047B" w:rsidRDefault="003F472D" w:rsidP="00EF045E">
      <w:pPr>
        <w:pStyle w:val="Odstavecseseznamem"/>
        <w:numPr>
          <w:ilvl w:val="0"/>
          <w:numId w:val="26"/>
        </w:numPr>
        <w:spacing w:after="120" w:line="240" w:lineRule="auto"/>
        <w:rPr>
          <w:sz w:val="24"/>
        </w:rPr>
      </w:pPr>
      <w:r w:rsidRPr="0092047B">
        <w:rPr>
          <w:sz w:val="24"/>
        </w:rPr>
        <w:t>Ohledně budoucího vývoje ceny povolenky panuje aktuálně poměrně velké množství nejistot. Proto dokument SEK pracuje s různými variantami vývoje ceny emisí CO</w:t>
      </w:r>
      <w:r w:rsidRPr="0092047B">
        <w:rPr>
          <w:sz w:val="24"/>
          <w:vertAlign w:val="subscript"/>
        </w:rPr>
        <w:t>2</w:t>
      </w:r>
      <w:r w:rsidRPr="0092047B">
        <w:rPr>
          <w:sz w:val="24"/>
        </w:rPr>
        <w:t>. Tyto zahrnují alternativy od možného opuštění obchodování s emisemi EU ETS a přechodu na diferencované národní nástroje snižování emisí až po alternativu dosažení celosvětové dohody s ohledem na omezování emisí skleníkových plynů.</w:t>
      </w:r>
    </w:p>
    <w:p w:rsidR="006477DA" w:rsidRPr="0092047B" w:rsidRDefault="006477DA" w:rsidP="00EF045E">
      <w:pPr>
        <w:spacing w:after="120"/>
      </w:pPr>
      <w:r w:rsidRPr="0092047B">
        <w:t>Optimalizovaný scénář SEK předpokládá zachování systému obchodování s emisními povolenkami EU ETS, včetně provedení aktuálně probíhající strukturální reformy modelu obchodování s emisemi CO</w:t>
      </w:r>
      <w:r w:rsidRPr="006477DA">
        <w:rPr>
          <w:vertAlign w:val="subscript"/>
        </w:rPr>
        <w:t>2</w:t>
      </w:r>
      <w:r w:rsidRPr="0092047B">
        <w:t>, tj. zavedení tzv. stabilizační rezervy po roce 2020 a s realizací backloadingu. Data vycházejí z podkladů připravených Ministerstvem životního prostředí v rámci zpracování dopadové analýzy návrhu klimaticko-energetického rámce pro roky 2020 – 2030</w:t>
      </w:r>
      <w:r w:rsidRPr="00A34F0C">
        <w:t xml:space="preserve"> </w:t>
      </w:r>
      <w:r w:rsidRPr="0092047B">
        <w:t xml:space="preserve">na ČR. </w:t>
      </w:r>
      <w:r>
        <w:t>V</w:t>
      </w:r>
      <w:r w:rsidRPr="0092047B">
        <w:t xml:space="preserve">livem backloadingu </w:t>
      </w:r>
      <w:r>
        <w:t xml:space="preserve">se tudíž očekává </w:t>
      </w:r>
      <w:r w:rsidRPr="0092047B">
        <w:t>postupný nárůst cen emisních povolenek do roku 2018 (na cca. 11,5 EUR/tunu CO</w:t>
      </w:r>
      <w:r w:rsidRPr="006477DA">
        <w:rPr>
          <w:vertAlign w:val="subscript"/>
        </w:rPr>
        <w:t>2</w:t>
      </w:r>
      <w:r w:rsidRPr="0092047B">
        <w:t>), následný dočasný pokles do roku 2020 a pak růst vlivem nutnosti splnit dekarbonizační cíle do roku 2030 až do úrovně 26 EUR/tunu CO</w:t>
      </w:r>
      <w:r w:rsidRPr="006477DA">
        <w:rPr>
          <w:vertAlign w:val="subscript"/>
        </w:rPr>
        <w:t>2</w:t>
      </w:r>
      <w:r w:rsidRPr="0092047B">
        <w:t>.</w:t>
      </w:r>
      <w:r>
        <w:t xml:space="preserve"> </w:t>
      </w:r>
      <w:r w:rsidRPr="0092047B">
        <w:t>Po roce 2030 bude dále docházet spíše k</w:t>
      </w:r>
      <w:r>
        <w:t> </w:t>
      </w:r>
      <w:r w:rsidRPr="0092047B">
        <w:t>mírnému</w:t>
      </w:r>
      <w:r>
        <w:t xml:space="preserve"> růstu </w:t>
      </w:r>
      <w:r w:rsidRPr="0092047B">
        <w:t>nominální ceny emisní povolenky.</w:t>
      </w:r>
    </w:p>
    <w:p w:rsidR="003F472D" w:rsidRPr="0092047B" w:rsidRDefault="003F472D" w:rsidP="00EF045E">
      <w:pPr>
        <w:spacing w:after="120"/>
        <w:rPr>
          <w:rFonts w:cstheme="minorHAnsi"/>
        </w:rPr>
      </w:pPr>
      <w:r w:rsidRPr="0092047B">
        <w:rPr>
          <w:rFonts w:cstheme="minorHAnsi"/>
        </w:rPr>
        <w:t>Vzhledem k vysoké míře nejistot při prognózování na 25letý časový horizont, kdy řadu změn vnějšího prostředí není ČR schopna ovlivnit, a tudíž s cílem zachovat co možná největší flexibilitu pro rozhodování subjektů v energetice, byla ze strany MPO zvažována řada alternativních scénářů. Ty postihují různé kombinace vstupních předpokladů a změn vnějších podmínek, při respektování výše uvedených strategických axiomů. V rámci procesu sestavování těchto scénářů dochází k rozdílnému zohlednění relativní důležitosti tří základních strategických cílů koncepce. Výstupem těchto analýz je tak doporučované rozpětí, respektive koridory, pro skladbu energetického mixu primárních zdrojů energie ČR a výrobu elektřiny ČR, které jsou uvedeny v kapitole 4.2. Tyto koridory tak představují výsledné zadání pro vývoj české energetiky z pohledu SEK.</w:t>
      </w:r>
    </w:p>
    <w:p w:rsidR="003F472D" w:rsidRPr="0092047B" w:rsidRDefault="003F472D" w:rsidP="00184DC1">
      <w:pPr>
        <w:spacing w:after="0"/>
        <w:jc w:val="left"/>
        <w:rPr>
          <w:rFonts w:cstheme="minorHAnsi"/>
        </w:rPr>
      </w:pPr>
      <w:r w:rsidRPr="0092047B">
        <w:rPr>
          <w:rFonts w:cstheme="minorHAnsi"/>
        </w:rPr>
        <w:br w:type="page"/>
      </w:r>
    </w:p>
    <w:p w:rsidR="003F472D" w:rsidRPr="0092047B" w:rsidRDefault="003F472D" w:rsidP="00184DC1">
      <w:pPr>
        <w:pStyle w:val="Nadpis2"/>
      </w:pPr>
      <w:bookmarkStart w:id="854" w:name="_Ref367886090"/>
      <w:bookmarkStart w:id="855" w:name="_Toc370121881"/>
      <w:bookmarkStart w:id="856" w:name="_Toc387757701"/>
      <w:bookmarkStart w:id="857" w:name="_Toc396923413"/>
      <w:r w:rsidRPr="0092047B">
        <w:t>Optimalizovaný scénář vývoje energetiky do roku 2040</w:t>
      </w:r>
      <w:bookmarkEnd w:id="854"/>
      <w:bookmarkEnd w:id="855"/>
      <w:bookmarkEnd w:id="856"/>
      <w:bookmarkEnd w:id="857"/>
    </w:p>
    <w:p w:rsidR="003F472D" w:rsidRPr="0092047B" w:rsidRDefault="003F472D" w:rsidP="00184DC1">
      <w:pPr>
        <w:pStyle w:val="Nadpis3"/>
      </w:pPr>
      <w:bookmarkStart w:id="858" w:name="_Toc387757704"/>
      <w:bookmarkStart w:id="859" w:name="_Toc396923414"/>
      <w:r w:rsidRPr="0092047B">
        <w:t>Vývoj a struktura konečné spotřeby energie</w:t>
      </w:r>
      <w:bookmarkEnd w:id="858"/>
      <w:bookmarkEnd w:id="859"/>
    </w:p>
    <w:p w:rsidR="003F472D" w:rsidRPr="00E42D66" w:rsidRDefault="003F472D" w:rsidP="00184DC1">
      <w:pPr>
        <w:pStyle w:val="Titulek"/>
        <w:keepNext/>
        <w:spacing w:before="240" w:after="120"/>
      </w:pPr>
      <w:bookmarkStart w:id="860" w:name="_Ref395099777"/>
      <w:bookmarkStart w:id="861" w:name="_Toc387757564"/>
      <w:bookmarkStart w:id="862" w:name="_Toc396923160"/>
      <w:r w:rsidRPr="00E42D66">
        <w:rPr>
          <w:b/>
        </w:rPr>
        <w:t xml:space="preserve">Tabulka č. </w:t>
      </w:r>
      <w:r w:rsidRPr="00E42D66">
        <w:rPr>
          <w:b/>
        </w:rPr>
        <w:fldChar w:fldCharType="begin"/>
      </w:r>
      <w:r w:rsidRPr="00E42D66">
        <w:rPr>
          <w:b/>
        </w:rPr>
        <w:instrText xml:space="preserve"> SEQ Tabulka_č. \* ARABIC </w:instrText>
      </w:r>
      <w:r w:rsidRPr="00E42D66">
        <w:rPr>
          <w:b/>
        </w:rPr>
        <w:fldChar w:fldCharType="separate"/>
      </w:r>
      <w:r w:rsidR="0096423F">
        <w:rPr>
          <w:b/>
          <w:noProof/>
        </w:rPr>
        <w:t>1</w:t>
      </w:r>
      <w:r w:rsidRPr="00E42D66">
        <w:rPr>
          <w:b/>
        </w:rPr>
        <w:fldChar w:fldCharType="end"/>
      </w:r>
      <w:bookmarkEnd w:id="860"/>
      <w:r w:rsidRPr="00E42D66">
        <w:rPr>
          <w:b/>
        </w:rPr>
        <w:t>:</w:t>
      </w:r>
      <w:r w:rsidRPr="00E42D66">
        <w:t xml:space="preserve"> Vývoj a struktura konečné spotřeby energie</w:t>
      </w:r>
      <w:bookmarkEnd w:id="861"/>
      <w:bookmarkEnd w:id="862"/>
    </w:p>
    <w:tbl>
      <w:tblPr>
        <w:tblW w:w="5004" w:type="pct"/>
        <w:tblLayout w:type="fixed"/>
        <w:tblCellMar>
          <w:left w:w="70" w:type="dxa"/>
          <w:right w:w="70" w:type="dxa"/>
        </w:tblCellMar>
        <w:tblLook w:val="04A0" w:firstRow="1" w:lastRow="0" w:firstColumn="1" w:lastColumn="0" w:noHBand="0" w:noVBand="1"/>
      </w:tblPr>
      <w:tblGrid>
        <w:gridCol w:w="2322"/>
        <w:gridCol w:w="423"/>
        <w:gridCol w:w="922"/>
        <w:gridCol w:w="926"/>
        <w:gridCol w:w="926"/>
        <w:gridCol w:w="926"/>
        <w:gridCol w:w="926"/>
        <w:gridCol w:w="926"/>
        <w:gridCol w:w="922"/>
      </w:tblGrid>
      <w:tr w:rsidR="00104029" w:rsidRPr="00104029" w:rsidTr="00104029">
        <w:trPr>
          <w:trHeight w:val="255"/>
        </w:trPr>
        <w:tc>
          <w:tcPr>
            <w:tcW w:w="1260" w:type="pct"/>
            <w:tcBorders>
              <w:top w:val="single" w:sz="4" w:space="0" w:color="auto"/>
              <w:left w:val="single" w:sz="4" w:space="0" w:color="auto"/>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Konečná spotřeba ener.</w:t>
            </w:r>
          </w:p>
        </w:tc>
        <w:tc>
          <w:tcPr>
            <w:tcW w:w="230"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 </w:t>
            </w:r>
          </w:p>
        </w:tc>
        <w:tc>
          <w:tcPr>
            <w:tcW w:w="500"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2010</w:t>
            </w:r>
          </w:p>
        </w:tc>
        <w:tc>
          <w:tcPr>
            <w:tcW w:w="502"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2015</w:t>
            </w:r>
          </w:p>
        </w:tc>
        <w:tc>
          <w:tcPr>
            <w:tcW w:w="502"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2020</w:t>
            </w:r>
          </w:p>
        </w:tc>
        <w:tc>
          <w:tcPr>
            <w:tcW w:w="502"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2025</w:t>
            </w:r>
          </w:p>
        </w:tc>
        <w:tc>
          <w:tcPr>
            <w:tcW w:w="502"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2030</w:t>
            </w:r>
          </w:p>
        </w:tc>
        <w:tc>
          <w:tcPr>
            <w:tcW w:w="502" w:type="pct"/>
            <w:tcBorders>
              <w:top w:val="single" w:sz="4" w:space="0" w:color="auto"/>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2035</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104029" w:rsidRPr="00104029" w:rsidRDefault="00104029" w:rsidP="00184DC1">
            <w:pPr>
              <w:spacing w:after="0"/>
              <w:jc w:val="center"/>
              <w:rPr>
                <w:rFonts w:cs="Arial"/>
                <w:b/>
                <w:bCs/>
                <w:color w:val="000000"/>
                <w:sz w:val="22"/>
                <w:szCs w:val="22"/>
              </w:rPr>
            </w:pPr>
            <w:r w:rsidRPr="00104029">
              <w:rPr>
                <w:rFonts w:cs="Arial"/>
                <w:b/>
                <w:bCs/>
                <w:color w:val="000000"/>
                <w:sz w:val="22"/>
                <w:szCs w:val="22"/>
              </w:rPr>
              <w:t>2040</w:t>
            </w:r>
          </w:p>
        </w:tc>
      </w:tr>
      <w:tr w:rsidR="00104029" w:rsidRPr="00104029" w:rsidTr="00104029">
        <w:trPr>
          <w:trHeight w:val="255"/>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Černé uhlí</w:t>
            </w:r>
          </w:p>
        </w:tc>
        <w:tc>
          <w:tcPr>
            <w:tcW w:w="230" w:type="pct"/>
            <w:tcBorders>
              <w:top w:val="single" w:sz="4" w:space="0" w:color="FFFFFF"/>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single" w:sz="4" w:space="0" w:color="A6A6A6"/>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35,0</w:t>
            </w:r>
          </w:p>
        </w:tc>
        <w:tc>
          <w:tcPr>
            <w:tcW w:w="502" w:type="pct"/>
            <w:tcBorders>
              <w:top w:val="single" w:sz="4" w:space="0" w:color="A6A6A6"/>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31,8</w:t>
            </w:r>
          </w:p>
        </w:tc>
        <w:tc>
          <w:tcPr>
            <w:tcW w:w="502" w:type="pct"/>
            <w:tcBorders>
              <w:top w:val="single" w:sz="4" w:space="0" w:color="A6A6A6"/>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30,9</w:t>
            </w:r>
          </w:p>
        </w:tc>
        <w:tc>
          <w:tcPr>
            <w:tcW w:w="502" w:type="pct"/>
            <w:tcBorders>
              <w:top w:val="single" w:sz="4" w:space="0" w:color="A6A6A6"/>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30,8</w:t>
            </w:r>
          </w:p>
        </w:tc>
        <w:tc>
          <w:tcPr>
            <w:tcW w:w="502" w:type="pct"/>
            <w:tcBorders>
              <w:top w:val="single" w:sz="4" w:space="0" w:color="A6A6A6"/>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26,7</w:t>
            </w:r>
          </w:p>
        </w:tc>
        <w:tc>
          <w:tcPr>
            <w:tcW w:w="502" w:type="pct"/>
            <w:tcBorders>
              <w:top w:val="single" w:sz="4" w:space="0" w:color="A6A6A6"/>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27,1</w:t>
            </w:r>
          </w:p>
        </w:tc>
        <w:tc>
          <w:tcPr>
            <w:tcW w:w="502" w:type="pct"/>
            <w:tcBorders>
              <w:top w:val="single" w:sz="4" w:space="0" w:color="A6A6A6"/>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26,7</w:t>
            </w:r>
          </w:p>
        </w:tc>
      </w:tr>
      <w:tr w:rsidR="00104029" w:rsidRPr="00104029" w:rsidTr="00104029">
        <w:trPr>
          <w:trHeight w:val="255"/>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Hnědé uhlí</w:t>
            </w:r>
          </w:p>
        </w:tc>
        <w:tc>
          <w:tcPr>
            <w:tcW w:w="230" w:type="pct"/>
            <w:tcBorders>
              <w:top w:val="nil"/>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73,8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56,0</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44,8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29,6</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26,2</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20,2</w:t>
            </w:r>
          </w:p>
        </w:tc>
        <w:tc>
          <w:tcPr>
            <w:tcW w:w="502" w:type="pct"/>
            <w:tcBorders>
              <w:top w:val="nil"/>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11,3</w:t>
            </w:r>
          </w:p>
        </w:tc>
      </w:tr>
      <w:tr w:rsidR="00104029" w:rsidRPr="00104029" w:rsidTr="00104029">
        <w:trPr>
          <w:trHeight w:val="255"/>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Zemní plyn</w:t>
            </w:r>
          </w:p>
        </w:tc>
        <w:tc>
          <w:tcPr>
            <w:tcW w:w="230" w:type="pct"/>
            <w:tcBorders>
              <w:top w:val="nil"/>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266,1</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272,9</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276,9</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280,7</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289,7</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294,6</w:t>
            </w:r>
          </w:p>
        </w:tc>
        <w:tc>
          <w:tcPr>
            <w:tcW w:w="502" w:type="pct"/>
            <w:tcBorders>
              <w:top w:val="nil"/>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298,0</w:t>
            </w:r>
          </w:p>
        </w:tc>
      </w:tr>
      <w:tr w:rsidR="00104029" w:rsidRPr="00104029" w:rsidTr="00104029">
        <w:trPr>
          <w:trHeight w:val="255"/>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Ropa a ropné produkty</w:t>
            </w:r>
          </w:p>
        </w:tc>
        <w:tc>
          <w:tcPr>
            <w:tcW w:w="230" w:type="pct"/>
            <w:tcBorders>
              <w:top w:val="nil"/>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354,1</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339,9</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329,1</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322,6</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304,8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283,4</w:t>
            </w:r>
          </w:p>
        </w:tc>
        <w:tc>
          <w:tcPr>
            <w:tcW w:w="502" w:type="pct"/>
            <w:tcBorders>
              <w:top w:val="nil"/>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260,5</w:t>
            </w:r>
          </w:p>
        </w:tc>
      </w:tr>
      <w:tr w:rsidR="00104029" w:rsidRPr="00104029" w:rsidTr="00104029">
        <w:trPr>
          <w:trHeight w:val="255"/>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Elektřina</w:t>
            </w:r>
          </w:p>
        </w:tc>
        <w:tc>
          <w:tcPr>
            <w:tcW w:w="230" w:type="pct"/>
            <w:tcBorders>
              <w:top w:val="nil"/>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207,6</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207,1</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218,8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236,2</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248,8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258,7</w:t>
            </w:r>
          </w:p>
        </w:tc>
        <w:tc>
          <w:tcPr>
            <w:tcW w:w="502" w:type="pct"/>
            <w:tcBorders>
              <w:top w:val="nil"/>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266,7</w:t>
            </w:r>
          </w:p>
        </w:tc>
      </w:tr>
      <w:tr w:rsidR="00104029" w:rsidRPr="00104029" w:rsidTr="00104029">
        <w:trPr>
          <w:trHeight w:val="255"/>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Teplo</w:t>
            </w:r>
          </w:p>
        </w:tc>
        <w:tc>
          <w:tcPr>
            <w:tcW w:w="230" w:type="pct"/>
            <w:tcBorders>
              <w:top w:val="nil"/>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119,7</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116,8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116,4</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115,7</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112,2</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113,9</w:t>
            </w:r>
          </w:p>
        </w:tc>
        <w:tc>
          <w:tcPr>
            <w:tcW w:w="502" w:type="pct"/>
            <w:tcBorders>
              <w:top w:val="nil"/>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113,7</w:t>
            </w:r>
          </w:p>
        </w:tc>
      </w:tr>
      <w:tr w:rsidR="00104029" w:rsidRPr="00104029" w:rsidTr="00104029">
        <w:trPr>
          <w:trHeight w:val="270"/>
        </w:trPr>
        <w:tc>
          <w:tcPr>
            <w:tcW w:w="1260" w:type="pct"/>
            <w:tcBorders>
              <w:top w:val="nil"/>
              <w:left w:val="single" w:sz="4" w:space="0" w:color="auto"/>
              <w:bottom w:val="single" w:sz="4" w:space="0" w:color="FFFFFF"/>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Ostatní paliva</w:t>
            </w:r>
          </w:p>
        </w:tc>
        <w:tc>
          <w:tcPr>
            <w:tcW w:w="230" w:type="pct"/>
            <w:tcBorders>
              <w:top w:val="nil"/>
              <w:left w:val="nil"/>
              <w:bottom w:val="single" w:sz="4" w:space="0" w:color="FFFFFF"/>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101,2</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122,0</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139,4</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149,2</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155,6</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162,1</w:t>
            </w:r>
          </w:p>
        </w:tc>
        <w:tc>
          <w:tcPr>
            <w:tcW w:w="502" w:type="pct"/>
            <w:tcBorders>
              <w:top w:val="nil"/>
              <w:left w:val="nil"/>
              <w:bottom w:val="double" w:sz="6" w:space="0" w:color="808080"/>
              <w:right w:val="single" w:sz="4" w:space="0" w:color="auto"/>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169,6</w:t>
            </w:r>
          </w:p>
        </w:tc>
      </w:tr>
      <w:tr w:rsidR="00104029" w:rsidRPr="00104029" w:rsidTr="00104029">
        <w:trPr>
          <w:trHeight w:val="270"/>
        </w:trPr>
        <w:tc>
          <w:tcPr>
            <w:tcW w:w="1260" w:type="pct"/>
            <w:tcBorders>
              <w:top w:val="nil"/>
              <w:left w:val="single" w:sz="4" w:space="0" w:color="auto"/>
              <w:bottom w:val="nil"/>
              <w:right w:val="single" w:sz="4" w:space="0" w:color="FFFFFF"/>
            </w:tcBorders>
            <w:shd w:val="clear" w:color="auto" w:fill="auto"/>
            <w:noWrap/>
            <w:vAlign w:val="bottom"/>
            <w:hideMark/>
          </w:tcPr>
          <w:p w:rsidR="00104029" w:rsidRPr="00104029" w:rsidRDefault="00104029" w:rsidP="00184DC1">
            <w:pPr>
              <w:spacing w:after="0"/>
              <w:jc w:val="left"/>
              <w:rPr>
                <w:rFonts w:cs="Arial"/>
                <w:b/>
                <w:bCs/>
                <w:color w:val="000000"/>
                <w:sz w:val="22"/>
                <w:szCs w:val="22"/>
              </w:rPr>
            </w:pPr>
            <w:r w:rsidRPr="00104029">
              <w:rPr>
                <w:rFonts w:cs="Arial"/>
                <w:b/>
                <w:bCs/>
                <w:color w:val="000000"/>
                <w:sz w:val="22"/>
                <w:szCs w:val="22"/>
              </w:rPr>
              <w:t>Celkem</w:t>
            </w:r>
          </w:p>
        </w:tc>
        <w:tc>
          <w:tcPr>
            <w:tcW w:w="230" w:type="pct"/>
            <w:tcBorders>
              <w:top w:val="nil"/>
              <w:left w:val="nil"/>
              <w:bottom w:val="nil"/>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1 157,6</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1 146,6</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1 156,2</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1 164,8</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1 164,0</w:t>
            </w:r>
          </w:p>
        </w:tc>
        <w:tc>
          <w:tcPr>
            <w:tcW w:w="502" w:type="pct"/>
            <w:tcBorders>
              <w:top w:val="nil"/>
              <w:left w:val="nil"/>
              <w:bottom w:val="single" w:sz="4" w:space="0" w:color="A6A6A6"/>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1 160,0</w:t>
            </w:r>
          </w:p>
        </w:tc>
        <w:tc>
          <w:tcPr>
            <w:tcW w:w="502" w:type="pct"/>
            <w:tcBorders>
              <w:top w:val="nil"/>
              <w:left w:val="nil"/>
              <w:bottom w:val="single" w:sz="4" w:space="0" w:color="A6A6A6"/>
              <w:right w:val="single" w:sz="4" w:space="0" w:color="auto"/>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1 146,4</w:t>
            </w:r>
          </w:p>
        </w:tc>
      </w:tr>
      <w:tr w:rsidR="00104029" w:rsidRPr="00104029" w:rsidTr="00104029">
        <w:trPr>
          <w:trHeight w:val="270"/>
        </w:trPr>
        <w:tc>
          <w:tcPr>
            <w:tcW w:w="1260" w:type="pct"/>
            <w:tcBorders>
              <w:top w:val="single" w:sz="4" w:space="0" w:color="FFFFFF"/>
              <w:left w:val="single" w:sz="4" w:space="0" w:color="auto"/>
              <w:bottom w:val="nil"/>
              <w:right w:val="nil"/>
            </w:tcBorders>
            <w:shd w:val="clear" w:color="auto" w:fill="auto"/>
            <w:noWrap/>
            <w:vAlign w:val="bottom"/>
            <w:hideMark/>
          </w:tcPr>
          <w:p w:rsidR="00104029" w:rsidRPr="00104029" w:rsidRDefault="00104029" w:rsidP="00184DC1">
            <w:pPr>
              <w:spacing w:after="0"/>
              <w:jc w:val="left"/>
              <w:rPr>
                <w:rFonts w:cs="Arial"/>
                <w:b/>
                <w:bCs/>
                <w:color w:val="000000"/>
                <w:sz w:val="22"/>
                <w:szCs w:val="22"/>
              </w:rPr>
            </w:pPr>
            <w:r w:rsidRPr="00104029">
              <w:rPr>
                <w:rFonts w:cs="Arial"/>
                <w:b/>
                <w:bCs/>
                <w:color w:val="000000"/>
                <w:sz w:val="22"/>
                <w:szCs w:val="22"/>
              </w:rPr>
              <w:t>Bilanční položka</w:t>
            </w:r>
            <w:r w:rsidR="0007295C">
              <w:rPr>
                <w:rFonts w:cs="Arial"/>
                <w:b/>
                <w:bCs/>
                <w:color w:val="000000"/>
                <w:sz w:val="22"/>
                <w:szCs w:val="22"/>
              </w:rPr>
              <w:t xml:space="preserve"> *</w:t>
            </w:r>
          </w:p>
        </w:tc>
        <w:tc>
          <w:tcPr>
            <w:tcW w:w="230" w:type="pct"/>
            <w:tcBorders>
              <w:top w:val="single" w:sz="4" w:space="0" w:color="FFFFFF"/>
              <w:left w:val="nil"/>
              <w:bottom w:val="nil"/>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right"/>
              <w:rPr>
                <w:rFonts w:cs="Arial"/>
                <w:color w:val="000000"/>
                <w:sz w:val="22"/>
                <w:szCs w:val="22"/>
              </w:rPr>
            </w:pPr>
            <w:r w:rsidRPr="00104029">
              <w:rPr>
                <w:rFonts w:cs="Arial"/>
                <w:color w:val="000000"/>
                <w:sz w:val="22"/>
                <w:szCs w:val="22"/>
              </w:rPr>
              <w:t>25,8</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 </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 </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 </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 </w:t>
            </w:r>
          </w:p>
        </w:tc>
        <w:tc>
          <w:tcPr>
            <w:tcW w:w="502" w:type="pct"/>
            <w:tcBorders>
              <w:top w:val="nil"/>
              <w:left w:val="nil"/>
              <w:bottom w:val="double" w:sz="6" w:space="0" w:color="808080"/>
              <w:right w:val="single" w:sz="4" w:space="0" w:color="FFFFFF"/>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 </w:t>
            </w:r>
          </w:p>
        </w:tc>
        <w:tc>
          <w:tcPr>
            <w:tcW w:w="502" w:type="pct"/>
            <w:tcBorders>
              <w:top w:val="nil"/>
              <w:left w:val="nil"/>
              <w:bottom w:val="double" w:sz="6" w:space="0" w:color="808080"/>
              <w:right w:val="single" w:sz="4" w:space="0" w:color="auto"/>
            </w:tcBorders>
            <w:shd w:val="clear" w:color="auto" w:fill="auto"/>
            <w:noWrap/>
            <w:vAlign w:val="bottom"/>
            <w:hideMark/>
          </w:tcPr>
          <w:p w:rsidR="00104029" w:rsidRPr="00104029" w:rsidRDefault="00104029" w:rsidP="00184DC1">
            <w:pPr>
              <w:spacing w:after="0"/>
              <w:jc w:val="left"/>
              <w:rPr>
                <w:rFonts w:cs="Arial"/>
                <w:color w:val="000000"/>
                <w:sz w:val="22"/>
                <w:szCs w:val="22"/>
              </w:rPr>
            </w:pPr>
            <w:r w:rsidRPr="00104029">
              <w:rPr>
                <w:rFonts w:cs="Arial"/>
                <w:color w:val="000000"/>
                <w:sz w:val="22"/>
                <w:szCs w:val="22"/>
              </w:rPr>
              <w:t> </w:t>
            </w:r>
          </w:p>
        </w:tc>
      </w:tr>
      <w:tr w:rsidR="00104029" w:rsidRPr="00104029" w:rsidTr="00104029">
        <w:trPr>
          <w:trHeight w:val="272"/>
        </w:trPr>
        <w:tc>
          <w:tcPr>
            <w:tcW w:w="1260" w:type="pct"/>
            <w:tcBorders>
              <w:top w:val="nil"/>
              <w:left w:val="single" w:sz="4" w:space="0" w:color="auto"/>
              <w:bottom w:val="single" w:sz="4" w:space="0" w:color="auto"/>
              <w:right w:val="nil"/>
            </w:tcBorders>
            <w:shd w:val="clear" w:color="auto" w:fill="auto"/>
            <w:noWrap/>
            <w:vAlign w:val="bottom"/>
            <w:hideMark/>
          </w:tcPr>
          <w:p w:rsidR="00104029" w:rsidRPr="00104029" w:rsidRDefault="00104029" w:rsidP="00184DC1">
            <w:pPr>
              <w:spacing w:after="0"/>
              <w:jc w:val="left"/>
              <w:rPr>
                <w:rFonts w:cs="Arial"/>
                <w:b/>
                <w:color w:val="000000"/>
                <w:sz w:val="22"/>
                <w:szCs w:val="22"/>
              </w:rPr>
            </w:pPr>
            <w:r w:rsidRPr="00104029">
              <w:rPr>
                <w:rFonts w:cs="Arial"/>
                <w:b/>
                <w:color w:val="000000"/>
                <w:sz w:val="22"/>
                <w:szCs w:val="22"/>
              </w:rPr>
              <w:t>Celkem</w:t>
            </w:r>
          </w:p>
        </w:tc>
        <w:tc>
          <w:tcPr>
            <w:tcW w:w="230" w:type="pct"/>
            <w:tcBorders>
              <w:top w:val="nil"/>
              <w:left w:val="nil"/>
              <w:bottom w:val="single" w:sz="4" w:space="0" w:color="auto"/>
              <w:right w:val="single" w:sz="4" w:space="0" w:color="auto"/>
            </w:tcBorders>
            <w:shd w:val="clear" w:color="auto" w:fill="auto"/>
            <w:noWrap/>
            <w:vAlign w:val="bottom"/>
            <w:hideMark/>
          </w:tcPr>
          <w:p w:rsidR="00104029" w:rsidRPr="00104029" w:rsidRDefault="00104029" w:rsidP="00184DC1">
            <w:pPr>
              <w:spacing w:after="0"/>
              <w:jc w:val="center"/>
              <w:rPr>
                <w:rFonts w:cs="Arial"/>
                <w:color w:val="000000"/>
                <w:sz w:val="22"/>
                <w:szCs w:val="22"/>
              </w:rPr>
            </w:pPr>
            <w:r w:rsidRPr="00104029">
              <w:rPr>
                <w:rFonts w:cs="Arial"/>
                <w:color w:val="000000"/>
                <w:sz w:val="22"/>
                <w:szCs w:val="22"/>
              </w:rPr>
              <w:t>PJ</w:t>
            </w:r>
          </w:p>
        </w:tc>
        <w:tc>
          <w:tcPr>
            <w:tcW w:w="500" w:type="pct"/>
            <w:tcBorders>
              <w:top w:val="nil"/>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1 131,8</w:t>
            </w:r>
          </w:p>
        </w:tc>
        <w:tc>
          <w:tcPr>
            <w:tcW w:w="502" w:type="pct"/>
            <w:tcBorders>
              <w:top w:val="nil"/>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1 146,6</w:t>
            </w:r>
          </w:p>
        </w:tc>
        <w:tc>
          <w:tcPr>
            <w:tcW w:w="502" w:type="pct"/>
            <w:tcBorders>
              <w:top w:val="nil"/>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1 156,2</w:t>
            </w:r>
          </w:p>
        </w:tc>
        <w:tc>
          <w:tcPr>
            <w:tcW w:w="502" w:type="pct"/>
            <w:tcBorders>
              <w:top w:val="nil"/>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1 164,8</w:t>
            </w:r>
          </w:p>
        </w:tc>
        <w:tc>
          <w:tcPr>
            <w:tcW w:w="502" w:type="pct"/>
            <w:tcBorders>
              <w:top w:val="nil"/>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1 164,0</w:t>
            </w:r>
          </w:p>
        </w:tc>
        <w:tc>
          <w:tcPr>
            <w:tcW w:w="502" w:type="pct"/>
            <w:tcBorders>
              <w:top w:val="nil"/>
              <w:left w:val="nil"/>
              <w:bottom w:val="single" w:sz="4" w:space="0" w:color="auto"/>
              <w:right w:val="single" w:sz="4" w:space="0" w:color="FFFFFF"/>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1 160,0</w:t>
            </w:r>
          </w:p>
        </w:tc>
        <w:tc>
          <w:tcPr>
            <w:tcW w:w="502" w:type="pct"/>
            <w:tcBorders>
              <w:top w:val="nil"/>
              <w:left w:val="nil"/>
              <w:bottom w:val="single" w:sz="4" w:space="0" w:color="auto"/>
              <w:right w:val="single" w:sz="4" w:space="0" w:color="auto"/>
            </w:tcBorders>
            <w:shd w:val="clear" w:color="auto" w:fill="auto"/>
            <w:noWrap/>
            <w:vAlign w:val="bottom"/>
            <w:hideMark/>
          </w:tcPr>
          <w:p w:rsidR="00104029" w:rsidRPr="00104029" w:rsidRDefault="00104029" w:rsidP="00184DC1">
            <w:pPr>
              <w:spacing w:after="0"/>
              <w:jc w:val="right"/>
              <w:rPr>
                <w:rFonts w:cs="Arial"/>
                <w:b/>
                <w:bCs/>
                <w:color w:val="000000"/>
                <w:sz w:val="22"/>
                <w:szCs w:val="22"/>
              </w:rPr>
            </w:pPr>
            <w:r w:rsidRPr="00104029">
              <w:rPr>
                <w:rFonts w:cs="Arial"/>
                <w:b/>
                <w:bCs/>
                <w:color w:val="000000"/>
                <w:sz w:val="22"/>
                <w:szCs w:val="22"/>
              </w:rPr>
              <w:t>1 146,4</w:t>
            </w:r>
          </w:p>
        </w:tc>
      </w:tr>
    </w:tbl>
    <w:p w:rsidR="00E10DCB" w:rsidRDefault="00104029" w:rsidP="00184DC1">
      <w:pPr>
        <w:pStyle w:val="Odstavecseseznamem"/>
        <w:spacing w:before="120" w:after="120" w:line="240" w:lineRule="auto"/>
        <w:ind w:left="0"/>
        <w:rPr>
          <w:i/>
          <w:sz w:val="18"/>
          <w:szCs w:val="18"/>
        </w:rPr>
      </w:pPr>
      <w:r w:rsidRPr="009F37D6">
        <w:rPr>
          <w:i/>
          <w:sz w:val="18"/>
          <w:szCs w:val="18"/>
        </w:rPr>
        <w:t>*</w:t>
      </w:r>
      <w:r w:rsidR="009F37D6" w:rsidRPr="009F37D6">
        <w:rPr>
          <w:i/>
          <w:sz w:val="18"/>
          <w:szCs w:val="18"/>
        </w:rPr>
        <w:t xml:space="preserve"> Ve výpočtu existují rozdílné metodiky mezi ČSÚ a MPO. Bilanční položka v roce 2010 slouží ke smazání toho rozdílu.</w:t>
      </w:r>
    </w:p>
    <w:p w:rsidR="00235C7B" w:rsidRPr="00E42D66" w:rsidRDefault="00235C7B" w:rsidP="00184DC1">
      <w:pPr>
        <w:pStyle w:val="Titulek"/>
        <w:keepNext/>
        <w:spacing w:before="240" w:after="120"/>
        <w:jc w:val="left"/>
      </w:pPr>
      <w:bookmarkStart w:id="863" w:name="_Toc396923120"/>
      <w:r w:rsidRPr="00E42D66">
        <w:rPr>
          <w:b/>
        </w:rPr>
        <w:t xml:space="preserve">Graf č. </w:t>
      </w:r>
      <w:r w:rsidRPr="00E42D66">
        <w:rPr>
          <w:b/>
        </w:rPr>
        <w:fldChar w:fldCharType="begin"/>
      </w:r>
      <w:r w:rsidRPr="00E42D66">
        <w:rPr>
          <w:b/>
        </w:rPr>
        <w:instrText xml:space="preserve"> SEQ Graf_č. \* ARABIC </w:instrText>
      </w:r>
      <w:r w:rsidRPr="00E42D66">
        <w:rPr>
          <w:b/>
        </w:rPr>
        <w:fldChar w:fldCharType="separate"/>
      </w:r>
      <w:r w:rsidR="0096423F">
        <w:rPr>
          <w:b/>
          <w:noProof/>
        </w:rPr>
        <w:t>4</w:t>
      </w:r>
      <w:r w:rsidRPr="00E42D66">
        <w:rPr>
          <w:b/>
        </w:rPr>
        <w:fldChar w:fldCharType="end"/>
      </w:r>
      <w:r w:rsidRPr="00E42D66">
        <w:rPr>
          <w:b/>
        </w:rPr>
        <w:t xml:space="preserve">: </w:t>
      </w:r>
      <w:r w:rsidRPr="00E42D66">
        <w:t>Vývoj a struktura konečné spotřeby energie</w:t>
      </w:r>
      <w:bookmarkEnd w:id="863"/>
    </w:p>
    <w:p w:rsidR="003F472D" w:rsidRPr="0092047B" w:rsidRDefault="003F472D" w:rsidP="00EF045E">
      <w:pPr>
        <w:spacing w:before="120"/>
        <w:jc w:val="center"/>
        <w:rPr>
          <w:rFonts w:cstheme="minorHAnsi"/>
        </w:rPr>
      </w:pPr>
      <w:r w:rsidRPr="00CD6B61">
        <w:rPr>
          <w:rFonts w:cstheme="minorHAnsi"/>
          <w:noProof/>
        </w:rPr>
        <w:drawing>
          <wp:inline distT="0" distB="0" distL="0" distR="0" wp14:anchorId="7D3B0C01" wp14:editId="5D488B41">
            <wp:extent cx="5760000" cy="3780000"/>
            <wp:effectExtent l="0" t="0" r="12700" b="1143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0C7B" w:rsidRPr="0092047B" w:rsidRDefault="003F472D" w:rsidP="00184DC1">
      <w:pPr>
        <w:rPr>
          <w:rFonts w:cstheme="minorHAnsi"/>
        </w:rPr>
      </w:pPr>
      <w:r w:rsidRPr="0092047B">
        <w:rPr>
          <w:rFonts w:cstheme="minorHAnsi"/>
        </w:rPr>
        <w:t xml:space="preserve">Celková výše konečné spotřeby energie zaznamenává v celém sledovaném období pouze mírný růst, což s respektováním předpokládaného vývoje HDP svědčí o uplatňování politiky úspor energie. Ve struktuře konečné spotřeby je dále patrný téměř úplný odklon od hnědého uhlí, </w:t>
      </w:r>
      <w:r w:rsidR="00EF045E">
        <w:rPr>
          <w:rFonts w:cstheme="minorHAnsi"/>
        </w:rPr>
        <w:t>které</w:t>
      </w:r>
      <w:r w:rsidRPr="0092047B">
        <w:rPr>
          <w:rFonts w:cstheme="minorHAnsi"/>
        </w:rPr>
        <w:t xml:space="preserve"> je</w:t>
      </w:r>
      <w:r w:rsidR="00EF045E">
        <w:rPr>
          <w:rFonts w:cstheme="minorHAnsi"/>
        </w:rPr>
        <w:t>,</w:t>
      </w:r>
      <w:r w:rsidRPr="0092047B">
        <w:rPr>
          <w:rFonts w:cstheme="minorHAnsi"/>
        </w:rPr>
        <w:t xml:space="preserve"> </w:t>
      </w:r>
      <w:r w:rsidR="00EF045E">
        <w:rPr>
          <w:rFonts w:cstheme="minorHAnsi"/>
        </w:rPr>
        <w:t>hlavně</w:t>
      </w:r>
      <w:r w:rsidRPr="0092047B">
        <w:rPr>
          <w:rFonts w:cstheme="minorHAnsi"/>
        </w:rPr>
        <w:t xml:space="preserve"> v lokálních topeništích</w:t>
      </w:r>
      <w:r w:rsidR="00EF045E">
        <w:rPr>
          <w:rFonts w:cstheme="minorHAnsi"/>
        </w:rPr>
        <w:t>,</w:t>
      </w:r>
      <w:r w:rsidRPr="0092047B">
        <w:rPr>
          <w:rFonts w:cstheme="minorHAnsi"/>
        </w:rPr>
        <w:t xml:space="preserve"> zdrojem emisí s </w:t>
      </w:r>
      <w:r w:rsidR="00046591">
        <w:rPr>
          <w:rFonts w:cstheme="minorHAnsi"/>
        </w:rPr>
        <w:t xml:space="preserve">negativním </w:t>
      </w:r>
      <w:r w:rsidRPr="0092047B">
        <w:rPr>
          <w:rFonts w:cstheme="minorHAnsi"/>
        </w:rPr>
        <w:t>účinkem na zdraví</w:t>
      </w:r>
      <w:r w:rsidR="00270C7B" w:rsidRPr="0092047B">
        <w:rPr>
          <w:rFonts w:cstheme="minorHAnsi"/>
        </w:rPr>
        <w:t>.</w:t>
      </w:r>
    </w:p>
    <w:p w:rsidR="003F472D" w:rsidRPr="0092047B" w:rsidRDefault="003F472D" w:rsidP="00184DC1">
      <w:pPr>
        <w:rPr>
          <w:rFonts w:cstheme="minorHAnsi"/>
        </w:rPr>
      </w:pPr>
      <w:r w:rsidRPr="0092047B">
        <w:rPr>
          <w:rFonts w:cstheme="minorHAnsi"/>
        </w:rPr>
        <w:t xml:space="preserve">U plynu se očekává </w:t>
      </w:r>
      <w:r w:rsidR="002D6612">
        <w:rPr>
          <w:rFonts w:cstheme="minorHAnsi"/>
        </w:rPr>
        <w:t>mírný růst</w:t>
      </w:r>
      <w:r w:rsidRPr="0092047B">
        <w:rPr>
          <w:rFonts w:cstheme="minorHAnsi"/>
        </w:rPr>
        <w:t xml:space="preserve"> spotřeby spolu se změnou její vnitřní struktury (pokles spotřeby na teplo v domácnostech a mírný růst spotřeby v</w:t>
      </w:r>
      <w:r w:rsidR="002D6612">
        <w:rPr>
          <w:rFonts w:cstheme="minorHAnsi"/>
        </w:rPr>
        <w:t> </w:t>
      </w:r>
      <w:r w:rsidRPr="0092047B">
        <w:rPr>
          <w:rFonts w:cstheme="minorHAnsi"/>
        </w:rPr>
        <w:t>průmyslu). Pro celé predikované období je předpokládán výraznější rozvoj plynu i v sektoru dopr</w:t>
      </w:r>
      <w:r w:rsidRPr="005876DC">
        <w:rPr>
          <w:rFonts w:cstheme="minorHAnsi"/>
        </w:rPr>
        <w:t>avy (viz</w:t>
      </w:r>
      <w:r w:rsidR="00D63E89" w:rsidRPr="005876DC">
        <w:t xml:space="preserve"> </w:t>
      </w:r>
      <w:r w:rsidR="005876DC" w:rsidRPr="005876DC">
        <w:fldChar w:fldCharType="begin"/>
      </w:r>
      <w:r w:rsidR="005876DC" w:rsidRPr="005876DC">
        <w:instrText xml:space="preserve"> REF _Ref391888580 \h  \* MERGEFORMAT </w:instrText>
      </w:r>
      <w:r w:rsidR="005876DC" w:rsidRPr="005876DC">
        <w:fldChar w:fldCharType="separate"/>
      </w:r>
      <w:r w:rsidR="0096423F" w:rsidRPr="0096423F">
        <w:t xml:space="preserve">Graf č. </w:t>
      </w:r>
      <w:r w:rsidR="0096423F" w:rsidRPr="0096423F">
        <w:rPr>
          <w:noProof/>
        </w:rPr>
        <w:t>6</w:t>
      </w:r>
      <w:r w:rsidR="005876DC" w:rsidRPr="005876DC">
        <w:fldChar w:fldCharType="end"/>
      </w:r>
      <w:r w:rsidRPr="005876DC">
        <w:rPr>
          <w:rFonts w:cstheme="minorHAnsi"/>
        </w:rPr>
        <w:t>)</w:t>
      </w:r>
      <w:r w:rsidRPr="0092047B">
        <w:rPr>
          <w:rFonts w:cstheme="minorHAnsi"/>
        </w:rPr>
        <w:t xml:space="preserve">. Přestože se v domácnostech v řadě případů budou nahrazovat tuhá paliva zemním plynem, spotřeba nebude významně stoupat, a to z důvodu vyšší energetické efektivnosti budov. </w:t>
      </w:r>
    </w:p>
    <w:p w:rsidR="003F472D" w:rsidRPr="0092047B" w:rsidRDefault="003F472D" w:rsidP="00184DC1">
      <w:pPr>
        <w:pStyle w:val="Nadpis3"/>
      </w:pPr>
      <w:bookmarkStart w:id="864" w:name="_Toc367279704"/>
      <w:bookmarkStart w:id="865" w:name="_Toc367280253"/>
      <w:bookmarkStart w:id="866" w:name="_Toc370121891"/>
      <w:bookmarkStart w:id="867" w:name="_Toc387757705"/>
      <w:bookmarkStart w:id="868" w:name="_Toc396923415"/>
      <w:r w:rsidRPr="0092047B">
        <w:t>Vývoj a struktura konečné spotřeby energie v domácnostech</w:t>
      </w:r>
      <w:bookmarkEnd w:id="864"/>
      <w:bookmarkEnd w:id="865"/>
      <w:bookmarkEnd w:id="866"/>
      <w:bookmarkEnd w:id="867"/>
      <w:bookmarkEnd w:id="868"/>
    </w:p>
    <w:p w:rsidR="003F472D" w:rsidRPr="0092047B" w:rsidRDefault="003F472D" w:rsidP="00184DC1">
      <w:pPr>
        <w:pStyle w:val="Titulek"/>
        <w:keepNext/>
        <w:spacing w:before="240" w:after="120"/>
      </w:pPr>
      <w:bookmarkStart w:id="869" w:name="_Ref388083192"/>
      <w:bookmarkStart w:id="870" w:name="_Toc387757565"/>
      <w:bookmarkStart w:id="871" w:name="_Toc396923161"/>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2</w:t>
      </w:r>
      <w:r w:rsidRPr="0092047B">
        <w:rPr>
          <w:b/>
        </w:rPr>
        <w:fldChar w:fldCharType="end"/>
      </w:r>
      <w:bookmarkEnd w:id="869"/>
      <w:r w:rsidRPr="0092047B">
        <w:rPr>
          <w:b/>
        </w:rPr>
        <w:t>:</w:t>
      </w:r>
      <w:r w:rsidRPr="0092047B">
        <w:t xml:space="preserve"> Vývoj a struktura konečné spotřeby energie v domácnostech</w:t>
      </w:r>
      <w:bookmarkEnd w:id="870"/>
      <w:bookmarkEnd w:id="871"/>
    </w:p>
    <w:tbl>
      <w:tblPr>
        <w:tblW w:w="5000" w:type="pct"/>
        <w:tblCellMar>
          <w:left w:w="70" w:type="dxa"/>
          <w:right w:w="70" w:type="dxa"/>
        </w:tblCellMar>
        <w:tblLook w:val="04A0" w:firstRow="1" w:lastRow="0" w:firstColumn="1" w:lastColumn="0" w:noHBand="0" w:noVBand="1"/>
      </w:tblPr>
      <w:tblGrid>
        <w:gridCol w:w="3258"/>
        <w:gridCol w:w="405"/>
        <w:gridCol w:w="796"/>
        <w:gridCol w:w="796"/>
        <w:gridCol w:w="792"/>
        <w:gridCol w:w="792"/>
        <w:gridCol w:w="792"/>
        <w:gridCol w:w="792"/>
        <w:gridCol w:w="789"/>
      </w:tblGrid>
      <w:tr w:rsidR="003F472D" w:rsidRPr="0092047B" w:rsidTr="003F472D">
        <w:trPr>
          <w:trHeight w:val="255"/>
        </w:trPr>
        <w:tc>
          <w:tcPr>
            <w:tcW w:w="1768" w:type="pct"/>
            <w:tcBorders>
              <w:top w:val="single" w:sz="4" w:space="0" w:color="auto"/>
              <w:left w:val="single" w:sz="4" w:space="0" w:color="auto"/>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Spotřeba energie v domácnostech</w:t>
            </w:r>
          </w:p>
        </w:tc>
        <w:tc>
          <w:tcPr>
            <w:tcW w:w="220" w:type="pct"/>
            <w:tcBorders>
              <w:top w:val="single" w:sz="4" w:space="0" w:color="auto"/>
              <w:left w:val="nil"/>
              <w:bottom w:val="single" w:sz="4" w:space="0" w:color="auto"/>
              <w:right w:val="single" w:sz="4" w:space="0" w:color="000000"/>
            </w:tcBorders>
            <w:shd w:val="clear" w:color="auto" w:fill="auto"/>
            <w:noWrap/>
            <w:vAlign w:val="bottom"/>
            <w:hideMark/>
          </w:tcPr>
          <w:p w:rsidR="003F472D" w:rsidRPr="0092047B" w:rsidRDefault="003F472D" w:rsidP="00184DC1">
            <w:pPr>
              <w:pStyle w:val="Bezmezer"/>
              <w:jc w:val="center"/>
              <w:rPr>
                <w:b/>
              </w:rPr>
            </w:pPr>
          </w:p>
        </w:tc>
        <w:tc>
          <w:tcPr>
            <w:tcW w:w="432" w:type="pct"/>
            <w:tcBorders>
              <w:top w:val="single" w:sz="4" w:space="0" w:color="auto"/>
              <w:left w:val="nil"/>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2010</w:t>
            </w:r>
          </w:p>
        </w:tc>
        <w:tc>
          <w:tcPr>
            <w:tcW w:w="432" w:type="pct"/>
            <w:tcBorders>
              <w:top w:val="single" w:sz="4" w:space="0" w:color="auto"/>
              <w:left w:val="nil"/>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2015</w:t>
            </w:r>
          </w:p>
        </w:tc>
        <w:tc>
          <w:tcPr>
            <w:tcW w:w="430" w:type="pct"/>
            <w:tcBorders>
              <w:top w:val="single" w:sz="4" w:space="0" w:color="auto"/>
              <w:left w:val="nil"/>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2020</w:t>
            </w:r>
          </w:p>
        </w:tc>
        <w:tc>
          <w:tcPr>
            <w:tcW w:w="430" w:type="pct"/>
            <w:tcBorders>
              <w:top w:val="single" w:sz="4" w:space="0" w:color="auto"/>
              <w:left w:val="nil"/>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2025</w:t>
            </w:r>
          </w:p>
        </w:tc>
        <w:tc>
          <w:tcPr>
            <w:tcW w:w="430" w:type="pct"/>
            <w:tcBorders>
              <w:top w:val="single" w:sz="4" w:space="0" w:color="auto"/>
              <w:left w:val="nil"/>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2030</w:t>
            </w:r>
          </w:p>
        </w:tc>
        <w:tc>
          <w:tcPr>
            <w:tcW w:w="430" w:type="pct"/>
            <w:tcBorders>
              <w:top w:val="single" w:sz="4" w:space="0" w:color="auto"/>
              <w:left w:val="nil"/>
              <w:bottom w:val="single" w:sz="4" w:space="0" w:color="auto"/>
              <w:right w:val="nil"/>
            </w:tcBorders>
            <w:shd w:val="clear" w:color="auto" w:fill="auto"/>
            <w:noWrap/>
            <w:vAlign w:val="bottom"/>
            <w:hideMark/>
          </w:tcPr>
          <w:p w:rsidR="003F472D" w:rsidRPr="0092047B" w:rsidRDefault="003F472D" w:rsidP="00184DC1">
            <w:pPr>
              <w:pStyle w:val="Bezmezer"/>
              <w:jc w:val="center"/>
              <w:rPr>
                <w:b/>
              </w:rPr>
            </w:pPr>
            <w:r w:rsidRPr="0092047B">
              <w:rPr>
                <w:b/>
              </w:rPr>
              <w:t>2035</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3F472D" w:rsidRPr="0092047B" w:rsidRDefault="003F472D" w:rsidP="00184DC1">
            <w:pPr>
              <w:pStyle w:val="Bezmezer"/>
              <w:jc w:val="center"/>
              <w:rPr>
                <w:b/>
              </w:rPr>
            </w:pPr>
            <w:r w:rsidRPr="0092047B">
              <w:rPr>
                <w:b/>
              </w:rPr>
              <w:t>2040</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Černé uhlí</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2,2</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w:t>
            </w:r>
          </w:p>
        </w:tc>
        <w:tc>
          <w:tcPr>
            <w:tcW w:w="428" w:type="pct"/>
            <w:tcBorders>
              <w:top w:val="single" w:sz="4" w:space="0" w:color="auto"/>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Hnědé uhlí</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21,1</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15,8</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9,2</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2,6</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1,8</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1,8</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1,8</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Brikety</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4,8</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3,9</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3,9</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Koks</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432" w:type="pct"/>
            <w:tcBorders>
              <w:top w:val="nil"/>
              <w:left w:val="nil"/>
              <w:bottom w:val="single" w:sz="4" w:space="0" w:color="A6A6A6" w:themeColor="background1" w:themeShade="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0,7</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Zemní plyn</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96,9</w:t>
            </w:r>
          </w:p>
        </w:tc>
        <w:tc>
          <w:tcPr>
            <w:tcW w:w="432" w:type="pct"/>
            <w:tcBorders>
              <w:top w:val="single" w:sz="4" w:space="0" w:color="A6A6A6" w:themeColor="background1" w:themeShade="A6"/>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88,0</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80,1</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75,4</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75,0</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74,4</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73,7</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Biomasa</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48,5</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53,3</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57,9</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62,4</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61,2</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60,4</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60,6</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Tepelná čerpadla</w:t>
            </w:r>
          </w:p>
        </w:tc>
        <w:tc>
          <w:tcPr>
            <w:tcW w:w="220" w:type="pct"/>
            <w:tcBorders>
              <w:top w:val="nil"/>
              <w:left w:val="nil"/>
              <w:bottom w:val="nil"/>
              <w:right w:val="single" w:sz="4" w:space="0" w:color="auto"/>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1,2</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2,6</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4,6</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6,2</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7,8</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9,4</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11,0</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Kolektory</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0,3</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0,6</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1,1</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2,4</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2,8</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4,0</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4,0</w:t>
            </w:r>
          </w:p>
        </w:tc>
      </w:tr>
      <w:tr w:rsidR="001158F6"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1158F6" w:rsidRPr="0092047B" w:rsidRDefault="001158F6" w:rsidP="00184DC1">
            <w:pPr>
              <w:pStyle w:val="Bezmezer"/>
            </w:pPr>
            <w:r w:rsidRPr="0092047B">
              <w:t>Elektřina</w:t>
            </w:r>
          </w:p>
        </w:tc>
        <w:tc>
          <w:tcPr>
            <w:tcW w:w="220" w:type="pct"/>
            <w:tcBorders>
              <w:top w:val="nil"/>
              <w:left w:val="nil"/>
              <w:bottom w:val="nil"/>
              <w:right w:val="single" w:sz="4" w:space="0" w:color="000000"/>
            </w:tcBorders>
            <w:shd w:val="clear" w:color="auto" w:fill="auto"/>
            <w:noWrap/>
            <w:vAlign w:val="bottom"/>
            <w:hideMark/>
          </w:tcPr>
          <w:p w:rsidR="001158F6" w:rsidRPr="0092047B" w:rsidRDefault="001158F6" w:rsidP="00184DC1">
            <w:pPr>
              <w:pStyle w:val="Bezmezer"/>
            </w:pPr>
            <w:r w:rsidRPr="0092047B">
              <w:t>PJ</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54,1</w:t>
            </w:r>
          </w:p>
        </w:tc>
        <w:tc>
          <w:tcPr>
            <w:tcW w:w="432"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51,5</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51,4</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52,4</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52,8</w:t>
            </w:r>
          </w:p>
        </w:tc>
        <w:tc>
          <w:tcPr>
            <w:tcW w:w="430" w:type="pct"/>
            <w:tcBorders>
              <w:top w:val="nil"/>
              <w:left w:val="nil"/>
              <w:bottom w:val="single" w:sz="4" w:space="0" w:color="A6A6A6"/>
              <w:right w:val="nil"/>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52,1</w:t>
            </w:r>
          </w:p>
        </w:tc>
        <w:tc>
          <w:tcPr>
            <w:tcW w:w="428" w:type="pct"/>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51,9</w:t>
            </w:r>
          </w:p>
        </w:tc>
      </w:tr>
      <w:tr w:rsidR="00CA182D" w:rsidRPr="0092047B" w:rsidTr="003F472D">
        <w:trPr>
          <w:trHeight w:val="255"/>
        </w:trPr>
        <w:tc>
          <w:tcPr>
            <w:tcW w:w="1768" w:type="pct"/>
            <w:tcBorders>
              <w:top w:val="nil"/>
              <w:left w:val="single" w:sz="4" w:space="0" w:color="auto"/>
              <w:bottom w:val="nil"/>
              <w:right w:val="nil"/>
            </w:tcBorders>
            <w:shd w:val="clear" w:color="auto" w:fill="auto"/>
            <w:noWrap/>
            <w:vAlign w:val="bottom"/>
            <w:hideMark/>
          </w:tcPr>
          <w:p w:rsidR="00CA182D" w:rsidRPr="0092047B" w:rsidRDefault="00CA182D" w:rsidP="00184DC1">
            <w:pPr>
              <w:pStyle w:val="Bezmezer"/>
            </w:pPr>
            <w:r w:rsidRPr="0092047B">
              <w:t>SZT</w:t>
            </w:r>
          </w:p>
        </w:tc>
        <w:tc>
          <w:tcPr>
            <w:tcW w:w="220" w:type="pct"/>
            <w:tcBorders>
              <w:top w:val="nil"/>
              <w:left w:val="nil"/>
              <w:bottom w:val="nil"/>
              <w:right w:val="single" w:sz="4" w:space="0" w:color="000000"/>
            </w:tcBorders>
            <w:shd w:val="clear" w:color="auto" w:fill="auto"/>
            <w:noWrap/>
            <w:vAlign w:val="bottom"/>
            <w:hideMark/>
          </w:tcPr>
          <w:p w:rsidR="00CA182D" w:rsidRPr="0092047B" w:rsidRDefault="00CA182D" w:rsidP="00184DC1">
            <w:pPr>
              <w:pStyle w:val="Bezmezer"/>
            </w:pPr>
            <w:r w:rsidRPr="0092047B">
              <w:t>PJ</w:t>
            </w:r>
          </w:p>
        </w:tc>
        <w:tc>
          <w:tcPr>
            <w:tcW w:w="432" w:type="pct"/>
            <w:tcBorders>
              <w:top w:val="nil"/>
              <w:left w:val="nil"/>
              <w:bottom w:val="double" w:sz="4" w:space="0" w:color="A6A6A6" w:themeColor="background1" w:themeShade="A6"/>
              <w:right w:val="nil"/>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50,1</w:t>
            </w:r>
          </w:p>
        </w:tc>
        <w:tc>
          <w:tcPr>
            <w:tcW w:w="432" w:type="pct"/>
            <w:tcBorders>
              <w:top w:val="nil"/>
              <w:left w:val="nil"/>
              <w:bottom w:val="double" w:sz="4" w:space="0" w:color="A6A6A6" w:themeColor="background1" w:themeShade="A6"/>
              <w:right w:val="nil"/>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49,2</w:t>
            </w:r>
          </w:p>
        </w:tc>
        <w:tc>
          <w:tcPr>
            <w:tcW w:w="430" w:type="pct"/>
            <w:tcBorders>
              <w:top w:val="nil"/>
              <w:left w:val="nil"/>
              <w:bottom w:val="double" w:sz="4" w:space="0" w:color="A6A6A6" w:themeColor="background1" w:themeShade="A6"/>
              <w:right w:val="nil"/>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47,3</w:t>
            </w:r>
          </w:p>
        </w:tc>
        <w:tc>
          <w:tcPr>
            <w:tcW w:w="430" w:type="pct"/>
            <w:tcBorders>
              <w:top w:val="nil"/>
              <w:left w:val="nil"/>
              <w:bottom w:val="double" w:sz="4" w:space="0" w:color="A6A6A6" w:themeColor="background1" w:themeShade="A6"/>
              <w:right w:val="nil"/>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44,7</w:t>
            </w:r>
          </w:p>
        </w:tc>
        <w:tc>
          <w:tcPr>
            <w:tcW w:w="430" w:type="pct"/>
            <w:tcBorders>
              <w:top w:val="nil"/>
              <w:left w:val="nil"/>
              <w:bottom w:val="double" w:sz="4" w:space="0" w:color="A6A6A6" w:themeColor="background1" w:themeShade="A6"/>
              <w:right w:val="nil"/>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42,0</w:t>
            </w:r>
          </w:p>
        </w:tc>
        <w:tc>
          <w:tcPr>
            <w:tcW w:w="430" w:type="pct"/>
            <w:tcBorders>
              <w:top w:val="nil"/>
              <w:left w:val="nil"/>
              <w:bottom w:val="double" w:sz="4" w:space="0" w:color="A6A6A6" w:themeColor="background1" w:themeShade="A6"/>
              <w:right w:val="nil"/>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41,1</w:t>
            </w:r>
          </w:p>
        </w:tc>
        <w:tc>
          <w:tcPr>
            <w:tcW w:w="428" w:type="pct"/>
            <w:tcBorders>
              <w:top w:val="nil"/>
              <w:left w:val="nil"/>
              <w:bottom w:val="double" w:sz="4" w:space="0" w:color="A6A6A6" w:themeColor="background1" w:themeShade="A6"/>
              <w:right w:val="single" w:sz="4" w:space="0" w:color="auto"/>
            </w:tcBorders>
            <w:shd w:val="clear" w:color="auto" w:fill="auto"/>
            <w:noWrap/>
            <w:vAlign w:val="bottom"/>
            <w:hideMark/>
          </w:tcPr>
          <w:p w:rsidR="00CA182D" w:rsidRDefault="00CA182D" w:rsidP="00184DC1">
            <w:pPr>
              <w:spacing w:after="0"/>
              <w:jc w:val="right"/>
              <w:rPr>
                <w:rFonts w:ascii="Arial" w:hAnsi="Arial" w:cs="Arial"/>
                <w:color w:val="000000"/>
                <w:sz w:val="20"/>
                <w:szCs w:val="20"/>
              </w:rPr>
            </w:pPr>
            <w:r>
              <w:rPr>
                <w:rFonts w:ascii="Arial" w:hAnsi="Arial" w:cs="Arial"/>
                <w:color w:val="000000"/>
                <w:sz w:val="20"/>
                <w:szCs w:val="20"/>
              </w:rPr>
              <w:t>40,1</w:t>
            </w:r>
          </w:p>
        </w:tc>
      </w:tr>
      <w:tr w:rsidR="00CA182D" w:rsidRPr="0092047B" w:rsidTr="003F472D">
        <w:trPr>
          <w:trHeight w:val="255"/>
        </w:trPr>
        <w:tc>
          <w:tcPr>
            <w:tcW w:w="1768" w:type="pct"/>
            <w:tcBorders>
              <w:top w:val="nil"/>
              <w:left w:val="single" w:sz="4" w:space="0" w:color="auto"/>
              <w:bottom w:val="single" w:sz="4" w:space="0" w:color="auto"/>
              <w:right w:val="nil"/>
            </w:tcBorders>
            <w:shd w:val="clear" w:color="auto" w:fill="auto"/>
            <w:noWrap/>
            <w:vAlign w:val="bottom"/>
            <w:hideMark/>
          </w:tcPr>
          <w:p w:rsidR="00CA182D" w:rsidRPr="0092047B" w:rsidRDefault="00CA182D" w:rsidP="00184DC1">
            <w:pPr>
              <w:pStyle w:val="Bezmezer"/>
              <w:rPr>
                <w:b/>
              </w:rPr>
            </w:pPr>
            <w:r>
              <w:rPr>
                <w:b/>
              </w:rPr>
              <w:t>Celkem</w:t>
            </w:r>
          </w:p>
        </w:tc>
        <w:tc>
          <w:tcPr>
            <w:tcW w:w="220" w:type="pct"/>
            <w:tcBorders>
              <w:top w:val="nil"/>
              <w:left w:val="nil"/>
              <w:bottom w:val="single" w:sz="4" w:space="0" w:color="auto"/>
              <w:right w:val="single" w:sz="4" w:space="0" w:color="000000"/>
            </w:tcBorders>
            <w:shd w:val="clear" w:color="auto" w:fill="auto"/>
            <w:noWrap/>
            <w:vAlign w:val="bottom"/>
            <w:hideMark/>
          </w:tcPr>
          <w:p w:rsidR="00CA182D" w:rsidRPr="0092047B" w:rsidRDefault="00CA182D" w:rsidP="00184DC1">
            <w:pPr>
              <w:pStyle w:val="Bezmezer"/>
              <w:rPr>
                <w:b/>
              </w:rPr>
            </w:pPr>
            <w:r w:rsidRPr="0092047B">
              <w:rPr>
                <w:b/>
              </w:rPr>
              <w:t>PJ</w:t>
            </w:r>
          </w:p>
        </w:tc>
        <w:tc>
          <w:tcPr>
            <w:tcW w:w="432" w:type="pct"/>
            <w:tcBorders>
              <w:top w:val="double" w:sz="4" w:space="0" w:color="A6A6A6" w:themeColor="background1" w:themeShade="A6"/>
              <w:left w:val="nil"/>
              <w:bottom w:val="single" w:sz="4" w:space="0" w:color="auto"/>
              <w:right w:val="nil"/>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279,9</w:t>
            </w:r>
          </w:p>
        </w:tc>
        <w:tc>
          <w:tcPr>
            <w:tcW w:w="432" w:type="pct"/>
            <w:tcBorders>
              <w:top w:val="double" w:sz="4" w:space="0" w:color="A6A6A6" w:themeColor="background1" w:themeShade="A6"/>
              <w:left w:val="nil"/>
              <w:bottom w:val="single" w:sz="4" w:space="0" w:color="auto"/>
              <w:right w:val="nil"/>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268,5</w:t>
            </w:r>
          </w:p>
        </w:tc>
        <w:tc>
          <w:tcPr>
            <w:tcW w:w="430" w:type="pct"/>
            <w:tcBorders>
              <w:top w:val="double" w:sz="4" w:space="0" w:color="A6A6A6" w:themeColor="background1" w:themeShade="A6"/>
              <w:left w:val="nil"/>
              <w:bottom w:val="single" w:sz="4" w:space="0" w:color="auto"/>
              <w:right w:val="nil"/>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260,0</w:t>
            </w:r>
          </w:p>
        </w:tc>
        <w:tc>
          <w:tcPr>
            <w:tcW w:w="430" w:type="pct"/>
            <w:tcBorders>
              <w:top w:val="double" w:sz="4" w:space="0" w:color="A6A6A6" w:themeColor="background1" w:themeShade="A6"/>
              <w:left w:val="nil"/>
              <w:bottom w:val="single" w:sz="4" w:space="0" w:color="auto"/>
              <w:right w:val="nil"/>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254,7</w:t>
            </w:r>
          </w:p>
        </w:tc>
        <w:tc>
          <w:tcPr>
            <w:tcW w:w="430" w:type="pct"/>
            <w:tcBorders>
              <w:top w:val="double" w:sz="4" w:space="0" w:color="A6A6A6" w:themeColor="background1" w:themeShade="A6"/>
              <w:left w:val="nil"/>
              <w:bottom w:val="single" w:sz="4" w:space="0" w:color="auto"/>
              <w:right w:val="nil"/>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250,7</w:t>
            </w:r>
          </w:p>
        </w:tc>
        <w:tc>
          <w:tcPr>
            <w:tcW w:w="430" w:type="pct"/>
            <w:tcBorders>
              <w:top w:val="double" w:sz="4" w:space="0" w:color="A6A6A6" w:themeColor="background1" w:themeShade="A6"/>
              <w:left w:val="nil"/>
              <w:bottom w:val="single" w:sz="4" w:space="0" w:color="auto"/>
              <w:right w:val="nil"/>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250,6</w:t>
            </w:r>
          </w:p>
        </w:tc>
        <w:tc>
          <w:tcPr>
            <w:tcW w:w="428" w:type="pct"/>
            <w:tcBorders>
              <w:top w:val="double" w:sz="4" w:space="0" w:color="A6A6A6" w:themeColor="background1" w:themeShade="A6"/>
              <w:left w:val="nil"/>
              <w:bottom w:val="single" w:sz="4" w:space="0" w:color="auto"/>
              <w:right w:val="single" w:sz="4" w:space="0" w:color="auto"/>
            </w:tcBorders>
            <w:shd w:val="clear" w:color="auto" w:fill="auto"/>
            <w:noWrap/>
            <w:vAlign w:val="bottom"/>
            <w:hideMark/>
          </w:tcPr>
          <w:p w:rsidR="00CA182D" w:rsidRDefault="00CA182D" w:rsidP="00184DC1">
            <w:pPr>
              <w:spacing w:after="0"/>
              <w:jc w:val="right"/>
              <w:rPr>
                <w:rFonts w:ascii="Arial" w:hAnsi="Arial" w:cs="Arial"/>
                <w:b/>
                <w:bCs/>
                <w:color w:val="000000"/>
                <w:sz w:val="20"/>
                <w:szCs w:val="20"/>
              </w:rPr>
            </w:pPr>
            <w:r>
              <w:rPr>
                <w:rFonts w:ascii="Arial" w:hAnsi="Arial" w:cs="Arial"/>
                <w:b/>
                <w:bCs/>
                <w:color w:val="000000"/>
                <w:sz w:val="20"/>
                <w:szCs w:val="20"/>
              </w:rPr>
              <w:t>250,6</w:t>
            </w:r>
          </w:p>
        </w:tc>
      </w:tr>
    </w:tbl>
    <w:p w:rsidR="00235C7B" w:rsidRDefault="00235C7B" w:rsidP="00184DC1">
      <w:pPr>
        <w:pStyle w:val="Titulek"/>
        <w:keepNext/>
        <w:spacing w:before="240" w:after="120"/>
      </w:pPr>
      <w:bookmarkStart w:id="872" w:name="_Ref395078172"/>
      <w:bookmarkStart w:id="873" w:name="_Toc396923121"/>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5</w:t>
      </w:r>
      <w:r w:rsidRPr="00235C7B">
        <w:rPr>
          <w:b/>
        </w:rPr>
        <w:fldChar w:fldCharType="end"/>
      </w:r>
      <w:bookmarkEnd w:id="872"/>
      <w:r w:rsidRPr="00235C7B">
        <w:rPr>
          <w:b/>
        </w:rPr>
        <w:t xml:space="preserve">: </w:t>
      </w:r>
      <w:r w:rsidRPr="0092047B">
        <w:t>Vývoj a struktura konečné spotřeby energie v domácnostech</w:t>
      </w:r>
      <w:bookmarkEnd w:id="873"/>
    </w:p>
    <w:p w:rsidR="00270C7B" w:rsidRPr="0092047B" w:rsidRDefault="003F472D" w:rsidP="00EF045E">
      <w:pPr>
        <w:pStyle w:val="Titulek"/>
      </w:pPr>
      <w:r w:rsidRPr="0092047B">
        <w:rPr>
          <w:noProof/>
        </w:rPr>
        <w:drawing>
          <wp:inline distT="0" distB="0" distL="0" distR="0" wp14:anchorId="4313376C" wp14:editId="5341F8E9">
            <wp:extent cx="5760000" cy="3780000"/>
            <wp:effectExtent l="0" t="0" r="12700" b="1143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472D" w:rsidRPr="0092047B" w:rsidRDefault="003F472D" w:rsidP="00EF045E">
      <w:pPr>
        <w:keepLines/>
        <w:spacing w:after="120"/>
        <w:rPr>
          <w:rFonts w:cstheme="minorHAnsi"/>
        </w:rPr>
      </w:pPr>
      <w:r w:rsidRPr="0092047B">
        <w:rPr>
          <w:rFonts w:cstheme="minorHAnsi"/>
        </w:rPr>
        <w:t>Celková spotřeba elektřiny na úrovni domácností bude v celém horizontu SEK mírně klesat. Bude docházet k záměně čistě elektrického vytápění a přípravy TUV za tepelná čerpadla. Projeví se vliv dalšího zateplování</w:t>
      </w:r>
      <w:r w:rsidR="00262E2B">
        <w:rPr>
          <w:rFonts w:cstheme="minorHAnsi"/>
        </w:rPr>
        <w:t>, které se velkou měrou projeví zejména také ve spotřebě zemního plynu</w:t>
      </w:r>
      <w:r w:rsidRPr="0092047B">
        <w:rPr>
          <w:rFonts w:cstheme="minorHAnsi"/>
        </w:rPr>
        <w:t>. Největší podíl ze spotřeby elektřiny zaujímají „velké spotřebiče“. Zde bude docházet k dalšímu zvyšování jejich počtu na jednu domácnost až do úrovně saturace. Současně bude docházet ke snižování jejich měrné spotřeby. Bude klesat spotřeba elektřiny na svícení. Poroste spotřeba v dosud méně často využívaných zařízeních (vzduchotechnika, klimatizace apod.). Především v důsledku zvyšování účinnosti spotřebičů bude klesat měrná spotřeba energie na jednu domácnost.</w:t>
      </w:r>
    </w:p>
    <w:p w:rsidR="00F40DEC" w:rsidRDefault="003F472D" w:rsidP="00184DC1">
      <w:pPr>
        <w:rPr>
          <w:rFonts w:cstheme="minorHAnsi"/>
        </w:rPr>
      </w:pPr>
      <w:r w:rsidRPr="0092047B">
        <w:rPr>
          <w:rFonts w:cstheme="minorHAnsi"/>
        </w:rPr>
        <w:t xml:space="preserve">Optimalizovaný scénář nepředpokládá dramatický rozpad SZT. Nadále však bude pokračovat trend odpojování bytů </w:t>
      </w:r>
      <w:r w:rsidR="00240F77">
        <w:rPr>
          <w:rFonts w:cstheme="minorHAnsi"/>
        </w:rPr>
        <w:t xml:space="preserve">v soustavách, kde nebude dodávka tepla zajištěna za konkurenceschopných podmínek pro zákazníky, a pozvolný </w:t>
      </w:r>
      <w:r w:rsidRPr="0092047B">
        <w:rPr>
          <w:rFonts w:cstheme="minorHAnsi"/>
        </w:rPr>
        <w:t>přechod k využívání menších decentralizovaných zdrojů (blokové a domovní kotelny na zemní plyn a TČ).</w:t>
      </w:r>
    </w:p>
    <w:p w:rsidR="00F40DEC" w:rsidRDefault="00F40DEC" w:rsidP="00184DC1">
      <w:pPr>
        <w:spacing w:after="0"/>
        <w:jc w:val="left"/>
        <w:rPr>
          <w:rFonts w:cstheme="minorHAnsi"/>
        </w:rPr>
      </w:pPr>
      <w:r>
        <w:rPr>
          <w:rFonts w:cstheme="minorHAnsi"/>
        </w:rPr>
        <w:br w:type="page"/>
      </w:r>
    </w:p>
    <w:p w:rsidR="003F472D" w:rsidRPr="0092047B" w:rsidRDefault="003F472D" w:rsidP="00184DC1">
      <w:pPr>
        <w:pStyle w:val="Nadpis3"/>
      </w:pPr>
      <w:bookmarkStart w:id="874" w:name="_Toc367279706"/>
      <w:bookmarkStart w:id="875" w:name="_Toc367280255"/>
      <w:bookmarkStart w:id="876" w:name="_Toc370121892"/>
      <w:bookmarkStart w:id="877" w:name="_Toc387757706"/>
      <w:bookmarkStart w:id="878" w:name="_Toc396923416"/>
      <w:r w:rsidRPr="0092047B">
        <w:t>Vývoj a struktura konečné spotřeby energie v dopravě</w:t>
      </w:r>
      <w:bookmarkEnd w:id="874"/>
      <w:bookmarkEnd w:id="875"/>
      <w:bookmarkEnd w:id="876"/>
      <w:bookmarkEnd w:id="877"/>
      <w:bookmarkEnd w:id="878"/>
    </w:p>
    <w:p w:rsidR="003F472D" w:rsidRPr="0092047B" w:rsidRDefault="003F472D" w:rsidP="00184DC1">
      <w:pPr>
        <w:pStyle w:val="Titulek"/>
        <w:keepNext/>
        <w:spacing w:before="240" w:after="120"/>
      </w:pPr>
      <w:bookmarkStart w:id="879" w:name="_Toc387757566"/>
      <w:bookmarkStart w:id="880" w:name="_Toc396923162"/>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3</w:t>
      </w:r>
      <w:r w:rsidRPr="0092047B">
        <w:rPr>
          <w:b/>
        </w:rPr>
        <w:fldChar w:fldCharType="end"/>
      </w:r>
      <w:r w:rsidRPr="0092047B">
        <w:rPr>
          <w:b/>
        </w:rPr>
        <w:t>:</w:t>
      </w:r>
      <w:r w:rsidRPr="0092047B">
        <w:t xml:space="preserve"> Vývoj a struktura konečné spotřeby energie v dopravě</w:t>
      </w:r>
      <w:bookmarkEnd w:id="879"/>
      <w:bookmarkEnd w:id="880"/>
    </w:p>
    <w:tbl>
      <w:tblPr>
        <w:tblW w:w="5000" w:type="pct"/>
        <w:tblCellMar>
          <w:left w:w="70" w:type="dxa"/>
          <w:right w:w="70" w:type="dxa"/>
        </w:tblCellMar>
        <w:tblLook w:val="04A0" w:firstRow="1" w:lastRow="0" w:firstColumn="1" w:lastColumn="0" w:noHBand="0" w:noVBand="1"/>
      </w:tblPr>
      <w:tblGrid>
        <w:gridCol w:w="2669"/>
        <w:gridCol w:w="330"/>
        <w:gridCol w:w="888"/>
        <w:gridCol w:w="888"/>
        <w:gridCol w:w="888"/>
        <w:gridCol w:w="888"/>
        <w:gridCol w:w="888"/>
        <w:gridCol w:w="890"/>
        <w:gridCol w:w="883"/>
      </w:tblGrid>
      <w:tr w:rsidR="003F472D" w:rsidRPr="0092047B" w:rsidTr="001158F6">
        <w:trPr>
          <w:trHeight w:val="315"/>
        </w:trPr>
        <w:tc>
          <w:tcPr>
            <w:tcW w:w="1449" w:type="pct"/>
            <w:tcBorders>
              <w:top w:val="single" w:sz="4" w:space="0" w:color="000000"/>
              <w:left w:val="single" w:sz="4" w:space="0" w:color="000000"/>
              <w:bottom w:val="single" w:sz="4" w:space="0" w:color="auto"/>
              <w:right w:val="single" w:sz="4" w:space="0" w:color="FFFFFF"/>
            </w:tcBorders>
            <w:shd w:val="clear" w:color="auto" w:fill="auto"/>
            <w:noWrap/>
            <w:vAlign w:val="bottom"/>
            <w:hideMark/>
          </w:tcPr>
          <w:p w:rsidR="003F472D" w:rsidRPr="0092047B" w:rsidRDefault="00E2547A" w:rsidP="00184DC1">
            <w:pPr>
              <w:pStyle w:val="Bezmezer"/>
              <w:jc w:val="center"/>
              <w:rPr>
                <w:b/>
              </w:rPr>
            </w:pPr>
            <w:r>
              <w:rPr>
                <w:b/>
              </w:rPr>
              <w:t>Spotřeba energie v dopravě</w:t>
            </w:r>
          </w:p>
        </w:tc>
        <w:tc>
          <w:tcPr>
            <w:tcW w:w="179" w:type="pct"/>
            <w:tcBorders>
              <w:top w:val="single" w:sz="4" w:space="0" w:color="000000"/>
              <w:left w:val="nil"/>
              <w:bottom w:val="nil"/>
              <w:right w:val="single" w:sz="4" w:space="0" w:color="auto"/>
            </w:tcBorders>
            <w:shd w:val="clear" w:color="auto" w:fill="auto"/>
            <w:noWrap/>
            <w:vAlign w:val="bottom"/>
            <w:hideMark/>
          </w:tcPr>
          <w:p w:rsidR="003F472D" w:rsidRPr="0092047B" w:rsidRDefault="003F472D" w:rsidP="00184DC1">
            <w:pPr>
              <w:pStyle w:val="Bezmezer"/>
              <w:jc w:val="center"/>
              <w:rPr>
                <w:b/>
              </w:rPr>
            </w:pPr>
          </w:p>
        </w:tc>
        <w:tc>
          <w:tcPr>
            <w:tcW w:w="482" w:type="pct"/>
            <w:tcBorders>
              <w:top w:val="single" w:sz="4" w:space="0" w:color="000000"/>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b/>
              </w:rPr>
            </w:pPr>
            <w:r w:rsidRPr="0092047B">
              <w:rPr>
                <w:b/>
              </w:rPr>
              <w:t>2010</w:t>
            </w:r>
          </w:p>
        </w:tc>
        <w:tc>
          <w:tcPr>
            <w:tcW w:w="482" w:type="pct"/>
            <w:tcBorders>
              <w:top w:val="single" w:sz="4" w:space="0" w:color="000000"/>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b/>
              </w:rPr>
            </w:pPr>
            <w:r w:rsidRPr="0092047B">
              <w:rPr>
                <w:b/>
              </w:rPr>
              <w:t>2015</w:t>
            </w:r>
          </w:p>
        </w:tc>
        <w:tc>
          <w:tcPr>
            <w:tcW w:w="482" w:type="pct"/>
            <w:tcBorders>
              <w:top w:val="single" w:sz="4" w:space="0" w:color="000000"/>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b/>
              </w:rPr>
            </w:pPr>
            <w:r w:rsidRPr="0092047B">
              <w:rPr>
                <w:b/>
              </w:rPr>
              <w:t>2020</w:t>
            </w:r>
          </w:p>
        </w:tc>
        <w:tc>
          <w:tcPr>
            <w:tcW w:w="482" w:type="pct"/>
            <w:tcBorders>
              <w:top w:val="single" w:sz="4" w:space="0" w:color="000000"/>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b/>
              </w:rPr>
            </w:pPr>
            <w:r w:rsidRPr="0092047B">
              <w:rPr>
                <w:b/>
              </w:rPr>
              <w:t>2025</w:t>
            </w:r>
          </w:p>
        </w:tc>
        <w:tc>
          <w:tcPr>
            <w:tcW w:w="482" w:type="pct"/>
            <w:tcBorders>
              <w:top w:val="single" w:sz="4" w:space="0" w:color="000000"/>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b/>
              </w:rPr>
            </w:pPr>
            <w:r w:rsidRPr="0092047B">
              <w:rPr>
                <w:b/>
              </w:rPr>
              <w:t>2030</w:t>
            </w:r>
          </w:p>
        </w:tc>
        <w:tc>
          <w:tcPr>
            <w:tcW w:w="483" w:type="pct"/>
            <w:tcBorders>
              <w:top w:val="single" w:sz="4" w:space="0" w:color="000000"/>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b/>
              </w:rPr>
            </w:pPr>
            <w:r w:rsidRPr="0092047B">
              <w:rPr>
                <w:b/>
              </w:rPr>
              <w:t>2035</w:t>
            </w:r>
          </w:p>
        </w:tc>
        <w:tc>
          <w:tcPr>
            <w:tcW w:w="480" w:type="pct"/>
            <w:tcBorders>
              <w:top w:val="single" w:sz="4" w:space="0" w:color="000000"/>
              <w:left w:val="nil"/>
              <w:bottom w:val="single" w:sz="4" w:space="0" w:color="auto"/>
              <w:right w:val="single" w:sz="4" w:space="0" w:color="000000"/>
            </w:tcBorders>
            <w:shd w:val="clear" w:color="auto" w:fill="auto"/>
            <w:noWrap/>
            <w:vAlign w:val="bottom"/>
            <w:hideMark/>
          </w:tcPr>
          <w:p w:rsidR="003F472D" w:rsidRPr="0092047B" w:rsidRDefault="003F472D" w:rsidP="00184DC1">
            <w:pPr>
              <w:pStyle w:val="Bezmezer"/>
              <w:jc w:val="center"/>
              <w:rPr>
                <w:b/>
              </w:rPr>
            </w:pPr>
            <w:r w:rsidRPr="0092047B">
              <w:rPr>
                <w:b/>
              </w:rPr>
              <w:t>2040</w:t>
            </w:r>
          </w:p>
        </w:tc>
      </w:tr>
      <w:tr w:rsidR="001158F6" w:rsidRPr="0092047B" w:rsidTr="001158F6">
        <w:trPr>
          <w:trHeight w:val="255"/>
        </w:trPr>
        <w:tc>
          <w:tcPr>
            <w:tcW w:w="1449" w:type="pct"/>
            <w:tcBorders>
              <w:top w:val="nil"/>
              <w:left w:val="single" w:sz="4" w:space="0" w:color="000000"/>
              <w:bottom w:val="single" w:sz="4" w:space="0" w:color="FFFFFF"/>
              <w:right w:val="single" w:sz="4" w:space="0" w:color="FFFFFF"/>
            </w:tcBorders>
            <w:shd w:val="clear" w:color="auto" w:fill="auto"/>
            <w:noWrap/>
            <w:vAlign w:val="bottom"/>
            <w:hideMark/>
          </w:tcPr>
          <w:p w:rsidR="001158F6" w:rsidRPr="0092047B" w:rsidRDefault="001158F6" w:rsidP="00184DC1">
            <w:pPr>
              <w:pStyle w:val="Bezmezer"/>
            </w:pPr>
            <w:r w:rsidRPr="0092047B">
              <w:t>Zemní plyn</w:t>
            </w:r>
          </w:p>
        </w:tc>
        <w:tc>
          <w:tcPr>
            <w:tcW w:w="179" w:type="pct"/>
            <w:tcBorders>
              <w:top w:val="single" w:sz="4" w:space="0" w:color="auto"/>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pPr>
            <w:r w:rsidRPr="0092047B">
              <w:t>PJ</w:t>
            </w:r>
          </w:p>
        </w:tc>
        <w:tc>
          <w:tcPr>
            <w:tcW w:w="482"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3,1</w:t>
            </w:r>
          </w:p>
        </w:tc>
        <w:tc>
          <w:tcPr>
            <w:tcW w:w="482"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15,3</w:t>
            </w:r>
          </w:p>
        </w:tc>
        <w:tc>
          <w:tcPr>
            <w:tcW w:w="482"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26,8</w:t>
            </w:r>
          </w:p>
        </w:tc>
        <w:tc>
          <w:tcPr>
            <w:tcW w:w="482" w:type="pct"/>
            <w:tcBorders>
              <w:top w:val="nil"/>
              <w:left w:val="nil"/>
              <w:bottom w:val="single" w:sz="4" w:space="0" w:color="A6A6A6" w:themeColor="background1" w:themeShade="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35,1</w:t>
            </w:r>
          </w:p>
        </w:tc>
        <w:tc>
          <w:tcPr>
            <w:tcW w:w="482"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44,1</w:t>
            </w:r>
          </w:p>
        </w:tc>
        <w:tc>
          <w:tcPr>
            <w:tcW w:w="483"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48,1</w:t>
            </w:r>
          </w:p>
        </w:tc>
        <w:tc>
          <w:tcPr>
            <w:tcW w:w="480" w:type="pct"/>
            <w:tcBorders>
              <w:top w:val="nil"/>
              <w:left w:val="nil"/>
              <w:bottom w:val="single" w:sz="4" w:space="0" w:color="A6A6A6"/>
              <w:right w:val="single" w:sz="4" w:space="0" w:color="000000"/>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51,1</w:t>
            </w:r>
          </w:p>
        </w:tc>
      </w:tr>
      <w:tr w:rsidR="001158F6" w:rsidRPr="0092047B" w:rsidTr="001158F6">
        <w:trPr>
          <w:trHeight w:val="255"/>
        </w:trPr>
        <w:tc>
          <w:tcPr>
            <w:tcW w:w="1449" w:type="pct"/>
            <w:tcBorders>
              <w:top w:val="nil"/>
              <w:left w:val="single" w:sz="4" w:space="0" w:color="000000"/>
              <w:bottom w:val="single" w:sz="4" w:space="0" w:color="FFFFFF"/>
              <w:right w:val="single" w:sz="4" w:space="0" w:color="FFFFFF"/>
            </w:tcBorders>
            <w:shd w:val="clear" w:color="auto" w:fill="auto"/>
            <w:noWrap/>
            <w:vAlign w:val="bottom"/>
            <w:hideMark/>
          </w:tcPr>
          <w:p w:rsidR="001158F6" w:rsidRPr="0092047B" w:rsidRDefault="001158F6" w:rsidP="00184DC1">
            <w:pPr>
              <w:pStyle w:val="Bezmezer"/>
            </w:pPr>
            <w:r w:rsidRPr="0092047B">
              <w:t>Ropné produkty</w:t>
            </w:r>
          </w:p>
        </w:tc>
        <w:tc>
          <w:tcPr>
            <w:tcW w:w="179" w:type="pct"/>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pPr>
            <w:r w:rsidRPr="0092047B">
              <w:t>PJ</w:t>
            </w:r>
          </w:p>
        </w:tc>
        <w:tc>
          <w:tcPr>
            <w:tcW w:w="482"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225,6</w:t>
            </w:r>
          </w:p>
        </w:tc>
        <w:tc>
          <w:tcPr>
            <w:tcW w:w="482" w:type="pct"/>
            <w:tcBorders>
              <w:top w:val="nil"/>
              <w:left w:val="nil"/>
              <w:bottom w:val="single" w:sz="4" w:space="0" w:color="A6A6A6" w:themeColor="background1" w:themeShade="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212,0</w:t>
            </w:r>
          </w:p>
        </w:tc>
        <w:tc>
          <w:tcPr>
            <w:tcW w:w="482" w:type="pct"/>
            <w:tcBorders>
              <w:top w:val="nil"/>
              <w:left w:val="nil"/>
              <w:bottom w:val="single" w:sz="4" w:space="0" w:color="A6A6A6" w:themeColor="background1" w:themeShade="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202,2</w:t>
            </w:r>
          </w:p>
        </w:tc>
        <w:tc>
          <w:tcPr>
            <w:tcW w:w="482" w:type="pct"/>
            <w:tcBorders>
              <w:top w:val="single" w:sz="4" w:space="0" w:color="A6A6A6" w:themeColor="background1" w:themeShade="A6"/>
              <w:left w:val="nil"/>
              <w:bottom w:val="single" w:sz="4" w:space="0" w:color="A6A6A6" w:themeColor="background1" w:themeShade="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195,9</w:t>
            </w:r>
          </w:p>
        </w:tc>
        <w:tc>
          <w:tcPr>
            <w:tcW w:w="482" w:type="pct"/>
            <w:tcBorders>
              <w:top w:val="nil"/>
              <w:left w:val="nil"/>
              <w:bottom w:val="single" w:sz="4" w:space="0" w:color="A6A6A6" w:themeColor="background1" w:themeShade="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180,0</w:t>
            </w:r>
          </w:p>
        </w:tc>
        <w:tc>
          <w:tcPr>
            <w:tcW w:w="483" w:type="pct"/>
            <w:tcBorders>
              <w:top w:val="nil"/>
              <w:left w:val="nil"/>
              <w:bottom w:val="single" w:sz="4" w:space="0" w:color="A6A6A6" w:themeColor="background1" w:themeShade="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164,4</w:t>
            </w:r>
          </w:p>
        </w:tc>
        <w:tc>
          <w:tcPr>
            <w:tcW w:w="480" w:type="pct"/>
            <w:tcBorders>
              <w:top w:val="nil"/>
              <w:left w:val="nil"/>
              <w:bottom w:val="single" w:sz="4" w:space="0" w:color="A6A6A6"/>
              <w:right w:val="single" w:sz="4" w:space="0" w:color="000000"/>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148,8</w:t>
            </w:r>
          </w:p>
        </w:tc>
      </w:tr>
      <w:tr w:rsidR="001158F6" w:rsidRPr="0092047B" w:rsidTr="001158F6">
        <w:trPr>
          <w:trHeight w:val="255"/>
        </w:trPr>
        <w:tc>
          <w:tcPr>
            <w:tcW w:w="1449" w:type="pct"/>
            <w:tcBorders>
              <w:top w:val="nil"/>
              <w:left w:val="single" w:sz="4" w:space="0" w:color="000000"/>
              <w:bottom w:val="single" w:sz="4" w:space="0" w:color="FFFFFF"/>
              <w:right w:val="single" w:sz="4" w:space="0" w:color="FFFFFF"/>
            </w:tcBorders>
            <w:shd w:val="clear" w:color="auto" w:fill="auto"/>
            <w:noWrap/>
            <w:vAlign w:val="bottom"/>
            <w:hideMark/>
          </w:tcPr>
          <w:p w:rsidR="001158F6" w:rsidRPr="0092047B" w:rsidRDefault="001158F6" w:rsidP="00184DC1">
            <w:pPr>
              <w:pStyle w:val="Bezmezer"/>
            </w:pPr>
            <w:r w:rsidRPr="0092047B">
              <w:t>Elektřina</w:t>
            </w:r>
          </w:p>
        </w:tc>
        <w:tc>
          <w:tcPr>
            <w:tcW w:w="179" w:type="pct"/>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pPr>
            <w:r w:rsidRPr="0092047B">
              <w:t>PJ</w:t>
            </w:r>
          </w:p>
        </w:tc>
        <w:tc>
          <w:tcPr>
            <w:tcW w:w="482" w:type="pct"/>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8,5</w:t>
            </w:r>
          </w:p>
        </w:tc>
        <w:tc>
          <w:tcPr>
            <w:tcW w:w="482" w:type="pct"/>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8,6</w:t>
            </w:r>
          </w:p>
        </w:tc>
        <w:tc>
          <w:tcPr>
            <w:tcW w:w="482" w:type="pct"/>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9,7</w:t>
            </w:r>
          </w:p>
        </w:tc>
        <w:tc>
          <w:tcPr>
            <w:tcW w:w="482" w:type="pct"/>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12,1</w:t>
            </w:r>
          </w:p>
        </w:tc>
        <w:tc>
          <w:tcPr>
            <w:tcW w:w="482" w:type="pct"/>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15,6</w:t>
            </w:r>
          </w:p>
        </w:tc>
        <w:tc>
          <w:tcPr>
            <w:tcW w:w="483" w:type="pct"/>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20,4</w:t>
            </w:r>
          </w:p>
        </w:tc>
        <w:tc>
          <w:tcPr>
            <w:tcW w:w="480" w:type="pct"/>
            <w:tcBorders>
              <w:top w:val="nil"/>
              <w:left w:val="nil"/>
              <w:bottom w:val="single" w:sz="4" w:space="0" w:color="A6A6A6"/>
              <w:right w:val="single" w:sz="4" w:space="0" w:color="000000"/>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24,9</w:t>
            </w:r>
          </w:p>
        </w:tc>
      </w:tr>
      <w:tr w:rsidR="001158F6" w:rsidRPr="0092047B" w:rsidTr="001158F6">
        <w:trPr>
          <w:trHeight w:val="270"/>
        </w:trPr>
        <w:tc>
          <w:tcPr>
            <w:tcW w:w="1449" w:type="pct"/>
            <w:tcBorders>
              <w:top w:val="nil"/>
              <w:left w:val="single" w:sz="4" w:space="0" w:color="000000"/>
              <w:bottom w:val="single" w:sz="4" w:space="0" w:color="FFFFFF"/>
              <w:right w:val="single" w:sz="4" w:space="0" w:color="FFFFFF"/>
            </w:tcBorders>
            <w:shd w:val="clear" w:color="auto" w:fill="auto"/>
            <w:noWrap/>
            <w:vAlign w:val="bottom"/>
            <w:hideMark/>
          </w:tcPr>
          <w:p w:rsidR="001158F6" w:rsidRPr="0092047B" w:rsidRDefault="001158F6" w:rsidP="00184DC1">
            <w:pPr>
              <w:pStyle w:val="Bezmezer"/>
            </w:pPr>
            <w:r w:rsidRPr="0092047B">
              <w:t>Biopaliva</w:t>
            </w:r>
          </w:p>
        </w:tc>
        <w:tc>
          <w:tcPr>
            <w:tcW w:w="179" w:type="pct"/>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pPr>
            <w:r w:rsidRPr="0092047B">
              <w:t>PJ</w:t>
            </w:r>
          </w:p>
        </w:tc>
        <w:tc>
          <w:tcPr>
            <w:tcW w:w="482" w:type="pct"/>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9,8</w:t>
            </w:r>
          </w:p>
        </w:tc>
        <w:tc>
          <w:tcPr>
            <w:tcW w:w="482" w:type="pct"/>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18,3</w:t>
            </w:r>
          </w:p>
        </w:tc>
        <w:tc>
          <w:tcPr>
            <w:tcW w:w="482" w:type="pct"/>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482" w:type="pct"/>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482" w:type="pct"/>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483" w:type="pct"/>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480" w:type="pct"/>
            <w:tcBorders>
              <w:top w:val="nil"/>
              <w:left w:val="nil"/>
              <w:bottom w:val="double" w:sz="6" w:space="0" w:color="808080"/>
              <w:right w:val="single" w:sz="4" w:space="0" w:color="000000"/>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28,1</w:t>
            </w:r>
          </w:p>
        </w:tc>
      </w:tr>
      <w:tr w:rsidR="001158F6" w:rsidRPr="0092047B" w:rsidTr="001158F6">
        <w:trPr>
          <w:trHeight w:val="270"/>
        </w:trPr>
        <w:tc>
          <w:tcPr>
            <w:tcW w:w="1449" w:type="pct"/>
            <w:tcBorders>
              <w:top w:val="nil"/>
              <w:left w:val="single" w:sz="4" w:space="0" w:color="000000"/>
              <w:bottom w:val="single" w:sz="4" w:space="0" w:color="000000"/>
              <w:right w:val="single" w:sz="4" w:space="0" w:color="FFFFFF"/>
            </w:tcBorders>
            <w:shd w:val="clear" w:color="auto" w:fill="auto"/>
            <w:noWrap/>
            <w:vAlign w:val="bottom"/>
            <w:hideMark/>
          </w:tcPr>
          <w:p w:rsidR="001158F6" w:rsidRPr="0092047B" w:rsidRDefault="001158F6" w:rsidP="00184DC1">
            <w:pPr>
              <w:pStyle w:val="Bezmezer"/>
              <w:rPr>
                <w:b/>
              </w:rPr>
            </w:pPr>
            <w:r>
              <w:rPr>
                <w:b/>
              </w:rPr>
              <w:t>Celkem</w:t>
            </w:r>
          </w:p>
        </w:tc>
        <w:tc>
          <w:tcPr>
            <w:tcW w:w="179" w:type="pct"/>
            <w:tcBorders>
              <w:top w:val="nil"/>
              <w:left w:val="nil"/>
              <w:bottom w:val="single" w:sz="4" w:space="0" w:color="000000"/>
              <w:right w:val="single" w:sz="4" w:space="0" w:color="auto"/>
            </w:tcBorders>
            <w:shd w:val="clear" w:color="auto" w:fill="auto"/>
            <w:noWrap/>
            <w:vAlign w:val="bottom"/>
            <w:hideMark/>
          </w:tcPr>
          <w:p w:rsidR="001158F6" w:rsidRPr="0092047B" w:rsidRDefault="001158F6" w:rsidP="00184DC1">
            <w:pPr>
              <w:pStyle w:val="Bezmezer"/>
              <w:rPr>
                <w:b/>
              </w:rPr>
            </w:pPr>
            <w:r w:rsidRPr="0092047B">
              <w:rPr>
                <w:b/>
              </w:rPr>
              <w:t>PJ</w:t>
            </w:r>
          </w:p>
        </w:tc>
        <w:tc>
          <w:tcPr>
            <w:tcW w:w="482" w:type="pct"/>
            <w:tcBorders>
              <w:top w:val="nil"/>
              <w:left w:val="nil"/>
              <w:bottom w:val="single" w:sz="4" w:space="0" w:color="000000"/>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246,9</w:t>
            </w:r>
          </w:p>
        </w:tc>
        <w:tc>
          <w:tcPr>
            <w:tcW w:w="482" w:type="pct"/>
            <w:tcBorders>
              <w:top w:val="nil"/>
              <w:left w:val="nil"/>
              <w:bottom w:val="single" w:sz="4" w:space="0" w:color="000000"/>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254,2</w:t>
            </w:r>
          </w:p>
        </w:tc>
        <w:tc>
          <w:tcPr>
            <w:tcW w:w="482" w:type="pct"/>
            <w:tcBorders>
              <w:top w:val="nil"/>
              <w:left w:val="nil"/>
              <w:bottom w:val="single" w:sz="4" w:space="0" w:color="000000"/>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266,9</w:t>
            </w:r>
          </w:p>
        </w:tc>
        <w:tc>
          <w:tcPr>
            <w:tcW w:w="482" w:type="pct"/>
            <w:tcBorders>
              <w:top w:val="nil"/>
              <w:left w:val="nil"/>
              <w:bottom w:val="single" w:sz="4" w:space="0" w:color="000000"/>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271,1</w:t>
            </w:r>
          </w:p>
        </w:tc>
        <w:tc>
          <w:tcPr>
            <w:tcW w:w="482" w:type="pct"/>
            <w:tcBorders>
              <w:top w:val="nil"/>
              <w:left w:val="nil"/>
              <w:bottom w:val="single" w:sz="4" w:space="0" w:color="000000"/>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267,8</w:t>
            </w:r>
          </w:p>
        </w:tc>
        <w:tc>
          <w:tcPr>
            <w:tcW w:w="483" w:type="pct"/>
            <w:tcBorders>
              <w:top w:val="nil"/>
              <w:left w:val="nil"/>
              <w:bottom w:val="single" w:sz="4" w:space="0" w:color="000000"/>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261,0</w:t>
            </w:r>
          </w:p>
        </w:tc>
        <w:tc>
          <w:tcPr>
            <w:tcW w:w="480" w:type="pct"/>
            <w:tcBorders>
              <w:top w:val="nil"/>
              <w:left w:val="nil"/>
              <w:bottom w:val="single" w:sz="4" w:space="0" w:color="000000"/>
              <w:right w:val="single" w:sz="4" w:space="0" w:color="000000"/>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252,9</w:t>
            </w:r>
          </w:p>
        </w:tc>
      </w:tr>
    </w:tbl>
    <w:p w:rsidR="00235C7B" w:rsidRDefault="00235C7B" w:rsidP="00184DC1">
      <w:pPr>
        <w:pStyle w:val="Titulek"/>
        <w:keepNext/>
        <w:spacing w:before="240" w:after="120"/>
        <w:jc w:val="left"/>
      </w:pPr>
      <w:bookmarkStart w:id="881" w:name="_Ref391888580"/>
      <w:bookmarkStart w:id="882" w:name="_Toc396923122"/>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6</w:t>
      </w:r>
      <w:r w:rsidRPr="00235C7B">
        <w:rPr>
          <w:b/>
        </w:rPr>
        <w:fldChar w:fldCharType="end"/>
      </w:r>
      <w:bookmarkEnd w:id="881"/>
      <w:r w:rsidRPr="00235C7B">
        <w:rPr>
          <w:b/>
        </w:rPr>
        <w:t>:</w:t>
      </w:r>
      <w:r>
        <w:t xml:space="preserve"> </w:t>
      </w:r>
      <w:r w:rsidRPr="0092047B">
        <w:t>Vývoj a struktura konečné spotřeby energie v dopravě</w:t>
      </w:r>
      <w:bookmarkEnd w:id="882"/>
    </w:p>
    <w:p w:rsidR="003F472D" w:rsidRPr="0092047B" w:rsidRDefault="003F472D" w:rsidP="00184DC1">
      <w:pPr>
        <w:spacing w:before="120"/>
        <w:jc w:val="center"/>
        <w:rPr>
          <w:rFonts w:cstheme="minorHAnsi"/>
        </w:rPr>
      </w:pPr>
      <w:r w:rsidRPr="0092047B">
        <w:rPr>
          <w:rFonts w:cstheme="minorHAnsi"/>
          <w:noProof/>
        </w:rPr>
        <w:drawing>
          <wp:inline distT="0" distB="0" distL="0" distR="0" wp14:anchorId="24F6D1D9" wp14:editId="2BDD2516">
            <wp:extent cx="5760000" cy="3780000"/>
            <wp:effectExtent l="0" t="0" r="12700" b="1143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472D" w:rsidRPr="0092047B" w:rsidRDefault="003F472D" w:rsidP="00184DC1">
      <w:pPr>
        <w:rPr>
          <w:rFonts w:cstheme="minorHAnsi"/>
        </w:rPr>
      </w:pPr>
      <w:r w:rsidRPr="0092047B">
        <w:rPr>
          <w:rFonts w:cstheme="minorHAnsi"/>
        </w:rPr>
        <w:t>U dopravy je klíčový</w:t>
      </w:r>
      <w:r w:rsidR="006477DA">
        <w:rPr>
          <w:rFonts w:cstheme="minorHAnsi"/>
        </w:rPr>
        <w:t>m</w:t>
      </w:r>
      <w:r w:rsidRPr="0092047B">
        <w:rPr>
          <w:rFonts w:cstheme="minorHAnsi"/>
        </w:rPr>
        <w:t xml:space="preserve"> trend</w:t>
      </w:r>
      <w:r w:rsidR="006477DA">
        <w:rPr>
          <w:rFonts w:cstheme="minorHAnsi"/>
        </w:rPr>
        <w:t>em</w:t>
      </w:r>
      <w:r w:rsidRPr="0092047B">
        <w:rPr>
          <w:rFonts w:cstheme="minorHAnsi"/>
        </w:rPr>
        <w:t xml:space="preserve"> snižování spotřeby vozidel a nástupu alternativních pohonů, kdy postupně vzroste využívání stlačeného zemního plynu ve formě CNG a rovněž i elektřiny. Přesto se očekává, že i v roce 2040 budou ropné produkty v tomto segmentu dominovat, i když jejich podí</w:t>
      </w:r>
      <w:r w:rsidR="006477DA">
        <w:rPr>
          <w:rFonts w:cstheme="minorHAnsi"/>
        </w:rPr>
        <w:t>l postupně klesne na úroveň cca</w:t>
      </w:r>
      <w:r w:rsidRPr="0092047B">
        <w:rPr>
          <w:rFonts w:cstheme="minorHAnsi"/>
        </w:rPr>
        <w:t xml:space="preserve"> 66 % celkové spotřeby energie v tomto odvětví. Do roku 2020 - 2025 se předpokládá nárůst vozového parku v České republice, zejména v kategorii osobních automobilů. V dalších letech se pak očekává spíše stagnace množství vozidel nebo mírný pokles. Celkové dopravní výkony nadále porostou s předpokládanou saturací po roku 2030. U elektrické energie je předpoklad trvalého růstu spotřeby v souvislosti s elektromobilitou.</w:t>
      </w:r>
    </w:p>
    <w:p w:rsidR="003F472D" w:rsidRPr="0092047B" w:rsidRDefault="003F472D" w:rsidP="00184DC1">
      <w:pPr>
        <w:pStyle w:val="Nadpis3"/>
      </w:pPr>
      <w:bookmarkStart w:id="883" w:name="_Toc367279695"/>
      <w:bookmarkStart w:id="884" w:name="_Toc367280244"/>
      <w:bookmarkStart w:id="885" w:name="_Toc370121882"/>
      <w:bookmarkStart w:id="886" w:name="_Toc387757702"/>
      <w:bookmarkStart w:id="887" w:name="_Toc396923417"/>
      <w:r w:rsidRPr="0092047B">
        <w:t>Vývoj a struktura primárních energetických zdrojů (PEZ)</w:t>
      </w:r>
      <w:bookmarkEnd w:id="883"/>
      <w:bookmarkEnd w:id="884"/>
      <w:bookmarkEnd w:id="885"/>
      <w:bookmarkEnd w:id="886"/>
      <w:bookmarkEnd w:id="887"/>
    </w:p>
    <w:p w:rsidR="003F472D" w:rsidRPr="0092047B" w:rsidRDefault="003F472D" w:rsidP="00184DC1">
      <w:pPr>
        <w:pStyle w:val="Titulek"/>
        <w:keepNext/>
        <w:spacing w:before="240" w:after="120"/>
      </w:pPr>
      <w:bookmarkStart w:id="888" w:name="_Toc387757562"/>
      <w:bookmarkStart w:id="889" w:name="_Toc396923163"/>
      <w:r w:rsidRPr="007A22A1">
        <w:rPr>
          <w:b/>
        </w:rPr>
        <w:t xml:space="preserve">Tabulka č. </w:t>
      </w:r>
      <w:r w:rsidRPr="007A22A1">
        <w:rPr>
          <w:b/>
        </w:rPr>
        <w:fldChar w:fldCharType="begin"/>
      </w:r>
      <w:r w:rsidRPr="007A22A1">
        <w:rPr>
          <w:b/>
        </w:rPr>
        <w:instrText xml:space="preserve"> SEQ Tabulka_č. \* ARABIC </w:instrText>
      </w:r>
      <w:r w:rsidRPr="007A22A1">
        <w:rPr>
          <w:b/>
        </w:rPr>
        <w:fldChar w:fldCharType="separate"/>
      </w:r>
      <w:r w:rsidR="0096423F">
        <w:rPr>
          <w:b/>
          <w:noProof/>
        </w:rPr>
        <w:t>4</w:t>
      </w:r>
      <w:r w:rsidRPr="007A22A1">
        <w:rPr>
          <w:b/>
        </w:rPr>
        <w:fldChar w:fldCharType="end"/>
      </w:r>
      <w:r w:rsidRPr="007A22A1">
        <w:rPr>
          <w:b/>
        </w:rPr>
        <w:t>:</w:t>
      </w:r>
      <w:r w:rsidRPr="007A22A1">
        <w:t xml:space="preserve"> Vývoj a struktura primárních energetických zdroj</w:t>
      </w:r>
      <w:bookmarkEnd w:id="888"/>
      <w:r w:rsidRPr="007A22A1">
        <w:t>ů</w:t>
      </w:r>
      <w:bookmarkEnd w:id="889"/>
    </w:p>
    <w:tbl>
      <w:tblPr>
        <w:tblW w:w="9356" w:type="dxa"/>
        <w:tblInd w:w="-72" w:type="dxa"/>
        <w:tblCellMar>
          <w:left w:w="70" w:type="dxa"/>
          <w:right w:w="70" w:type="dxa"/>
        </w:tblCellMar>
        <w:tblLook w:val="04A0" w:firstRow="1" w:lastRow="0" w:firstColumn="1" w:lastColumn="0" w:noHBand="0" w:noVBand="1"/>
      </w:tblPr>
      <w:tblGrid>
        <w:gridCol w:w="137"/>
        <w:gridCol w:w="2074"/>
        <w:gridCol w:w="425"/>
        <w:gridCol w:w="960"/>
        <w:gridCol w:w="960"/>
        <w:gridCol w:w="960"/>
        <w:gridCol w:w="960"/>
        <w:gridCol w:w="960"/>
        <w:gridCol w:w="960"/>
        <w:gridCol w:w="960"/>
      </w:tblGrid>
      <w:tr w:rsidR="003F472D" w:rsidRPr="0092047B" w:rsidTr="001158F6">
        <w:trPr>
          <w:trHeight w:val="255"/>
        </w:trPr>
        <w:tc>
          <w:tcPr>
            <w:tcW w:w="2211" w:type="dxa"/>
            <w:gridSpan w:val="2"/>
            <w:tcBorders>
              <w:top w:val="single" w:sz="4" w:space="0" w:color="auto"/>
              <w:left w:val="single" w:sz="4" w:space="0" w:color="auto"/>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PEZ</w:t>
            </w:r>
          </w:p>
        </w:tc>
        <w:tc>
          <w:tcPr>
            <w:tcW w:w="425"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Style w:val="Zdraznnintenzivn"/>
                <w:rFonts w:cstheme="minorHAnsi"/>
                <w:bCs w:val="0"/>
              </w:rPr>
            </w:pPr>
            <w:r w:rsidRPr="0092047B">
              <w:rPr>
                <w:rStyle w:val="Zdraznnintenzivn"/>
                <w:rFonts w:cstheme="minorHAnsi"/>
                <w:bCs w:val="0"/>
              </w:rPr>
              <w:t> </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2010</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2015</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2020</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2025</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2030</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2035</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3F472D" w:rsidRPr="0092047B" w:rsidRDefault="003F472D" w:rsidP="00184DC1">
            <w:pPr>
              <w:pStyle w:val="Bezmezer"/>
              <w:jc w:val="center"/>
              <w:rPr>
                <w:rStyle w:val="Zdraznnintenzivn"/>
                <w:rFonts w:cstheme="minorHAnsi"/>
                <w:bCs w:val="0"/>
              </w:rPr>
            </w:pPr>
            <w:r w:rsidRPr="0092047B">
              <w:rPr>
                <w:rStyle w:val="Zdraznnintenzivn"/>
                <w:rFonts w:cstheme="minorHAnsi"/>
                <w:bCs w:val="0"/>
              </w:rPr>
              <w:t>2040</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Černé uhlí</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194,3</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184,6</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164,2</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163,2</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143,9</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143,0</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136,3</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Hnědé uhlí</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564,3</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505,2</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448,8</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330,2</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307,4</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253,5</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150,0</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Zemní plyn</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336,1</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338,9</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344,5</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348,6</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357,9</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361,4</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381,2</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Ropa a ropné produkty</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378,4</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385,8</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374,2</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366,8</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348,7</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326,2</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301,5</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Jaderné palivo</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305,4</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343,6</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343,6</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343,6</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343,6</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449,2</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471,3</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Elektřina (saldo)</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-53,8</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-80,1</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-58,9</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-22,3</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-11,9</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-29,9</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-13,3</w:t>
            </w:r>
          </w:p>
        </w:tc>
      </w:tr>
      <w:tr w:rsidR="001158F6" w:rsidRPr="0092047B" w:rsidTr="001158F6">
        <w:trPr>
          <w:trHeight w:val="255"/>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Ostatní paliva</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10,5</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12,9</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13,8</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17,2</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19,5</w:t>
            </w:r>
          </w:p>
        </w:tc>
        <w:tc>
          <w:tcPr>
            <w:tcW w:w="960" w:type="dxa"/>
            <w:tcBorders>
              <w:top w:val="nil"/>
              <w:left w:val="nil"/>
              <w:bottom w:val="single" w:sz="4" w:space="0" w:color="A6A6A6"/>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19,5</w:t>
            </w:r>
          </w:p>
        </w:tc>
        <w:tc>
          <w:tcPr>
            <w:tcW w:w="958" w:type="dxa"/>
            <w:tcBorders>
              <w:top w:val="nil"/>
              <w:left w:val="nil"/>
              <w:bottom w:val="single" w:sz="4" w:space="0" w:color="A6A6A6"/>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19,5</w:t>
            </w:r>
          </w:p>
        </w:tc>
      </w:tr>
      <w:tr w:rsidR="001158F6" w:rsidRPr="0092047B" w:rsidTr="001158F6">
        <w:trPr>
          <w:trHeight w:val="270"/>
        </w:trPr>
        <w:tc>
          <w:tcPr>
            <w:tcW w:w="2211" w:type="dxa"/>
            <w:gridSpan w:val="2"/>
            <w:tcBorders>
              <w:top w:val="nil"/>
              <w:left w:val="single" w:sz="4" w:space="0" w:color="auto"/>
              <w:bottom w:val="single" w:sz="4" w:space="0" w:color="FFFFFF"/>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 xml:space="preserve">OZE a druhotné zdroje </w:t>
            </w:r>
          </w:p>
        </w:tc>
        <w:tc>
          <w:tcPr>
            <w:tcW w:w="425" w:type="dxa"/>
            <w:tcBorders>
              <w:top w:val="nil"/>
              <w:left w:val="nil"/>
              <w:bottom w:val="single" w:sz="4" w:space="0" w:color="FFFFFF"/>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 w:val="0"/>
                <w:bCs w:val="0"/>
              </w:rPr>
            </w:pPr>
            <w:r w:rsidRPr="0092047B">
              <w:rPr>
                <w:rStyle w:val="Zdraznnintenzivn"/>
                <w:rFonts w:cstheme="minorHAnsi"/>
                <w:b w:val="0"/>
                <w:bCs w:val="0"/>
              </w:rPr>
              <w:t>PJ</w:t>
            </w:r>
          </w:p>
        </w:tc>
        <w:tc>
          <w:tcPr>
            <w:tcW w:w="960" w:type="dxa"/>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119,1</w:t>
            </w:r>
          </w:p>
        </w:tc>
        <w:tc>
          <w:tcPr>
            <w:tcW w:w="960" w:type="dxa"/>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161,4</w:t>
            </w:r>
          </w:p>
        </w:tc>
        <w:tc>
          <w:tcPr>
            <w:tcW w:w="960" w:type="dxa"/>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195,6</w:t>
            </w:r>
          </w:p>
        </w:tc>
        <w:tc>
          <w:tcPr>
            <w:tcW w:w="960" w:type="dxa"/>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223,9</w:t>
            </w:r>
          </w:p>
        </w:tc>
        <w:tc>
          <w:tcPr>
            <w:tcW w:w="960" w:type="dxa"/>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247,5</w:t>
            </w:r>
          </w:p>
        </w:tc>
        <w:tc>
          <w:tcPr>
            <w:tcW w:w="960" w:type="dxa"/>
            <w:tcBorders>
              <w:top w:val="nil"/>
              <w:left w:val="nil"/>
              <w:bottom w:val="double" w:sz="6" w:space="0" w:color="808080"/>
              <w:right w:val="single" w:sz="4" w:space="0" w:color="FFFFFF"/>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273,7</w:t>
            </w:r>
          </w:p>
        </w:tc>
        <w:tc>
          <w:tcPr>
            <w:tcW w:w="958" w:type="dxa"/>
            <w:tcBorders>
              <w:top w:val="nil"/>
              <w:left w:val="nil"/>
              <w:bottom w:val="double" w:sz="6" w:space="0" w:color="808080"/>
              <w:right w:val="single" w:sz="4" w:space="0" w:color="auto"/>
            </w:tcBorders>
            <w:shd w:val="clear" w:color="auto" w:fill="auto"/>
            <w:noWrap/>
            <w:vAlign w:val="bottom"/>
            <w:hideMark/>
          </w:tcPr>
          <w:p w:rsidR="001158F6" w:rsidRDefault="001158F6" w:rsidP="00184DC1">
            <w:pPr>
              <w:spacing w:after="0"/>
              <w:jc w:val="right"/>
              <w:rPr>
                <w:rFonts w:ascii="Arial" w:hAnsi="Arial" w:cs="Arial"/>
                <w:color w:val="000000"/>
                <w:sz w:val="20"/>
                <w:szCs w:val="20"/>
              </w:rPr>
            </w:pPr>
            <w:r>
              <w:rPr>
                <w:rFonts w:ascii="Arial" w:hAnsi="Arial" w:cs="Arial"/>
                <w:color w:val="000000"/>
                <w:sz w:val="20"/>
                <w:szCs w:val="20"/>
              </w:rPr>
              <w:t>299,8</w:t>
            </w:r>
          </w:p>
        </w:tc>
      </w:tr>
      <w:tr w:rsidR="001158F6" w:rsidRPr="0092047B" w:rsidTr="001158F6">
        <w:trPr>
          <w:trHeight w:val="270"/>
        </w:trPr>
        <w:tc>
          <w:tcPr>
            <w:tcW w:w="2211" w:type="dxa"/>
            <w:gridSpan w:val="2"/>
            <w:tcBorders>
              <w:top w:val="nil"/>
              <w:left w:val="single" w:sz="4" w:space="0" w:color="auto"/>
              <w:bottom w:val="single" w:sz="4" w:space="0" w:color="auto"/>
              <w:right w:val="single" w:sz="4" w:space="0" w:color="FFFFFF"/>
            </w:tcBorders>
            <w:shd w:val="clear" w:color="auto" w:fill="auto"/>
            <w:noWrap/>
            <w:vAlign w:val="bottom"/>
            <w:hideMark/>
          </w:tcPr>
          <w:p w:rsidR="001158F6" w:rsidRPr="0092047B" w:rsidRDefault="001158F6" w:rsidP="00184DC1">
            <w:pPr>
              <w:pStyle w:val="Bezmezer"/>
              <w:rPr>
                <w:rStyle w:val="Zdraznnintenzivn"/>
                <w:rFonts w:cstheme="minorHAnsi"/>
                <w:bCs w:val="0"/>
              </w:rPr>
            </w:pPr>
            <w:r>
              <w:rPr>
                <w:rStyle w:val="Zdraznnintenzivn"/>
                <w:rFonts w:cstheme="minorHAnsi"/>
                <w:bCs w:val="0"/>
              </w:rPr>
              <w:t>C</w:t>
            </w:r>
            <w:r w:rsidRPr="0092047B">
              <w:rPr>
                <w:rStyle w:val="Zdraznnintenzivn"/>
                <w:rFonts w:cstheme="minorHAnsi"/>
                <w:bCs w:val="0"/>
              </w:rPr>
              <w:t>elkem</w:t>
            </w:r>
          </w:p>
        </w:tc>
        <w:tc>
          <w:tcPr>
            <w:tcW w:w="425" w:type="dxa"/>
            <w:tcBorders>
              <w:top w:val="nil"/>
              <w:left w:val="nil"/>
              <w:bottom w:val="single" w:sz="4" w:space="0" w:color="auto"/>
              <w:right w:val="single" w:sz="4" w:space="0" w:color="auto"/>
            </w:tcBorders>
            <w:shd w:val="clear" w:color="auto" w:fill="auto"/>
            <w:noWrap/>
            <w:vAlign w:val="bottom"/>
            <w:hideMark/>
          </w:tcPr>
          <w:p w:rsidR="001158F6" w:rsidRPr="0092047B" w:rsidRDefault="001158F6" w:rsidP="00184DC1">
            <w:pPr>
              <w:pStyle w:val="Bezmezer"/>
              <w:rPr>
                <w:rStyle w:val="Zdraznnintenzivn"/>
                <w:rFonts w:cstheme="minorHAnsi"/>
                <w:bCs w:val="0"/>
              </w:rPr>
            </w:pPr>
            <w:r w:rsidRPr="0092047B">
              <w:rPr>
                <w:rStyle w:val="Zdraznnintenzivn"/>
                <w:rFonts w:cstheme="minorHAnsi"/>
                <w:bCs w:val="0"/>
              </w:rPr>
              <w:t>PJ</w:t>
            </w:r>
          </w:p>
        </w:tc>
        <w:tc>
          <w:tcPr>
            <w:tcW w:w="960" w:type="dxa"/>
            <w:tcBorders>
              <w:top w:val="nil"/>
              <w:left w:val="nil"/>
              <w:bottom w:val="single" w:sz="4" w:space="0" w:color="auto"/>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1 854,3</w:t>
            </w:r>
          </w:p>
        </w:tc>
        <w:tc>
          <w:tcPr>
            <w:tcW w:w="960" w:type="dxa"/>
            <w:tcBorders>
              <w:top w:val="nil"/>
              <w:left w:val="nil"/>
              <w:bottom w:val="single" w:sz="4" w:space="0" w:color="auto"/>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1 852,3</w:t>
            </w:r>
          </w:p>
        </w:tc>
        <w:tc>
          <w:tcPr>
            <w:tcW w:w="960" w:type="dxa"/>
            <w:tcBorders>
              <w:top w:val="nil"/>
              <w:left w:val="nil"/>
              <w:bottom w:val="single" w:sz="4" w:space="0" w:color="auto"/>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1 825,7</w:t>
            </w:r>
          </w:p>
        </w:tc>
        <w:tc>
          <w:tcPr>
            <w:tcW w:w="960" w:type="dxa"/>
            <w:tcBorders>
              <w:top w:val="nil"/>
              <w:left w:val="nil"/>
              <w:bottom w:val="single" w:sz="4" w:space="0" w:color="auto"/>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1 771,1</w:t>
            </w:r>
          </w:p>
        </w:tc>
        <w:tc>
          <w:tcPr>
            <w:tcW w:w="960" w:type="dxa"/>
            <w:tcBorders>
              <w:top w:val="nil"/>
              <w:left w:val="nil"/>
              <w:bottom w:val="single" w:sz="4" w:space="0" w:color="auto"/>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1 756,5</w:t>
            </w:r>
          </w:p>
        </w:tc>
        <w:tc>
          <w:tcPr>
            <w:tcW w:w="960" w:type="dxa"/>
            <w:tcBorders>
              <w:top w:val="nil"/>
              <w:left w:val="nil"/>
              <w:bottom w:val="single" w:sz="4" w:space="0" w:color="auto"/>
              <w:right w:val="single" w:sz="4" w:space="0" w:color="FFFFFF"/>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1 796,6</w:t>
            </w:r>
          </w:p>
        </w:tc>
        <w:tc>
          <w:tcPr>
            <w:tcW w:w="958" w:type="dxa"/>
            <w:tcBorders>
              <w:top w:val="nil"/>
              <w:left w:val="nil"/>
              <w:bottom w:val="single" w:sz="4" w:space="0" w:color="auto"/>
              <w:right w:val="single" w:sz="4" w:space="0" w:color="auto"/>
            </w:tcBorders>
            <w:shd w:val="clear" w:color="auto" w:fill="auto"/>
            <w:noWrap/>
            <w:vAlign w:val="bottom"/>
            <w:hideMark/>
          </w:tcPr>
          <w:p w:rsidR="001158F6" w:rsidRDefault="001158F6" w:rsidP="00184DC1">
            <w:pPr>
              <w:spacing w:after="0"/>
              <w:jc w:val="right"/>
              <w:rPr>
                <w:rFonts w:ascii="Arial" w:hAnsi="Arial" w:cs="Arial"/>
                <w:b/>
                <w:bCs/>
                <w:color w:val="000000"/>
                <w:sz w:val="20"/>
                <w:szCs w:val="20"/>
              </w:rPr>
            </w:pPr>
            <w:r>
              <w:rPr>
                <w:rFonts w:ascii="Arial" w:hAnsi="Arial" w:cs="Arial"/>
                <w:b/>
                <w:bCs/>
                <w:color w:val="000000"/>
                <w:sz w:val="20"/>
                <w:szCs w:val="20"/>
              </w:rPr>
              <w:t>1 746,36</w:t>
            </w:r>
          </w:p>
        </w:tc>
      </w:tr>
      <w:tr w:rsidR="003F472D" w:rsidRPr="0092047B" w:rsidTr="001158F6">
        <w:trPr>
          <w:gridBefore w:val="1"/>
          <w:wBefore w:w="137" w:type="dxa"/>
          <w:trHeight w:val="270"/>
        </w:trPr>
        <w:tc>
          <w:tcPr>
            <w:tcW w:w="9219" w:type="dxa"/>
            <w:gridSpan w:val="9"/>
            <w:tcBorders>
              <w:left w:val="single" w:sz="4" w:space="0" w:color="FFFFFF" w:themeColor="background1"/>
              <w:bottom w:val="nil"/>
              <w:right w:val="single" w:sz="4" w:space="0" w:color="FFFFFF" w:themeColor="background1"/>
            </w:tcBorders>
            <w:shd w:val="clear" w:color="auto" w:fill="auto"/>
            <w:noWrap/>
            <w:vAlign w:val="bottom"/>
          </w:tcPr>
          <w:p w:rsidR="003F472D" w:rsidRPr="0092047B" w:rsidRDefault="003F472D" w:rsidP="00184DC1">
            <w:pPr>
              <w:spacing w:before="120" w:after="0"/>
              <w:rPr>
                <w:rFonts w:ascii="Arial" w:hAnsi="Arial" w:cs="Arial"/>
                <w:b/>
                <w:bCs/>
                <w:i/>
                <w:color w:val="000000"/>
                <w:sz w:val="20"/>
                <w:szCs w:val="20"/>
              </w:rPr>
            </w:pPr>
            <w:r w:rsidRPr="0092047B">
              <w:rPr>
                <w:rFonts w:cstheme="minorHAnsi"/>
                <w:i/>
                <w:sz w:val="18"/>
                <w:szCs w:val="18"/>
              </w:rPr>
              <w:t>Pozn.</w:t>
            </w:r>
            <w:r w:rsidR="003B7BFC">
              <w:rPr>
                <w:rFonts w:cstheme="minorHAnsi"/>
                <w:i/>
                <w:sz w:val="18"/>
                <w:szCs w:val="18"/>
              </w:rPr>
              <w:t>:</w:t>
            </w:r>
            <w:r w:rsidRPr="0092047B">
              <w:rPr>
                <w:rFonts w:cstheme="minorHAnsi"/>
                <w:i/>
                <w:sz w:val="18"/>
                <w:szCs w:val="18"/>
              </w:rPr>
              <w:t xml:space="preserve"> </w:t>
            </w:r>
            <w:r w:rsidR="003B7BFC">
              <w:rPr>
                <w:rFonts w:cstheme="minorHAnsi"/>
                <w:i/>
                <w:sz w:val="18"/>
                <w:szCs w:val="18"/>
              </w:rPr>
              <w:t>o</w:t>
            </w:r>
            <w:r w:rsidRPr="0092047B">
              <w:rPr>
                <w:rFonts w:cstheme="minorHAnsi"/>
                <w:i/>
                <w:sz w:val="18"/>
                <w:szCs w:val="18"/>
              </w:rPr>
              <w:t>statní paliva: degazační plyn, průmyslové odpady a alternativní paliva, tuhý komunální odpad (</w:t>
            </w:r>
            <w:r w:rsidR="001210CE" w:rsidRPr="0092047B">
              <w:rPr>
                <w:rFonts w:cstheme="minorHAnsi"/>
                <w:i/>
                <w:sz w:val="18"/>
                <w:szCs w:val="18"/>
              </w:rPr>
              <w:t>neobnovitelný</w:t>
            </w:r>
            <w:r w:rsidRPr="0092047B">
              <w:rPr>
                <w:rFonts w:cstheme="minorHAnsi"/>
                <w:i/>
                <w:sz w:val="18"/>
                <w:szCs w:val="18"/>
              </w:rPr>
              <w:t>)</w:t>
            </w:r>
          </w:p>
        </w:tc>
      </w:tr>
    </w:tbl>
    <w:p w:rsidR="00235C7B" w:rsidRDefault="00235C7B" w:rsidP="00184DC1">
      <w:pPr>
        <w:pStyle w:val="Titulek"/>
        <w:keepNext/>
        <w:spacing w:before="240" w:after="120"/>
      </w:pPr>
      <w:bookmarkStart w:id="890" w:name="_Ref391888633"/>
      <w:bookmarkStart w:id="891" w:name="_Toc396923123"/>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7</w:t>
      </w:r>
      <w:r w:rsidRPr="00235C7B">
        <w:rPr>
          <w:b/>
        </w:rPr>
        <w:fldChar w:fldCharType="end"/>
      </w:r>
      <w:bookmarkEnd w:id="890"/>
      <w:r w:rsidRPr="00235C7B">
        <w:rPr>
          <w:b/>
        </w:rPr>
        <w:t>:</w:t>
      </w:r>
      <w:r>
        <w:t xml:space="preserve"> </w:t>
      </w:r>
      <w:r w:rsidRPr="007A22A1">
        <w:t>Vývoj a struktura primárních energetických zdrojů</w:t>
      </w:r>
      <w:bookmarkEnd w:id="891"/>
    </w:p>
    <w:p w:rsidR="003F472D" w:rsidRPr="0092047B" w:rsidRDefault="003F472D" w:rsidP="00EF045E">
      <w:pPr>
        <w:spacing w:before="120"/>
        <w:rPr>
          <w:rFonts w:cstheme="minorHAnsi"/>
        </w:rPr>
      </w:pPr>
      <w:r w:rsidRPr="007A22A1">
        <w:rPr>
          <w:rFonts w:cstheme="minorHAnsi"/>
          <w:noProof/>
        </w:rPr>
        <w:drawing>
          <wp:inline distT="0" distB="0" distL="0" distR="0" wp14:anchorId="5DE479C2" wp14:editId="211FED3B">
            <wp:extent cx="5760000" cy="3780000"/>
            <wp:effectExtent l="0" t="0" r="12700" b="1143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472D" w:rsidRPr="0092047B" w:rsidRDefault="003F472D" w:rsidP="00EF045E">
      <w:pPr>
        <w:spacing w:after="120"/>
        <w:rPr>
          <w:rFonts w:cstheme="minorHAnsi"/>
        </w:rPr>
      </w:pPr>
      <w:r w:rsidRPr="0092047B">
        <w:rPr>
          <w:rFonts w:cstheme="minorHAnsi"/>
        </w:rPr>
        <w:t>V letech od 2010 do 2040 se očekává významný pokles jednotkové spotřeby tepla jak v soustavách zásobování teplem, tak i v decentralizované výrobě, a to především z titulu úspor energie. Proti tomuto trendu bude působit mírný nárůst rozsahu vytápěných ploch jak v domácnostech (zvyšující se komfort a obytná plocha na obyvatele), tak zejména v sektoru služeb (nová obchodní, sportovní a kulturní centra). Celkový pokles spotřeby tedy bude mírnější. Ve spotřebě elektřiny je naopak předpokládán mírný nárůst, neboť řada racionalizačních opatření v oblasti spotřeby energie bude doprovázena přechodem k elektřině (např. tepelná čerpadla a elektromobilita). V sektoru domácností je pak možné očekávat mírný pokles spotřeby elektřiny, a to díky úsporám energie především v souvislosti s využitím energeticky účinnějších spotřebičů. Tento pokles bude částečně vykompenzován rostoucím komfortem domácností i nárůstem jejich počtu. V oblasti spotřeby elektřiny v průmyslových odvětvích je významným faktorem vývoj HDP. Zvýšenou spotřebu související s ekonomickým růstem se sice podaří vykompenzovat snížením energetické náročnosti, ale v celkovém objemu spotřeby dojde v zásadě ke stagnaci. Snižování spotřeby elektřiny by bylo možné očekávat pouze v případě dlouhodobé hospodářské stagnace, či poklesu ekonomiky, nebo v případě významné de-industrializace českého hospodářství.</w:t>
      </w:r>
    </w:p>
    <w:p w:rsidR="003F472D" w:rsidRPr="0092047B" w:rsidRDefault="003F472D" w:rsidP="00EF045E">
      <w:pPr>
        <w:spacing w:after="120"/>
        <w:rPr>
          <w:rFonts w:cstheme="minorHAnsi"/>
        </w:rPr>
      </w:pPr>
      <w:r w:rsidRPr="0092047B">
        <w:rPr>
          <w:rFonts w:cstheme="minorHAnsi"/>
        </w:rPr>
        <w:t>Ve struktuře PEZ roste podíl obnovitelných a druhotných zdrojů energie, především biomasy a odpadů, protože se jedná o významné tuzemské energetické zdroje. Naopak podíl dalšího, a v současné době rozhodujícího tuzemského zdroje, kterým je kvalitní hnědé uhlí, do roku 2025 významně klesá, jak je demonstruje</w:t>
      </w:r>
      <w:r w:rsidR="005876DC">
        <w:rPr>
          <w:rFonts w:cstheme="minorHAnsi"/>
        </w:rPr>
        <w:t xml:space="preserve"> </w:t>
      </w:r>
      <w:r w:rsidR="005876DC" w:rsidRPr="005876DC">
        <w:rPr>
          <w:rFonts w:cstheme="minorHAnsi"/>
        </w:rPr>
        <w:fldChar w:fldCharType="begin"/>
      </w:r>
      <w:r w:rsidR="005876DC" w:rsidRPr="005876DC">
        <w:rPr>
          <w:rFonts w:cstheme="minorHAnsi"/>
        </w:rPr>
        <w:instrText xml:space="preserve"> REF _Ref391888633 \h  \* MERGEFORMAT </w:instrText>
      </w:r>
      <w:r w:rsidR="005876DC" w:rsidRPr="005876DC">
        <w:rPr>
          <w:rFonts w:cstheme="minorHAnsi"/>
        </w:rPr>
      </w:r>
      <w:r w:rsidR="005876DC" w:rsidRPr="005876DC">
        <w:rPr>
          <w:rFonts w:cstheme="minorHAnsi"/>
        </w:rPr>
        <w:fldChar w:fldCharType="separate"/>
      </w:r>
      <w:r w:rsidR="0096423F" w:rsidRPr="0096423F">
        <w:t xml:space="preserve">Graf č. </w:t>
      </w:r>
      <w:r w:rsidR="0096423F" w:rsidRPr="0096423F">
        <w:rPr>
          <w:noProof/>
        </w:rPr>
        <w:t>7</w:t>
      </w:r>
      <w:r w:rsidR="005876DC" w:rsidRPr="005876DC">
        <w:rPr>
          <w:rFonts w:cstheme="minorHAnsi"/>
        </w:rPr>
        <w:fldChar w:fldCharType="end"/>
      </w:r>
      <w:r w:rsidRPr="005876DC">
        <w:rPr>
          <w:rFonts w:cstheme="minorHAnsi"/>
          <w:b/>
        </w:rPr>
        <w:t>,</w:t>
      </w:r>
      <w:r w:rsidRPr="0092047B">
        <w:rPr>
          <w:rFonts w:cstheme="minorHAnsi"/>
        </w:rPr>
        <w:t xml:space="preserve"> a to především v důsledku transformace a modernizace energetiky. Klesající trend po roce 2025 je dále způsoben klesající těžbou. Mezi roky 2035 až 2040 pak dochází k dalšímu významnějšímu poklesu využití hnědého uhlí, následně by měla být jeho spotřeba již stabilizována na úrovni, kterou je ze strategického pohledu žádoucí udržet dlouhodobě, tedy i za horizont roku 2040. Hnědé uhlí částečně nahradí zemní plyn, proto se dá očekávat nárůst podílu tohoto zdroje. V případě černého uhlí lze predikovat poměrně významný útlum těžby. Po roce 2023 by těžba černého uhlí na území ČR neměla přesahovat 2 milióny tun ročně, a to včetně černého koksovatelného uhlí (UVPK). Palivové nároky tuzemských elektráren, tepláren a koksáren bude nutné pokrýt dovozem ze zahraničí, alespoň do doby než bude dokončena jejich případná transformace na jiné palivo, nebo dokud nebudou dodávky tepla pokryty z decentralizovaných zdrojů. Jediná firma provozující těžbu černého uhlí na území ČR se p</w:t>
      </w:r>
      <w:r w:rsidR="008766FF">
        <w:rPr>
          <w:rFonts w:cstheme="minorHAnsi"/>
        </w:rPr>
        <w:t>odle předpokladů spíše soustředí</w:t>
      </w:r>
      <w:r w:rsidRPr="0092047B">
        <w:rPr>
          <w:rFonts w:cstheme="minorHAnsi"/>
        </w:rPr>
        <w:t xml:space="preserve"> na těžbu kvalitního koksovatelného uhlí. V tomto ohledu je možné očekávat, že po roce 2023 bude pokračovat pouze těžba koksovatelného uhlí a uhlí pro energetické využití ve spalovacích zdrojích bude muset být nakoupeno v zahraničí.</w:t>
      </w:r>
    </w:p>
    <w:p w:rsidR="003F472D" w:rsidRPr="0092047B" w:rsidRDefault="003F472D" w:rsidP="00EF045E">
      <w:pPr>
        <w:spacing w:after="120"/>
        <w:rPr>
          <w:rFonts w:cstheme="minorHAnsi"/>
        </w:rPr>
      </w:pPr>
      <w:r w:rsidRPr="0092047B">
        <w:rPr>
          <w:rFonts w:cstheme="minorHAnsi"/>
        </w:rPr>
        <w:t xml:space="preserve">Změny ve struktuře PEZ  mezi roky 2030 a 2035 jsou potom způsobeny hlavně výstavbou a následným spuštěním nových jaderných bloků, které budou z části působit i jako náhrada za postupně odstavované bloky stávající. Po roce 2035 budou celkové primární energetické zdroje na základě prognóz opět klesat. </w:t>
      </w:r>
    </w:p>
    <w:p w:rsidR="003F472D" w:rsidRPr="0092047B" w:rsidRDefault="003F472D" w:rsidP="00EF045E">
      <w:pPr>
        <w:spacing w:after="120"/>
        <w:rPr>
          <w:rFonts w:cstheme="minorHAnsi"/>
        </w:rPr>
      </w:pPr>
      <w:r w:rsidRPr="0092047B">
        <w:rPr>
          <w:rFonts w:cstheme="minorHAnsi"/>
        </w:rPr>
        <w:t xml:space="preserve">V případě fosilních zdrojů, které lze využít různými technologiemi a s různou účinností (navíc nejen v energetice) je sledování spotřeby PEZ spolu se sledováním konečné spotřeby indikátorem efektivnosti využití těchto PEZ. U jaderné energie je započítáván do PEZ (podobně jako u fosilních paliv) obsah energie v palivu, </w:t>
      </w:r>
      <w:r w:rsidR="00CE201A" w:rsidRPr="00CE201A">
        <w:rPr>
          <w:rFonts w:cstheme="minorHAnsi"/>
        </w:rPr>
        <w:t xml:space="preserve">který </w:t>
      </w:r>
      <w:r w:rsidR="00262E2B" w:rsidRPr="00CE201A">
        <w:rPr>
          <w:rFonts w:cstheme="minorHAnsi"/>
        </w:rPr>
        <w:t>se aktuálně využívá téměř výhradně pouze k výrobě</w:t>
      </w:r>
      <w:r w:rsidR="00CE201A" w:rsidRPr="00CE201A">
        <w:rPr>
          <w:rFonts w:cstheme="minorHAnsi"/>
        </w:rPr>
        <w:t xml:space="preserve"> elektřiny</w:t>
      </w:r>
      <w:r w:rsidR="00262E2B" w:rsidRPr="00CE201A">
        <w:rPr>
          <w:rFonts w:cstheme="minorHAnsi"/>
        </w:rPr>
        <w:t>, přičemž</w:t>
      </w:r>
      <w:r w:rsidRPr="0092047B">
        <w:rPr>
          <w:rFonts w:cstheme="minorHAnsi"/>
        </w:rPr>
        <w:t xml:space="preserve"> technologie se od sebe účinností příliš neliší (okolo 33</w:t>
      </w:r>
      <w:r w:rsidR="00D63E89" w:rsidRPr="0092047B">
        <w:rPr>
          <w:rFonts w:cstheme="minorHAnsi"/>
        </w:rPr>
        <w:t> </w:t>
      </w:r>
      <w:r w:rsidRPr="0092047B">
        <w:rPr>
          <w:rFonts w:cstheme="minorHAnsi"/>
        </w:rPr>
        <w:t xml:space="preserve">%). </w:t>
      </w:r>
    </w:p>
    <w:p w:rsidR="00EF045E" w:rsidRDefault="003F472D" w:rsidP="00EF045E">
      <w:pPr>
        <w:spacing w:after="120"/>
        <w:rPr>
          <w:rFonts w:cstheme="minorHAnsi"/>
        </w:rPr>
      </w:pPr>
      <w:r w:rsidRPr="0092047B">
        <w:rPr>
          <w:rFonts w:cstheme="minorHAnsi"/>
        </w:rPr>
        <w:t>V souvislosti s energetickými úsporami a efektivitou zdrojů je proto více vypovídající rozdíl (případně poměr) primárních energetických zdrojů a hrubé konečné spotřeby. Tento poměr ve sledovaném horizontu klesá, což odpovídá zvyšující se energetické účinnosti daného palivového mixu a účinnosti přeměny energie v konkrétních elektrárnách.</w:t>
      </w:r>
      <w:bookmarkStart w:id="892" w:name="_Toc367279696"/>
      <w:bookmarkStart w:id="893" w:name="_Toc367280245"/>
      <w:bookmarkStart w:id="894" w:name="_Toc370121883"/>
    </w:p>
    <w:p w:rsidR="00EF045E" w:rsidRDefault="00EF045E">
      <w:pPr>
        <w:spacing w:after="0"/>
        <w:jc w:val="left"/>
        <w:rPr>
          <w:rFonts w:cstheme="minorHAnsi"/>
        </w:rPr>
      </w:pPr>
      <w:r>
        <w:rPr>
          <w:rFonts w:cstheme="minorHAnsi"/>
        </w:rPr>
        <w:br w:type="page"/>
      </w:r>
    </w:p>
    <w:p w:rsidR="003F472D" w:rsidRPr="0092047B" w:rsidRDefault="003F472D" w:rsidP="00184DC1">
      <w:pPr>
        <w:pStyle w:val="Nadpis3"/>
      </w:pPr>
      <w:bookmarkStart w:id="895" w:name="_Toc387757703"/>
      <w:bookmarkStart w:id="896" w:name="_Toc396923418"/>
      <w:r w:rsidRPr="0092047B">
        <w:t>Vývoj a struktura OZE na primárních energetických zdrojích</w:t>
      </w:r>
      <w:bookmarkEnd w:id="892"/>
      <w:bookmarkEnd w:id="893"/>
      <w:bookmarkEnd w:id="894"/>
      <w:bookmarkEnd w:id="895"/>
      <w:bookmarkEnd w:id="896"/>
    </w:p>
    <w:p w:rsidR="003F472D" w:rsidRPr="0092047B" w:rsidRDefault="003F472D" w:rsidP="00184DC1">
      <w:pPr>
        <w:pStyle w:val="Titulek"/>
        <w:keepNext/>
        <w:spacing w:before="240" w:after="120"/>
      </w:pPr>
      <w:bookmarkStart w:id="897" w:name="_Toc387757563"/>
      <w:bookmarkStart w:id="898" w:name="_Toc396923164"/>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5</w:t>
      </w:r>
      <w:r w:rsidRPr="0092047B">
        <w:rPr>
          <w:b/>
        </w:rPr>
        <w:fldChar w:fldCharType="end"/>
      </w:r>
      <w:r w:rsidRPr="0092047B">
        <w:rPr>
          <w:b/>
        </w:rPr>
        <w:t>:</w:t>
      </w:r>
      <w:r w:rsidRPr="0092047B">
        <w:t xml:space="preserve"> Vývoj a struktura OZE na primárních energetických zdrojích</w:t>
      </w:r>
      <w:bookmarkEnd w:id="897"/>
      <w:bookmarkEnd w:id="898"/>
    </w:p>
    <w:tbl>
      <w:tblPr>
        <w:tblW w:w="9214" w:type="dxa"/>
        <w:tblInd w:w="70" w:type="dxa"/>
        <w:tblCellMar>
          <w:left w:w="70" w:type="dxa"/>
          <w:right w:w="70" w:type="dxa"/>
        </w:tblCellMar>
        <w:tblLook w:val="04A0" w:firstRow="1" w:lastRow="0" w:firstColumn="1" w:lastColumn="0" w:noHBand="0" w:noVBand="1"/>
      </w:tblPr>
      <w:tblGrid>
        <w:gridCol w:w="3840"/>
        <w:gridCol w:w="413"/>
        <w:gridCol w:w="709"/>
        <w:gridCol w:w="709"/>
        <w:gridCol w:w="708"/>
        <w:gridCol w:w="709"/>
        <w:gridCol w:w="709"/>
        <w:gridCol w:w="709"/>
        <w:gridCol w:w="708"/>
      </w:tblGrid>
      <w:tr w:rsidR="003F472D" w:rsidRPr="0092047B" w:rsidTr="003F472D">
        <w:trPr>
          <w:trHeight w:val="255"/>
        </w:trPr>
        <w:tc>
          <w:tcPr>
            <w:tcW w:w="3840" w:type="dxa"/>
            <w:tcBorders>
              <w:top w:val="single" w:sz="4" w:space="0" w:color="auto"/>
              <w:left w:val="single" w:sz="4" w:space="0" w:color="auto"/>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Fonts w:cstheme="minorHAnsi"/>
                <w:b/>
              </w:rPr>
            </w:pPr>
            <w:r w:rsidRPr="0092047B">
              <w:rPr>
                <w:rFonts w:cstheme="minorHAnsi"/>
                <w:b/>
              </w:rPr>
              <w:t>Obnovitelné a druhotné zdroje energie</w:t>
            </w:r>
          </w:p>
        </w:tc>
        <w:tc>
          <w:tcPr>
            <w:tcW w:w="413"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 </w:t>
            </w:r>
          </w:p>
        </w:tc>
        <w:tc>
          <w:tcPr>
            <w:tcW w:w="709"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2010</w:t>
            </w:r>
          </w:p>
        </w:tc>
        <w:tc>
          <w:tcPr>
            <w:tcW w:w="709"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2015</w:t>
            </w:r>
          </w:p>
        </w:tc>
        <w:tc>
          <w:tcPr>
            <w:tcW w:w="708"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2020</w:t>
            </w:r>
          </w:p>
        </w:tc>
        <w:tc>
          <w:tcPr>
            <w:tcW w:w="709"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2025</w:t>
            </w:r>
          </w:p>
        </w:tc>
        <w:tc>
          <w:tcPr>
            <w:tcW w:w="709"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2030</w:t>
            </w:r>
          </w:p>
        </w:tc>
        <w:tc>
          <w:tcPr>
            <w:tcW w:w="709"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2035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F472D" w:rsidRPr="0092047B" w:rsidRDefault="003F472D" w:rsidP="00184DC1">
            <w:pPr>
              <w:pStyle w:val="Bezmezer"/>
              <w:rPr>
                <w:rFonts w:cstheme="minorHAnsi"/>
                <w:b/>
              </w:rPr>
            </w:pPr>
            <w:r w:rsidRPr="0092047B">
              <w:rPr>
                <w:rFonts w:cstheme="minorHAnsi"/>
                <w:b/>
              </w:rPr>
              <w:t>2040</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Biomasa</w:t>
            </w:r>
          </w:p>
        </w:tc>
        <w:tc>
          <w:tcPr>
            <w:tcW w:w="413" w:type="dxa"/>
            <w:tcBorders>
              <w:top w:val="single" w:sz="4" w:space="0" w:color="FFFFFF"/>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single" w:sz="4" w:space="0" w:color="A6A6A6"/>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82,7</w:t>
            </w:r>
          </w:p>
        </w:tc>
        <w:tc>
          <w:tcPr>
            <w:tcW w:w="709" w:type="dxa"/>
            <w:tcBorders>
              <w:top w:val="single" w:sz="4" w:space="0" w:color="A6A6A6"/>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92,7</w:t>
            </w:r>
          </w:p>
        </w:tc>
        <w:tc>
          <w:tcPr>
            <w:tcW w:w="708" w:type="dxa"/>
            <w:tcBorders>
              <w:top w:val="single" w:sz="4" w:space="0" w:color="A6A6A6"/>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104,7</w:t>
            </w:r>
          </w:p>
        </w:tc>
        <w:tc>
          <w:tcPr>
            <w:tcW w:w="709" w:type="dxa"/>
            <w:tcBorders>
              <w:top w:val="single" w:sz="4" w:space="0" w:color="A6A6A6"/>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116,6</w:t>
            </w:r>
          </w:p>
        </w:tc>
        <w:tc>
          <w:tcPr>
            <w:tcW w:w="709" w:type="dxa"/>
            <w:tcBorders>
              <w:top w:val="single" w:sz="4" w:space="0" w:color="A6A6A6"/>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130,4</w:t>
            </w:r>
          </w:p>
        </w:tc>
        <w:tc>
          <w:tcPr>
            <w:tcW w:w="709" w:type="dxa"/>
            <w:tcBorders>
              <w:top w:val="single" w:sz="4" w:space="0" w:color="A6A6A6"/>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144,6</w:t>
            </w:r>
          </w:p>
        </w:tc>
        <w:tc>
          <w:tcPr>
            <w:tcW w:w="708" w:type="dxa"/>
            <w:tcBorders>
              <w:top w:val="single" w:sz="4" w:space="0" w:color="A6A6A6"/>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159,9</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Bioplyn</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7,4</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22,1</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27,1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28,8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31,1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33,5</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35,9</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Biologicky rozložitelná část TKO</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2,6</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3,3</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4,7</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9,9</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13,3</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13,3</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13,3</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Biologicky rozložitelná část PRO a ATP</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Biopaliva</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18,3</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28,1</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28,1</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Vodní elektrárny</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8,9</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9,1</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9,1</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9,1</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Větrné elektrárny</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1,2</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2,3</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3,6</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4,8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5,8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7,0</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8,2</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Fotovoltaické elektrárny</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2,2</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8,2</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8,7</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12,8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12,8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17,0</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21,2</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Geotermální energie</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0,0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0,0</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0,7</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1,0</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1,2</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1,7</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2,5</w:t>
            </w:r>
          </w:p>
        </w:tc>
      </w:tr>
      <w:tr w:rsidR="004C4F4A" w:rsidRPr="0092047B" w:rsidTr="003F472D">
        <w:trPr>
          <w:trHeight w:val="255"/>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Tepelná čerpadla</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1,8</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3,7</w:t>
            </w:r>
          </w:p>
        </w:tc>
        <w:tc>
          <w:tcPr>
            <w:tcW w:w="708"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6,6</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8,9</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11,2</w:t>
            </w:r>
          </w:p>
        </w:tc>
        <w:tc>
          <w:tcPr>
            <w:tcW w:w="709" w:type="dxa"/>
            <w:tcBorders>
              <w:top w:val="nil"/>
              <w:left w:val="nil"/>
              <w:bottom w:val="single" w:sz="4" w:space="0" w:color="A6A6A6"/>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13,4</w:t>
            </w:r>
          </w:p>
        </w:tc>
        <w:tc>
          <w:tcPr>
            <w:tcW w:w="708" w:type="dxa"/>
            <w:tcBorders>
              <w:top w:val="nil"/>
              <w:left w:val="nil"/>
              <w:bottom w:val="single" w:sz="4" w:space="0" w:color="A6A6A6"/>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15,7</w:t>
            </w:r>
          </w:p>
        </w:tc>
      </w:tr>
      <w:tr w:rsidR="004C4F4A" w:rsidRPr="0092047B" w:rsidTr="003F472D">
        <w:trPr>
          <w:trHeight w:val="270"/>
        </w:trPr>
        <w:tc>
          <w:tcPr>
            <w:tcW w:w="3840" w:type="dxa"/>
            <w:tcBorders>
              <w:top w:val="nil"/>
              <w:left w:val="single" w:sz="4" w:space="0" w:color="auto"/>
              <w:bottom w:val="single" w:sz="4" w:space="0" w:color="FFFFFF"/>
              <w:right w:val="single" w:sz="4" w:space="0" w:color="FFFFFF"/>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Solární kolektory</w:t>
            </w:r>
          </w:p>
        </w:tc>
        <w:tc>
          <w:tcPr>
            <w:tcW w:w="413" w:type="dxa"/>
            <w:tcBorders>
              <w:top w:val="nil"/>
              <w:left w:val="nil"/>
              <w:bottom w:val="single" w:sz="4" w:space="0" w:color="FFFFFF"/>
              <w:right w:val="single" w:sz="4" w:space="0" w:color="auto"/>
            </w:tcBorders>
            <w:shd w:val="clear" w:color="auto" w:fill="auto"/>
            <w:noWrap/>
            <w:vAlign w:val="bottom"/>
            <w:hideMark/>
          </w:tcPr>
          <w:p w:rsidR="004C4F4A" w:rsidRPr="0092047B" w:rsidRDefault="004C4F4A" w:rsidP="00184DC1">
            <w:pPr>
              <w:pStyle w:val="Bezmezer"/>
              <w:rPr>
                <w:rFonts w:cstheme="minorHAnsi"/>
              </w:rPr>
            </w:pPr>
            <w:r w:rsidRPr="0092047B">
              <w:rPr>
                <w:rFonts w:cstheme="minorHAnsi"/>
              </w:rPr>
              <w:t>PJ</w:t>
            </w:r>
          </w:p>
        </w:tc>
        <w:tc>
          <w:tcPr>
            <w:tcW w:w="709" w:type="dxa"/>
            <w:tcBorders>
              <w:top w:val="nil"/>
              <w:left w:val="nil"/>
              <w:bottom w:val="double" w:sz="6" w:space="0" w:color="808080"/>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0,4</w:t>
            </w:r>
          </w:p>
        </w:tc>
        <w:tc>
          <w:tcPr>
            <w:tcW w:w="709" w:type="dxa"/>
            <w:tcBorders>
              <w:top w:val="nil"/>
              <w:left w:val="nil"/>
              <w:bottom w:val="double" w:sz="6" w:space="0" w:color="808080"/>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0,8</w:t>
            </w:r>
          </w:p>
        </w:tc>
        <w:tc>
          <w:tcPr>
            <w:tcW w:w="708" w:type="dxa"/>
            <w:tcBorders>
              <w:top w:val="nil"/>
              <w:left w:val="nil"/>
              <w:bottom w:val="double" w:sz="6" w:space="0" w:color="808080"/>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1,4</w:t>
            </w:r>
          </w:p>
        </w:tc>
        <w:tc>
          <w:tcPr>
            <w:tcW w:w="709" w:type="dxa"/>
            <w:tcBorders>
              <w:top w:val="nil"/>
              <w:left w:val="nil"/>
              <w:bottom w:val="double" w:sz="6" w:space="0" w:color="808080"/>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3,0</w:t>
            </w:r>
          </w:p>
        </w:tc>
        <w:tc>
          <w:tcPr>
            <w:tcW w:w="709" w:type="dxa"/>
            <w:tcBorders>
              <w:top w:val="nil"/>
              <w:left w:val="nil"/>
              <w:bottom w:val="double" w:sz="6" w:space="0" w:color="808080"/>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3,5</w:t>
            </w:r>
          </w:p>
        </w:tc>
        <w:tc>
          <w:tcPr>
            <w:tcW w:w="709" w:type="dxa"/>
            <w:tcBorders>
              <w:top w:val="nil"/>
              <w:left w:val="nil"/>
              <w:bottom w:val="double" w:sz="6" w:space="0" w:color="808080"/>
              <w:right w:val="single" w:sz="4" w:space="0" w:color="FFFFFF"/>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5,0</w:t>
            </w:r>
          </w:p>
        </w:tc>
        <w:tc>
          <w:tcPr>
            <w:tcW w:w="708" w:type="dxa"/>
            <w:tcBorders>
              <w:top w:val="nil"/>
              <w:left w:val="nil"/>
              <w:bottom w:val="double" w:sz="6" w:space="0" w:color="808080"/>
              <w:right w:val="single" w:sz="4" w:space="0" w:color="auto"/>
            </w:tcBorders>
            <w:shd w:val="clear" w:color="auto" w:fill="auto"/>
            <w:noWrap/>
            <w:vAlign w:val="bottom"/>
            <w:hideMark/>
          </w:tcPr>
          <w:p w:rsidR="004C4F4A" w:rsidRDefault="004C4F4A" w:rsidP="00184DC1">
            <w:pPr>
              <w:spacing w:after="0"/>
              <w:jc w:val="right"/>
              <w:rPr>
                <w:rFonts w:ascii="Arial" w:hAnsi="Arial" w:cs="Arial"/>
                <w:color w:val="000000"/>
                <w:sz w:val="20"/>
                <w:szCs w:val="20"/>
              </w:rPr>
            </w:pPr>
            <w:r>
              <w:rPr>
                <w:rFonts w:ascii="Arial" w:hAnsi="Arial" w:cs="Arial"/>
                <w:color w:val="000000"/>
                <w:sz w:val="20"/>
                <w:szCs w:val="20"/>
              </w:rPr>
              <w:t>5,0</w:t>
            </w:r>
          </w:p>
        </w:tc>
      </w:tr>
      <w:tr w:rsidR="004C4F4A" w:rsidRPr="0092047B" w:rsidTr="003F472D">
        <w:trPr>
          <w:trHeight w:val="270"/>
        </w:trPr>
        <w:tc>
          <w:tcPr>
            <w:tcW w:w="3840" w:type="dxa"/>
            <w:tcBorders>
              <w:top w:val="nil"/>
              <w:left w:val="single" w:sz="4" w:space="0" w:color="auto"/>
              <w:bottom w:val="single" w:sz="4" w:space="0" w:color="auto"/>
              <w:right w:val="single" w:sz="4" w:space="0" w:color="FFFFFF"/>
            </w:tcBorders>
            <w:shd w:val="clear" w:color="auto" w:fill="auto"/>
            <w:noWrap/>
            <w:vAlign w:val="bottom"/>
            <w:hideMark/>
          </w:tcPr>
          <w:p w:rsidR="004C4F4A" w:rsidRPr="0092047B" w:rsidRDefault="004C4F4A" w:rsidP="00184DC1">
            <w:pPr>
              <w:pStyle w:val="Bezmezer"/>
              <w:rPr>
                <w:rFonts w:cstheme="minorHAnsi"/>
                <w:b/>
              </w:rPr>
            </w:pPr>
            <w:r>
              <w:rPr>
                <w:rFonts w:cstheme="minorHAnsi"/>
                <w:b/>
              </w:rPr>
              <w:t>Celkem</w:t>
            </w:r>
          </w:p>
        </w:tc>
        <w:tc>
          <w:tcPr>
            <w:tcW w:w="413" w:type="dxa"/>
            <w:tcBorders>
              <w:top w:val="nil"/>
              <w:left w:val="nil"/>
              <w:bottom w:val="single" w:sz="4" w:space="0" w:color="auto"/>
              <w:right w:val="single" w:sz="4" w:space="0" w:color="auto"/>
            </w:tcBorders>
            <w:shd w:val="clear" w:color="auto" w:fill="auto"/>
            <w:noWrap/>
            <w:vAlign w:val="bottom"/>
            <w:hideMark/>
          </w:tcPr>
          <w:p w:rsidR="004C4F4A" w:rsidRPr="0092047B" w:rsidRDefault="004C4F4A" w:rsidP="00184DC1">
            <w:pPr>
              <w:pStyle w:val="Bezmezer"/>
              <w:rPr>
                <w:rFonts w:cstheme="minorHAnsi"/>
                <w:b/>
              </w:rPr>
            </w:pPr>
            <w:r w:rsidRPr="0092047B">
              <w:rPr>
                <w:rFonts w:cstheme="minorHAnsi"/>
                <w:b/>
              </w:rPr>
              <w:t>PJ</w:t>
            </w:r>
          </w:p>
        </w:tc>
        <w:tc>
          <w:tcPr>
            <w:tcW w:w="709" w:type="dxa"/>
            <w:tcBorders>
              <w:top w:val="nil"/>
              <w:left w:val="nil"/>
              <w:bottom w:val="single" w:sz="4" w:space="0" w:color="auto"/>
              <w:right w:val="single" w:sz="4" w:space="0" w:color="FFFFFF"/>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119,1</w:t>
            </w:r>
          </w:p>
        </w:tc>
        <w:tc>
          <w:tcPr>
            <w:tcW w:w="709" w:type="dxa"/>
            <w:tcBorders>
              <w:top w:val="nil"/>
              <w:left w:val="nil"/>
              <w:bottom w:val="single" w:sz="4" w:space="0" w:color="auto"/>
              <w:right w:val="single" w:sz="4" w:space="0" w:color="FFFFFF"/>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161,4</w:t>
            </w:r>
          </w:p>
        </w:tc>
        <w:tc>
          <w:tcPr>
            <w:tcW w:w="708" w:type="dxa"/>
            <w:tcBorders>
              <w:top w:val="nil"/>
              <w:left w:val="nil"/>
              <w:bottom w:val="single" w:sz="4" w:space="0" w:color="auto"/>
              <w:right w:val="single" w:sz="4" w:space="0" w:color="FFFFFF"/>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195,6</w:t>
            </w:r>
          </w:p>
        </w:tc>
        <w:tc>
          <w:tcPr>
            <w:tcW w:w="709" w:type="dxa"/>
            <w:tcBorders>
              <w:top w:val="nil"/>
              <w:left w:val="nil"/>
              <w:bottom w:val="single" w:sz="4" w:space="0" w:color="auto"/>
              <w:right w:val="single" w:sz="4" w:space="0" w:color="FFFFFF"/>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223,9</w:t>
            </w:r>
          </w:p>
        </w:tc>
        <w:tc>
          <w:tcPr>
            <w:tcW w:w="709" w:type="dxa"/>
            <w:tcBorders>
              <w:top w:val="nil"/>
              <w:left w:val="nil"/>
              <w:bottom w:val="single" w:sz="4" w:space="0" w:color="auto"/>
              <w:right w:val="single" w:sz="4" w:space="0" w:color="FFFFFF"/>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247,5</w:t>
            </w:r>
          </w:p>
        </w:tc>
        <w:tc>
          <w:tcPr>
            <w:tcW w:w="709" w:type="dxa"/>
            <w:tcBorders>
              <w:top w:val="nil"/>
              <w:left w:val="nil"/>
              <w:bottom w:val="single" w:sz="4" w:space="0" w:color="auto"/>
              <w:right w:val="single" w:sz="4" w:space="0" w:color="FFFFFF"/>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273,7</w:t>
            </w:r>
          </w:p>
        </w:tc>
        <w:tc>
          <w:tcPr>
            <w:tcW w:w="708" w:type="dxa"/>
            <w:tcBorders>
              <w:top w:val="nil"/>
              <w:left w:val="nil"/>
              <w:bottom w:val="single" w:sz="4" w:space="0" w:color="auto"/>
              <w:right w:val="single" w:sz="4" w:space="0" w:color="auto"/>
            </w:tcBorders>
            <w:shd w:val="clear" w:color="auto" w:fill="auto"/>
            <w:noWrap/>
            <w:vAlign w:val="bottom"/>
            <w:hideMark/>
          </w:tcPr>
          <w:p w:rsidR="004C4F4A" w:rsidRDefault="004C4F4A" w:rsidP="00184DC1">
            <w:pPr>
              <w:spacing w:after="0"/>
              <w:jc w:val="right"/>
              <w:rPr>
                <w:rFonts w:ascii="Arial" w:hAnsi="Arial" w:cs="Arial"/>
                <w:b/>
                <w:bCs/>
                <w:color w:val="000000"/>
                <w:sz w:val="20"/>
                <w:szCs w:val="20"/>
              </w:rPr>
            </w:pPr>
            <w:r>
              <w:rPr>
                <w:rFonts w:ascii="Arial" w:hAnsi="Arial" w:cs="Arial"/>
                <w:b/>
                <w:bCs/>
                <w:color w:val="000000"/>
                <w:sz w:val="20"/>
                <w:szCs w:val="20"/>
              </w:rPr>
              <w:t>299,8</w:t>
            </w:r>
          </w:p>
        </w:tc>
      </w:tr>
      <w:tr w:rsidR="003F472D" w:rsidRPr="0092047B" w:rsidTr="003F472D">
        <w:trPr>
          <w:trHeight w:val="270"/>
        </w:trPr>
        <w:tc>
          <w:tcPr>
            <w:tcW w:w="9214" w:type="dxa"/>
            <w:gridSpan w:val="9"/>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3F472D" w:rsidRPr="0092047B" w:rsidRDefault="003F472D" w:rsidP="00184DC1">
            <w:pPr>
              <w:spacing w:before="120" w:after="0"/>
              <w:rPr>
                <w:rFonts w:ascii="Arial" w:hAnsi="Arial" w:cs="Arial"/>
                <w:b/>
                <w:bCs/>
                <w:i/>
                <w:color w:val="000000"/>
                <w:sz w:val="20"/>
                <w:szCs w:val="20"/>
              </w:rPr>
            </w:pPr>
            <w:r w:rsidRPr="0092047B">
              <w:rPr>
                <w:rFonts w:cstheme="minorHAnsi"/>
                <w:i/>
                <w:sz w:val="18"/>
                <w:szCs w:val="18"/>
              </w:rPr>
              <w:t>Pozn.</w:t>
            </w:r>
            <w:r w:rsidR="003B7BFC">
              <w:rPr>
                <w:rFonts w:cstheme="minorHAnsi"/>
                <w:i/>
                <w:sz w:val="18"/>
                <w:szCs w:val="18"/>
              </w:rPr>
              <w:t>:</w:t>
            </w:r>
            <w:r w:rsidRPr="0092047B">
              <w:rPr>
                <w:rFonts w:cstheme="minorHAnsi"/>
                <w:i/>
                <w:sz w:val="18"/>
                <w:szCs w:val="18"/>
              </w:rPr>
              <w:t xml:space="preserve"> TKO – tuhý komunální odpad, PRO – průmyslové odpady, ATP – alternativní paliva</w:t>
            </w:r>
          </w:p>
        </w:tc>
      </w:tr>
    </w:tbl>
    <w:p w:rsidR="00235C7B" w:rsidRDefault="00235C7B" w:rsidP="00184DC1">
      <w:pPr>
        <w:pStyle w:val="Titulek"/>
        <w:keepNext/>
        <w:spacing w:before="240" w:after="120"/>
        <w:jc w:val="left"/>
      </w:pPr>
      <w:bookmarkStart w:id="899" w:name="_Toc396923124"/>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8</w:t>
      </w:r>
      <w:r w:rsidRPr="00235C7B">
        <w:rPr>
          <w:b/>
        </w:rPr>
        <w:fldChar w:fldCharType="end"/>
      </w:r>
      <w:r w:rsidRPr="00235C7B">
        <w:rPr>
          <w:b/>
        </w:rPr>
        <w:t>:</w:t>
      </w:r>
      <w:r>
        <w:t xml:space="preserve"> </w:t>
      </w:r>
      <w:r w:rsidRPr="0092047B">
        <w:t>Vývoj a struktura OZE na primárních energetických zdrojích</w:t>
      </w:r>
      <w:bookmarkEnd w:id="899"/>
    </w:p>
    <w:p w:rsidR="003F472D" w:rsidRPr="0092047B" w:rsidRDefault="003F472D" w:rsidP="00184DC1">
      <w:pPr>
        <w:spacing w:before="120"/>
        <w:jc w:val="center"/>
        <w:rPr>
          <w:rFonts w:cstheme="minorHAnsi"/>
        </w:rPr>
      </w:pPr>
      <w:r w:rsidRPr="0092047B">
        <w:rPr>
          <w:rFonts w:cstheme="minorHAnsi"/>
          <w:noProof/>
        </w:rPr>
        <w:drawing>
          <wp:inline distT="0" distB="0" distL="0" distR="0" wp14:anchorId="60DCBD88" wp14:editId="0F600717">
            <wp:extent cx="5760000" cy="3780000"/>
            <wp:effectExtent l="0" t="0" r="12700" b="1143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0DEC" w:rsidRDefault="00F40DEC" w:rsidP="00184DC1">
      <w:pPr>
        <w:spacing w:after="0"/>
        <w:jc w:val="left"/>
        <w:rPr>
          <w:rFonts w:cstheme="minorHAnsi"/>
        </w:rPr>
      </w:pPr>
      <w:r>
        <w:rPr>
          <w:rFonts w:cstheme="minorHAnsi"/>
        </w:rPr>
        <w:br w:type="page"/>
      </w:r>
    </w:p>
    <w:p w:rsidR="003F472D" w:rsidRPr="0092047B" w:rsidRDefault="003F472D" w:rsidP="00EF045E">
      <w:pPr>
        <w:spacing w:after="120"/>
        <w:rPr>
          <w:rFonts w:cstheme="minorHAnsi"/>
        </w:rPr>
      </w:pPr>
      <w:r w:rsidRPr="0092047B">
        <w:rPr>
          <w:rFonts w:cstheme="minorHAnsi"/>
        </w:rPr>
        <w:t xml:space="preserve">Celková výše obnovitelných zdrojů energie má ve sledovaném období trvale vzestupný charakter. Tento trend odráží jednak snahu o nejvyšší možné využití tohoto tuzemského energetického zdroje za předpokladu jeho ekonomické návratnosti, ale zároveň také snahu o nejnižší možné dopady do rozpočtu státu i jeho obyvatel. Rozvoj v této oblasti tak bude realizován hlavně z důvodu postupného zvyšování konkurenceschopnosti oproti konvenčním zdrojům energie. </w:t>
      </w:r>
    </w:p>
    <w:p w:rsidR="003F472D" w:rsidRPr="0092047B" w:rsidRDefault="003F472D" w:rsidP="00EF045E">
      <w:pPr>
        <w:spacing w:after="120"/>
        <w:rPr>
          <w:rFonts w:cstheme="minorHAnsi"/>
        </w:rPr>
      </w:pPr>
      <w:r w:rsidRPr="0092047B">
        <w:rPr>
          <w:rFonts w:cstheme="minorHAnsi"/>
        </w:rPr>
        <w:t xml:space="preserve">Zdrojem s největším potenciálem rozvoje i do budoucna zůstává biomasa, a to zejména cíleně pěstovaná, u které se předpokládá postupné využití </w:t>
      </w:r>
      <w:r w:rsidRPr="0092047B">
        <w:t>maxima dostupných zdrojů při zachování všech omezení, kupříkladu potravinové bezpečnosti</w:t>
      </w:r>
      <w:r w:rsidRPr="0092047B">
        <w:rPr>
          <w:rFonts w:cstheme="minorHAnsi"/>
        </w:rPr>
        <w:t xml:space="preserve">. Celkový potenciál je uvažován v souladu s Akčním plánem pro biomasu (APB). Pro využití je konzervativně volena spodní hranice rozpětí udávaného APB s tím, že v případě dosažení horní hranice bychom se pohybovali v horní části koridoru pro podíl OZE předpokládaném touto koncepcí. </w:t>
      </w:r>
    </w:p>
    <w:p w:rsidR="003F472D" w:rsidRPr="0092047B" w:rsidRDefault="003F472D" w:rsidP="00EF045E">
      <w:pPr>
        <w:spacing w:after="120"/>
        <w:rPr>
          <w:rFonts w:cstheme="minorHAnsi"/>
        </w:rPr>
      </w:pPr>
      <w:r w:rsidRPr="0092047B">
        <w:rPr>
          <w:rFonts w:cstheme="minorHAnsi"/>
        </w:rPr>
        <w:t>U ostatních zdrojů je markantní opětovný růst fotovoltaiky po roce 2025 v návaznosti na dosažení její plné konkurenceschopnosti, při započtení významného objemu akumulace. Mezi roky 2025 až 2030 však přitom nedochází na základě předpokladů k absolutnímu růstu instalovaného výkonu v oblasti fotovoltaiky (viz</w:t>
      </w:r>
      <w:r w:rsidR="005876DC">
        <w:rPr>
          <w:rFonts w:cstheme="minorHAnsi"/>
        </w:rPr>
        <w:t xml:space="preserve"> </w:t>
      </w:r>
      <w:r w:rsidR="005876DC" w:rsidRPr="005876DC">
        <w:fldChar w:fldCharType="begin"/>
      </w:r>
      <w:r w:rsidR="005876DC" w:rsidRPr="005876DC">
        <w:rPr>
          <w:rFonts w:cstheme="minorHAnsi"/>
        </w:rPr>
        <w:instrText xml:space="preserve"> REF _Ref391888689 \h </w:instrText>
      </w:r>
      <w:r w:rsidR="005876DC" w:rsidRPr="005876DC">
        <w:instrText xml:space="preserve"> \* MERGEFORMAT </w:instrText>
      </w:r>
      <w:r w:rsidR="005876DC" w:rsidRPr="005876DC">
        <w:fldChar w:fldCharType="separate"/>
      </w:r>
      <w:r w:rsidR="0096423F" w:rsidRPr="0096423F">
        <w:t xml:space="preserve">Graf č. </w:t>
      </w:r>
      <w:r w:rsidR="0096423F" w:rsidRPr="0096423F">
        <w:rPr>
          <w:noProof/>
        </w:rPr>
        <w:t>11</w:t>
      </w:r>
      <w:r w:rsidR="005876DC" w:rsidRPr="005876DC">
        <w:fldChar w:fldCharType="end"/>
      </w:r>
      <w:r w:rsidRPr="0092047B">
        <w:rPr>
          <w:rFonts w:cstheme="minorHAnsi"/>
        </w:rPr>
        <w:t>), protože nově vystavené zdroje v tomto období nahrazují již plně odepsané fotovoltaické elektrárny</w:t>
      </w:r>
      <w:r w:rsidR="008766FF">
        <w:rPr>
          <w:rFonts w:cstheme="minorHAnsi"/>
        </w:rPr>
        <w:t xml:space="preserve"> (FVE)</w:t>
      </w:r>
      <w:r w:rsidRPr="0092047B">
        <w:rPr>
          <w:rFonts w:cstheme="minorHAnsi"/>
        </w:rPr>
        <w:t>, které byly instalovány dříve. Do roku 2030 pak dochází k obnově stávající základny a v návaznosti na to pokračuje trend rostoucí výroby elektřiny v oblasti fotovoltaiky. V souvislosti s tím se předpokládá využití výhradně na střechách a jiných pevných konstrukcích budov, a to v rozsahu, v jakém to nevylučují důvody ochrany památek a jiná technická omezení. Očekávaný výkon FVE znamená využití nadpoloviční většiny dostupné plochy střech na rodinných domcích (&gt; 50%) i průmyslových objektech (&gt; 70%). Nepočítá se s</w:t>
      </w:r>
      <w:r w:rsidR="007F3F0D" w:rsidRPr="0092047B">
        <w:rPr>
          <w:rFonts w:cstheme="minorHAnsi"/>
        </w:rPr>
        <w:t xml:space="preserve"> rozšířením </w:t>
      </w:r>
      <w:r w:rsidRPr="0092047B">
        <w:rPr>
          <w:rFonts w:cstheme="minorHAnsi"/>
        </w:rPr>
        <w:t>využitím FVE na zemědělské půdě</w:t>
      </w:r>
      <w:r w:rsidR="00E56201" w:rsidRPr="0092047B">
        <w:rPr>
          <w:rFonts w:cstheme="minorHAnsi"/>
        </w:rPr>
        <w:t>,</w:t>
      </w:r>
      <w:r w:rsidR="007F3F0D" w:rsidRPr="0092047B">
        <w:rPr>
          <w:rFonts w:cstheme="minorHAnsi"/>
        </w:rPr>
        <w:t xml:space="preserve"> ale naopak k navrácení zemědělských ploch v případech, kdy bylo vyjmutí ze zemědělského půdního fondu pouze dočasné</w:t>
      </w:r>
      <w:r w:rsidRPr="0092047B">
        <w:rPr>
          <w:rFonts w:cstheme="minorHAnsi"/>
        </w:rPr>
        <w:t xml:space="preserve">. </w:t>
      </w:r>
    </w:p>
    <w:p w:rsidR="00F40DEC" w:rsidRDefault="003F472D" w:rsidP="00EF045E">
      <w:pPr>
        <w:spacing w:after="120"/>
        <w:rPr>
          <w:rFonts w:cstheme="minorHAnsi"/>
        </w:rPr>
      </w:pPr>
      <w:r w:rsidRPr="0092047B">
        <w:rPr>
          <w:rFonts w:cstheme="minorHAnsi"/>
        </w:rPr>
        <w:t xml:space="preserve">Postupný nárůst produkce je také významný u využívání odpadů s předpokladem využití </w:t>
      </w:r>
      <w:r w:rsidR="006F2313">
        <w:rPr>
          <w:rFonts w:cstheme="minorHAnsi"/>
        </w:rPr>
        <w:t>100</w:t>
      </w:r>
      <w:r w:rsidRPr="0092047B">
        <w:rPr>
          <w:rFonts w:cstheme="minorHAnsi"/>
        </w:rPr>
        <w:t> % spalitelné složky odpadu nevhodného pro recyklaci. U větrné energie se předpokládá postupné plné využití potenciálu, respektující všechny faktické omezující podmínky včetně ochrany krajinného rázu. Významnou položku tvoří též využívání tepelné energie prostředí (tepelná čerpadla).</w:t>
      </w:r>
    </w:p>
    <w:p w:rsidR="00F40DEC" w:rsidRDefault="00F40DEC" w:rsidP="00184DC1">
      <w:pPr>
        <w:spacing w:after="0"/>
        <w:jc w:val="left"/>
        <w:rPr>
          <w:rFonts w:cstheme="minorHAnsi"/>
        </w:rPr>
      </w:pPr>
      <w:r>
        <w:rPr>
          <w:rFonts w:cstheme="minorHAnsi"/>
        </w:rPr>
        <w:br w:type="page"/>
      </w:r>
    </w:p>
    <w:p w:rsidR="003F472D" w:rsidRPr="0092047B" w:rsidRDefault="003F472D" w:rsidP="00184DC1">
      <w:pPr>
        <w:rPr>
          <w:rFonts w:cstheme="minorHAnsi"/>
        </w:rPr>
      </w:pPr>
    </w:p>
    <w:p w:rsidR="003F472D" w:rsidRPr="0092047B" w:rsidRDefault="003F472D" w:rsidP="00184DC1">
      <w:pPr>
        <w:pStyle w:val="Nadpis3"/>
      </w:pPr>
      <w:bookmarkStart w:id="900" w:name="_Toc367279697"/>
      <w:bookmarkStart w:id="901" w:name="_Toc367280246"/>
      <w:bookmarkStart w:id="902" w:name="_Toc370121884"/>
      <w:bookmarkStart w:id="903" w:name="_Toc387757707"/>
      <w:bookmarkStart w:id="904" w:name="_Toc396923419"/>
      <w:r w:rsidRPr="0092047B">
        <w:t>Primární energetické zdroje vs. konečná spotřeba</w:t>
      </w:r>
      <w:bookmarkEnd w:id="900"/>
      <w:bookmarkEnd w:id="901"/>
      <w:bookmarkEnd w:id="902"/>
      <w:r w:rsidRPr="0092047B">
        <w:t xml:space="preserve"> energie</w:t>
      </w:r>
      <w:bookmarkEnd w:id="903"/>
      <w:bookmarkEnd w:id="904"/>
    </w:p>
    <w:p w:rsidR="003F472D" w:rsidRDefault="003F472D" w:rsidP="00184DC1">
      <w:pPr>
        <w:pStyle w:val="Titulek"/>
        <w:keepNext/>
        <w:spacing w:before="240" w:after="120"/>
      </w:pPr>
      <w:bookmarkStart w:id="905" w:name="_Toc387757567"/>
      <w:bookmarkStart w:id="906" w:name="_Toc396923165"/>
      <w:r w:rsidRPr="00CF418C">
        <w:rPr>
          <w:b/>
        </w:rPr>
        <w:t xml:space="preserve">Tabulka č. </w:t>
      </w:r>
      <w:r w:rsidRPr="00CF418C">
        <w:rPr>
          <w:b/>
        </w:rPr>
        <w:fldChar w:fldCharType="begin"/>
      </w:r>
      <w:r w:rsidRPr="00CF418C">
        <w:rPr>
          <w:b/>
        </w:rPr>
        <w:instrText xml:space="preserve"> SEQ Tabulka_č. \* ARABIC </w:instrText>
      </w:r>
      <w:r w:rsidRPr="00CF418C">
        <w:rPr>
          <w:b/>
        </w:rPr>
        <w:fldChar w:fldCharType="separate"/>
      </w:r>
      <w:r w:rsidR="0096423F">
        <w:rPr>
          <w:b/>
          <w:noProof/>
        </w:rPr>
        <w:t>6</w:t>
      </w:r>
      <w:r w:rsidRPr="00CF418C">
        <w:rPr>
          <w:b/>
        </w:rPr>
        <w:fldChar w:fldCharType="end"/>
      </w:r>
      <w:r w:rsidRPr="00CF418C">
        <w:rPr>
          <w:b/>
        </w:rPr>
        <w:t>:</w:t>
      </w:r>
      <w:r w:rsidRPr="00CF418C">
        <w:t xml:space="preserve"> Primární energetické zdroje vs. konečná spotřeba energie</w:t>
      </w:r>
      <w:bookmarkEnd w:id="905"/>
      <w:bookmarkEnd w:id="906"/>
    </w:p>
    <w:tbl>
      <w:tblPr>
        <w:tblpPr w:leftFromText="141" w:rightFromText="141" w:vertAnchor="text" w:horzAnchor="margin" w:tblpY="73"/>
        <w:tblW w:w="5000" w:type="pct"/>
        <w:tblCellMar>
          <w:left w:w="70" w:type="dxa"/>
          <w:right w:w="70" w:type="dxa"/>
        </w:tblCellMar>
        <w:tblLook w:val="04A0" w:firstRow="1" w:lastRow="0" w:firstColumn="1" w:lastColumn="0" w:noHBand="0" w:noVBand="1"/>
      </w:tblPr>
      <w:tblGrid>
        <w:gridCol w:w="2614"/>
        <w:gridCol w:w="540"/>
        <w:gridCol w:w="812"/>
        <w:gridCol w:w="918"/>
        <w:gridCol w:w="846"/>
        <w:gridCol w:w="906"/>
        <w:gridCol w:w="812"/>
        <w:gridCol w:w="918"/>
        <w:gridCol w:w="846"/>
      </w:tblGrid>
      <w:tr w:rsidR="00F40DEC" w:rsidRPr="0092047B" w:rsidTr="00F40DEC">
        <w:trPr>
          <w:trHeight w:val="255"/>
        </w:trPr>
        <w:tc>
          <w:tcPr>
            <w:tcW w:w="1419" w:type="pct"/>
            <w:tcBorders>
              <w:top w:val="single" w:sz="4" w:space="0" w:color="000000"/>
              <w:left w:val="single" w:sz="4" w:space="0" w:color="000000"/>
              <w:bottom w:val="single" w:sz="4" w:space="0" w:color="auto"/>
              <w:right w:val="single" w:sz="4" w:space="0" w:color="FFFFFF"/>
            </w:tcBorders>
            <w:shd w:val="clear" w:color="auto" w:fill="auto"/>
            <w:noWrap/>
            <w:vAlign w:val="bottom"/>
            <w:hideMark/>
          </w:tcPr>
          <w:p w:rsidR="00F40DEC" w:rsidRPr="0092047B" w:rsidRDefault="00F40DEC" w:rsidP="00184DC1">
            <w:pPr>
              <w:pStyle w:val="Bezmezer"/>
              <w:rPr>
                <w:rFonts w:cstheme="minorHAnsi"/>
              </w:rPr>
            </w:pPr>
            <w:r w:rsidRPr="0092047B">
              <w:rPr>
                <w:rFonts w:cstheme="minorHAnsi"/>
              </w:rPr>
              <w:t> </w:t>
            </w:r>
          </w:p>
        </w:tc>
        <w:tc>
          <w:tcPr>
            <w:tcW w:w="293"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rPr>
                <w:rFonts w:cstheme="minorHAnsi"/>
              </w:rPr>
            </w:pPr>
            <w:r w:rsidRPr="0092047B">
              <w:rPr>
                <w:rFonts w:cstheme="minorHAnsi"/>
              </w:rPr>
              <w:t> </w:t>
            </w:r>
          </w:p>
        </w:tc>
        <w:tc>
          <w:tcPr>
            <w:tcW w:w="441"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2010</w:t>
            </w:r>
          </w:p>
        </w:tc>
        <w:tc>
          <w:tcPr>
            <w:tcW w:w="498"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2015</w:t>
            </w:r>
          </w:p>
        </w:tc>
        <w:tc>
          <w:tcPr>
            <w:tcW w:w="459"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2020</w:t>
            </w:r>
          </w:p>
        </w:tc>
        <w:tc>
          <w:tcPr>
            <w:tcW w:w="492"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2025</w:t>
            </w:r>
          </w:p>
        </w:tc>
        <w:tc>
          <w:tcPr>
            <w:tcW w:w="441"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2030</w:t>
            </w:r>
          </w:p>
        </w:tc>
        <w:tc>
          <w:tcPr>
            <w:tcW w:w="498" w:type="pct"/>
            <w:tcBorders>
              <w:top w:val="single" w:sz="4" w:space="0" w:color="000000"/>
              <w:left w:val="nil"/>
              <w:bottom w:val="single" w:sz="4" w:space="0" w:color="auto"/>
              <w:right w:val="single" w:sz="4" w:space="0" w:color="FFFFFF"/>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2035</w:t>
            </w:r>
          </w:p>
        </w:tc>
        <w:tc>
          <w:tcPr>
            <w:tcW w:w="459" w:type="pct"/>
            <w:tcBorders>
              <w:top w:val="single" w:sz="4" w:space="0" w:color="000000"/>
              <w:left w:val="nil"/>
              <w:bottom w:val="single" w:sz="4" w:space="0" w:color="auto"/>
              <w:right w:val="single" w:sz="4" w:space="0" w:color="000000"/>
            </w:tcBorders>
            <w:shd w:val="clear" w:color="auto" w:fill="auto"/>
            <w:noWrap/>
            <w:vAlign w:val="bottom"/>
            <w:hideMark/>
          </w:tcPr>
          <w:p w:rsidR="00F40DEC" w:rsidRPr="0092047B" w:rsidRDefault="00F40DEC" w:rsidP="00184DC1">
            <w:pPr>
              <w:pStyle w:val="Bezmezer"/>
              <w:jc w:val="center"/>
              <w:rPr>
                <w:rFonts w:cstheme="minorHAnsi"/>
                <w:b/>
              </w:rPr>
            </w:pPr>
            <w:r w:rsidRPr="0092047B">
              <w:rPr>
                <w:rFonts w:cstheme="minorHAnsi"/>
                <w:b/>
              </w:rPr>
              <w:t>2040</w:t>
            </w:r>
          </w:p>
        </w:tc>
      </w:tr>
      <w:tr w:rsidR="00F40DEC" w:rsidRPr="0092047B" w:rsidTr="00F40DEC">
        <w:trPr>
          <w:trHeight w:val="255"/>
        </w:trPr>
        <w:tc>
          <w:tcPr>
            <w:tcW w:w="1419" w:type="pct"/>
            <w:tcBorders>
              <w:top w:val="nil"/>
              <w:left w:val="single" w:sz="4" w:space="0" w:color="000000"/>
              <w:bottom w:val="single" w:sz="4" w:space="0" w:color="FFFFFF"/>
              <w:right w:val="single" w:sz="4" w:space="0" w:color="FFFFFF"/>
            </w:tcBorders>
            <w:shd w:val="clear" w:color="auto" w:fill="auto"/>
            <w:noWrap/>
            <w:vAlign w:val="bottom"/>
            <w:hideMark/>
          </w:tcPr>
          <w:p w:rsidR="00F40DEC" w:rsidRPr="0092047B" w:rsidRDefault="00F40DEC" w:rsidP="00184DC1">
            <w:pPr>
              <w:pStyle w:val="Bezmezer"/>
              <w:rPr>
                <w:rFonts w:cstheme="minorHAnsi"/>
              </w:rPr>
            </w:pPr>
            <w:r w:rsidRPr="0092047B">
              <w:rPr>
                <w:rFonts w:cstheme="minorHAnsi"/>
              </w:rPr>
              <w:t>Primární energetické zdroje</w:t>
            </w:r>
          </w:p>
        </w:tc>
        <w:tc>
          <w:tcPr>
            <w:tcW w:w="293" w:type="pct"/>
            <w:tcBorders>
              <w:top w:val="single" w:sz="4" w:space="0" w:color="FFFFFF"/>
              <w:left w:val="nil"/>
              <w:bottom w:val="single" w:sz="4" w:space="0" w:color="FFFFFF"/>
              <w:right w:val="single" w:sz="4" w:space="0" w:color="auto"/>
            </w:tcBorders>
            <w:shd w:val="clear" w:color="auto" w:fill="auto"/>
            <w:noWrap/>
            <w:vAlign w:val="bottom"/>
            <w:hideMark/>
          </w:tcPr>
          <w:p w:rsidR="00F40DEC" w:rsidRPr="0092047B" w:rsidRDefault="00F40DEC" w:rsidP="00184DC1">
            <w:pPr>
              <w:pStyle w:val="Bezmezer"/>
              <w:rPr>
                <w:rFonts w:cstheme="minorHAnsi"/>
              </w:rPr>
            </w:pPr>
            <w:r w:rsidRPr="0092047B">
              <w:rPr>
                <w:rFonts w:cstheme="minorHAnsi"/>
              </w:rPr>
              <w:t>PJ</w:t>
            </w:r>
          </w:p>
        </w:tc>
        <w:tc>
          <w:tcPr>
            <w:tcW w:w="441" w:type="pct"/>
            <w:tcBorders>
              <w:top w:val="single" w:sz="4" w:space="0" w:color="A6A6A6"/>
              <w:left w:val="nil"/>
              <w:bottom w:val="single" w:sz="4" w:space="0" w:color="A6A6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1 854,3</w:t>
            </w:r>
          </w:p>
        </w:tc>
        <w:tc>
          <w:tcPr>
            <w:tcW w:w="498" w:type="pct"/>
            <w:tcBorders>
              <w:top w:val="single" w:sz="4" w:space="0" w:color="A6A6A6"/>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1 852,3</w:t>
            </w:r>
          </w:p>
        </w:tc>
        <w:tc>
          <w:tcPr>
            <w:tcW w:w="459" w:type="pct"/>
            <w:tcBorders>
              <w:top w:val="single" w:sz="4" w:space="0" w:color="A6A6A6"/>
              <w:left w:val="nil"/>
              <w:bottom w:val="single" w:sz="4" w:space="0" w:color="A6A6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1 825,7</w:t>
            </w:r>
          </w:p>
        </w:tc>
        <w:tc>
          <w:tcPr>
            <w:tcW w:w="492" w:type="pct"/>
            <w:tcBorders>
              <w:top w:val="single" w:sz="4" w:space="0" w:color="A6A6A6"/>
              <w:left w:val="nil"/>
              <w:bottom w:val="single" w:sz="4" w:space="0" w:color="A6A6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1 771,1</w:t>
            </w:r>
          </w:p>
        </w:tc>
        <w:tc>
          <w:tcPr>
            <w:tcW w:w="441" w:type="pct"/>
            <w:tcBorders>
              <w:top w:val="single" w:sz="4" w:space="0" w:color="A6A6A6"/>
              <w:left w:val="nil"/>
              <w:bottom w:val="single" w:sz="4" w:space="0" w:color="A6A6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1 756,5</w:t>
            </w:r>
          </w:p>
        </w:tc>
        <w:tc>
          <w:tcPr>
            <w:tcW w:w="498" w:type="pct"/>
            <w:tcBorders>
              <w:top w:val="single" w:sz="4" w:space="0" w:color="A6A6A6"/>
              <w:left w:val="nil"/>
              <w:bottom w:val="single" w:sz="4" w:space="0" w:color="A6A6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1 796,6</w:t>
            </w:r>
          </w:p>
        </w:tc>
        <w:tc>
          <w:tcPr>
            <w:tcW w:w="459" w:type="pct"/>
            <w:tcBorders>
              <w:top w:val="single" w:sz="4" w:space="0" w:color="A6A6A6"/>
              <w:left w:val="nil"/>
              <w:bottom w:val="single" w:sz="4" w:space="0" w:color="A6A6A6"/>
              <w:right w:val="single" w:sz="4" w:space="0" w:color="000000"/>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1 746,4</w:t>
            </w:r>
          </w:p>
        </w:tc>
      </w:tr>
      <w:tr w:rsidR="00F40DEC" w:rsidRPr="0092047B" w:rsidTr="00F40DEC">
        <w:trPr>
          <w:trHeight w:val="255"/>
        </w:trPr>
        <w:tc>
          <w:tcPr>
            <w:tcW w:w="1419" w:type="pct"/>
            <w:tcBorders>
              <w:top w:val="nil"/>
              <w:left w:val="single" w:sz="4" w:space="0" w:color="000000"/>
              <w:bottom w:val="nil"/>
              <w:right w:val="single" w:sz="4" w:space="0" w:color="FFFFFF"/>
            </w:tcBorders>
            <w:shd w:val="clear" w:color="auto" w:fill="auto"/>
            <w:noWrap/>
            <w:vAlign w:val="bottom"/>
            <w:hideMark/>
          </w:tcPr>
          <w:p w:rsidR="00F40DEC" w:rsidRPr="0092047B" w:rsidRDefault="00F40DEC" w:rsidP="00184DC1">
            <w:pPr>
              <w:pStyle w:val="Bezmezer"/>
              <w:rPr>
                <w:rFonts w:cstheme="minorHAnsi"/>
              </w:rPr>
            </w:pPr>
            <w:r w:rsidRPr="0092047B">
              <w:rPr>
                <w:rFonts w:cstheme="minorHAnsi"/>
              </w:rPr>
              <w:t>Konečná spotřeba</w:t>
            </w:r>
            <w:r>
              <w:rPr>
                <w:rFonts w:cstheme="minorHAnsi"/>
              </w:rPr>
              <w:t xml:space="preserve"> energie</w:t>
            </w:r>
          </w:p>
        </w:tc>
        <w:tc>
          <w:tcPr>
            <w:tcW w:w="293" w:type="pct"/>
            <w:tcBorders>
              <w:top w:val="nil"/>
              <w:left w:val="nil"/>
              <w:bottom w:val="nil"/>
              <w:right w:val="single" w:sz="4" w:space="0" w:color="auto"/>
            </w:tcBorders>
            <w:shd w:val="clear" w:color="auto" w:fill="auto"/>
            <w:noWrap/>
            <w:vAlign w:val="bottom"/>
            <w:hideMark/>
          </w:tcPr>
          <w:p w:rsidR="00F40DEC" w:rsidRPr="0092047B" w:rsidRDefault="00F40DEC" w:rsidP="00184DC1">
            <w:pPr>
              <w:pStyle w:val="Bezmezer"/>
              <w:rPr>
                <w:rFonts w:cstheme="minorHAnsi"/>
              </w:rPr>
            </w:pPr>
            <w:r w:rsidRPr="0092047B">
              <w:rPr>
                <w:rFonts w:cstheme="minorHAnsi"/>
              </w:rPr>
              <w:t>PJ</w:t>
            </w:r>
          </w:p>
        </w:tc>
        <w:tc>
          <w:tcPr>
            <w:tcW w:w="441" w:type="pct"/>
            <w:tcBorders>
              <w:top w:val="nil"/>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1 131,8</w:t>
            </w:r>
          </w:p>
        </w:tc>
        <w:tc>
          <w:tcPr>
            <w:tcW w:w="498" w:type="pct"/>
            <w:tcBorders>
              <w:top w:val="single" w:sz="4" w:space="0" w:color="A6A6A6" w:themeColor="background1" w:themeShade="A6"/>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1 146,6</w:t>
            </w:r>
          </w:p>
        </w:tc>
        <w:tc>
          <w:tcPr>
            <w:tcW w:w="459" w:type="pct"/>
            <w:tcBorders>
              <w:top w:val="nil"/>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1 156,2</w:t>
            </w:r>
          </w:p>
        </w:tc>
        <w:tc>
          <w:tcPr>
            <w:tcW w:w="492" w:type="pct"/>
            <w:tcBorders>
              <w:top w:val="nil"/>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1 164,8</w:t>
            </w:r>
          </w:p>
        </w:tc>
        <w:tc>
          <w:tcPr>
            <w:tcW w:w="441" w:type="pct"/>
            <w:tcBorders>
              <w:top w:val="nil"/>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1 164,0</w:t>
            </w:r>
          </w:p>
        </w:tc>
        <w:tc>
          <w:tcPr>
            <w:tcW w:w="498" w:type="pct"/>
            <w:tcBorders>
              <w:top w:val="nil"/>
              <w:left w:val="nil"/>
              <w:bottom w:val="single" w:sz="4" w:space="0" w:color="A6A6A6" w:themeColor="background1" w:themeShade="A6"/>
              <w:right w:val="single" w:sz="4" w:space="0" w:color="FFFFFF"/>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1 160,0</w:t>
            </w:r>
          </w:p>
        </w:tc>
        <w:tc>
          <w:tcPr>
            <w:tcW w:w="459" w:type="pct"/>
            <w:tcBorders>
              <w:top w:val="nil"/>
              <w:left w:val="nil"/>
              <w:bottom w:val="single" w:sz="4" w:space="0" w:color="A6A6A6" w:themeColor="background1" w:themeShade="A6"/>
              <w:right w:val="single" w:sz="4" w:space="0" w:color="000000"/>
            </w:tcBorders>
            <w:shd w:val="clear" w:color="auto" w:fill="auto"/>
            <w:noWrap/>
            <w:vAlign w:val="bottom"/>
            <w:hideMark/>
          </w:tcPr>
          <w:p w:rsidR="00F40DEC" w:rsidRPr="004C4F4A" w:rsidRDefault="00F40DEC" w:rsidP="00184DC1">
            <w:pPr>
              <w:spacing w:after="0"/>
              <w:jc w:val="right"/>
              <w:rPr>
                <w:rFonts w:ascii="Arial" w:hAnsi="Arial" w:cs="Arial"/>
                <w:bCs/>
                <w:color w:val="000000"/>
                <w:sz w:val="20"/>
                <w:szCs w:val="20"/>
              </w:rPr>
            </w:pPr>
            <w:r w:rsidRPr="004C4F4A">
              <w:rPr>
                <w:rFonts w:ascii="Arial" w:hAnsi="Arial" w:cs="Arial"/>
                <w:bCs/>
                <w:color w:val="000000"/>
                <w:sz w:val="20"/>
                <w:szCs w:val="20"/>
              </w:rPr>
              <w:t>1 146,4</w:t>
            </w:r>
          </w:p>
        </w:tc>
      </w:tr>
      <w:tr w:rsidR="00F40DEC" w:rsidRPr="0092047B" w:rsidTr="00F40DEC">
        <w:trPr>
          <w:trHeight w:val="255"/>
        </w:trPr>
        <w:tc>
          <w:tcPr>
            <w:tcW w:w="1419" w:type="pct"/>
            <w:tcBorders>
              <w:top w:val="nil"/>
              <w:left w:val="single" w:sz="4" w:space="0" w:color="000000"/>
              <w:bottom w:val="single" w:sz="4" w:space="0" w:color="000000"/>
              <w:right w:val="single" w:sz="4" w:space="0" w:color="FFFFFF"/>
            </w:tcBorders>
            <w:shd w:val="clear" w:color="auto" w:fill="auto"/>
            <w:noWrap/>
            <w:vAlign w:val="bottom"/>
          </w:tcPr>
          <w:p w:rsidR="00F40DEC" w:rsidRPr="0092047B" w:rsidRDefault="00F40DEC" w:rsidP="00184DC1">
            <w:pPr>
              <w:pStyle w:val="Bezmezer"/>
              <w:ind w:left="284"/>
              <w:rPr>
                <w:rFonts w:cstheme="minorHAnsi"/>
              </w:rPr>
            </w:pPr>
            <w:r>
              <w:rPr>
                <w:rFonts w:cstheme="minorHAnsi"/>
              </w:rPr>
              <w:t>z toho neenergetická*</w:t>
            </w:r>
          </w:p>
        </w:tc>
        <w:tc>
          <w:tcPr>
            <w:tcW w:w="293" w:type="pct"/>
            <w:tcBorders>
              <w:top w:val="nil"/>
              <w:left w:val="nil"/>
              <w:bottom w:val="single" w:sz="4" w:space="0" w:color="000000"/>
              <w:right w:val="single" w:sz="4" w:space="0" w:color="auto"/>
            </w:tcBorders>
            <w:shd w:val="clear" w:color="auto" w:fill="auto"/>
            <w:noWrap/>
            <w:vAlign w:val="bottom"/>
          </w:tcPr>
          <w:p w:rsidR="00F40DEC" w:rsidRPr="0092047B" w:rsidRDefault="00F40DEC" w:rsidP="00184DC1">
            <w:pPr>
              <w:pStyle w:val="Bezmezer"/>
              <w:rPr>
                <w:rFonts w:cstheme="minorHAnsi"/>
              </w:rPr>
            </w:pPr>
            <w:r>
              <w:rPr>
                <w:rFonts w:cstheme="minorHAnsi"/>
              </w:rPr>
              <w:t>PJ</w:t>
            </w:r>
          </w:p>
        </w:tc>
        <w:tc>
          <w:tcPr>
            <w:tcW w:w="441" w:type="pct"/>
            <w:tcBorders>
              <w:top w:val="single" w:sz="4" w:space="0" w:color="A6A6A6" w:themeColor="background1" w:themeShade="A6"/>
              <w:left w:val="nil"/>
              <w:bottom w:val="single" w:sz="4" w:space="0" w:color="000000"/>
              <w:right w:val="single" w:sz="4" w:space="0" w:color="FFFFFF"/>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113,2</w:t>
            </w:r>
          </w:p>
        </w:tc>
        <w:tc>
          <w:tcPr>
            <w:tcW w:w="498" w:type="pct"/>
            <w:tcBorders>
              <w:top w:val="single" w:sz="4" w:space="0" w:color="A6A6A6" w:themeColor="background1" w:themeShade="A6"/>
              <w:left w:val="nil"/>
              <w:bottom w:val="single" w:sz="4" w:space="0" w:color="000000"/>
              <w:right w:val="single" w:sz="4" w:space="0" w:color="FFFFFF"/>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113,1</w:t>
            </w:r>
          </w:p>
        </w:tc>
        <w:tc>
          <w:tcPr>
            <w:tcW w:w="459" w:type="pct"/>
            <w:tcBorders>
              <w:top w:val="single" w:sz="4" w:space="0" w:color="A6A6A6" w:themeColor="background1" w:themeShade="A6"/>
              <w:left w:val="nil"/>
              <w:bottom w:val="single" w:sz="4" w:space="0" w:color="000000"/>
              <w:right w:val="single" w:sz="4" w:space="0" w:color="FFFFFF"/>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113,1</w:t>
            </w:r>
          </w:p>
        </w:tc>
        <w:tc>
          <w:tcPr>
            <w:tcW w:w="492" w:type="pct"/>
            <w:tcBorders>
              <w:top w:val="single" w:sz="4" w:space="0" w:color="A6A6A6" w:themeColor="background1" w:themeShade="A6"/>
              <w:left w:val="nil"/>
              <w:bottom w:val="single" w:sz="4" w:space="0" w:color="000000"/>
              <w:right w:val="single" w:sz="4" w:space="0" w:color="FFFFFF"/>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113,1</w:t>
            </w:r>
          </w:p>
        </w:tc>
        <w:tc>
          <w:tcPr>
            <w:tcW w:w="441" w:type="pct"/>
            <w:tcBorders>
              <w:top w:val="single" w:sz="4" w:space="0" w:color="A6A6A6" w:themeColor="background1" w:themeShade="A6"/>
              <w:left w:val="nil"/>
              <w:bottom w:val="single" w:sz="4" w:space="0" w:color="000000"/>
              <w:right w:val="single" w:sz="4" w:space="0" w:color="FFFFFF"/>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113,1</w:t>
            </w:r>
          </w:p>
        </w:tc>
        <w:tc>
          <w:tcPr>
            <w:tcW w:w="498" w:type="pct"/>
            <w:tcBorders>
              <w:top w:val="single" w:sz="4" w:space="0" w:color="A6A6A6" w:themeColor="background1" w:themeShade="A6"/>
              <w:left w:val="nil"/>
              <w:bottom w:val="single" w:sz="4" w:space="0" w:color="000000"/>
              <w:right w:val="single" w:sz="4" w:space="0" w:color="FFFFFF"/>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113,1</w:t>
            </w:r>
          </w:p>
        </w:tc>
        <w:tc>
          <w:tcPr>
            <w:tcW w:w="459" w:type="pct"/>
            <w:tcBorders>
              <w:top w:val="single" w:sz="4" w:space="0" w:color="A6A6A6" w:themeColor="background1" w:themeShade="A6"/>
              <w:left w:val="nil"/>
              <w:bottom w:val="single" w:sz="4" w:space="0" w:color="000000"/>
              <w:right w:val="single" w:sz="4" w:space="0" w:color="000000"/>
            </w:tcBorders>
            <w:shd w:val="clear" w:color="auto" w:fill="auto"/>
            <w:noWrap/>
            <w:vAlign w:val="bottom"/>
          </w:tcPr>
          <w:p w:rsidR="00F40DEC" w:rsidRPr="004C4F4A" w:rsidRDefault="00F40DEC" w:rsidP="00184DC1">
            <w:pPr>
              <w:spacing w:after="0"/>
              <w:jc w:val="right"/>
              <w:rPr>
                <w:rFonts w:ascii="Arial" w:hAnsi="Arial" w:cs="Arial"/>
                <w:bCs/>
                <w:color w:val="000000"/>
                <w:sz w:val="20"/>
                <w:szCs w:val="20"/>
              </w:rPr>
            </w:pPr>
            <w:r>
              <w:rPr>
                <w:rFonts w:ascii="Arial" w:hAnsi="Arial" w:cs="Arial"/>
                <w:bCs/>
                <w:color w:val="000000"/>
                <w:sz w:val="20"/>
                <w:szCs w:val="20"/>
              </w:rPr>
              <w:t>113,1</w:t>
            </w:r>
          </w:p>
        </w:tc>
      </w:tr>
    </w:tbl>
    <w:p w:rsidR="00F40DEC" w:rsidRPr="003B7BFC" w:rsidRDefault="00F40DEC" w:rsidP="00184DC1">
      <w:pPr>
        <w:pStyle w:val="Prosttext"/>
        <w:spacing w:before="120" w:after="240"/>
        <w:jc w:val="both"/>
        <w:rPr>
          <w:i/>
          <w:sz w:val="18"/>
          <w:szCs w:val="18"/>
        </w:rPr>
      </w:pPr>
      <w:r w:rsidRPr="003B7BFC">
        <w:rPr>
          <w:i/>
          <w:sz w:val="18"/>
          <w:szCs w:val="18"/>
        </w:rPr>
        <w:t>* Neenergetické látky jsou produkty, které pocházejí přímo z neenergetických pochodů zušlechťování paliv, určené svou povahou k účelům jiným než energetickým (vyskytují se kupříkladu při vysokotepelné karbonizaci uhlí v koksovnách, tlakovém zplyňování a při výrobě kapalných paliv). K prognóze neenergetické spotřeby neexistují aktuálně dostatečné množství relevantních údajů a je tedy zjednodušeně předpokládaná její stagnace na úrovni roku 2012.</w:t>
      </w:r>
    </w:p>
    <w:p w:rsidR="00235C7B" w:rsidRDefault="00235C7B" w:rsidP="00184DC1">
      <w:pPr>
        <w:pStyle w:val="Titulek"/>
        <w:keepNext/>
        <w:spacing w:before="240" w:after="120"/>
      </w:pPr>
      <w:bookmarkStart w:id="907" w:name="_Ref391888755"/>
      <w:bookmarkStart w:id="908" w:name="_Toc396923125"/>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9</w:t>
      </w:r>
      <w:r w:rsidRPr="00235C7B">
        <w:rPr>
          <w:b/>
        </w:rPr>
        <w:fldChar w:fldCharType="end"/>
      </w:r>
      <w:bookmarkEnd w:id="907"/>
      <w:r w:rsidRPr="00235C7B">
        <w:rPr>
          <w:b/>
        </w:rPr>
        <w:t xml:space="preserve">: </w:t>
      </w:r>
      <w:r w:rsidRPr="0092047B">
        <w:t>Primární energetické zdroje vs. konečná spotřeba energie</w:t>
      </w:r>
      <w:bookmarkEnd w:id="908"/>
    </w:p>
    <w:p w:rsidR="003F472D" w:rsidRPr="0092047B" w:rsidRDefault="003F472D" w:rsidP="00184DC1">
      <w:pPr>
        <w:spacing w:before="120" w:after="120"/>
        <w:rPr>
          <w:rFonts w:cstheme="minorHAnsi"/>
          <w:i/>
          <w:sz w:val="20"/>
          <w:szCs w:val="20"/>
        </w:rPr>
      </w:pPr>
      <w:r w:rsidRPr="0092047B">
        <w:rPr>
          <w:rFonts w:cstheme="minorHAnsi"/>
          <w:noProof/>
        </w:rPr>
        <w:drawing>
          <wp:inline distT="0" distB="0" distL="0" distR="0" wp14:anchorId="097B24A3" wp14:editId="54393F08">
            <wp:extent cx="5760000" cy="3780000"/>
            <wp:effectExtent l="0" t="0" r="12700" b="1143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472D" w:rsidRPr="0010323D" w:rsidRDefault="00953D15" w:rsidP="00184DC1">
      <w:pPr>
        <w:spacing w:before="120"/>
        <w:rPr>
          <w:rFonts w:cstheme="minorHAnsi"/>
          <w:i/>
          <w:sz w:val="18"/>
          <w:szCs w:val="18"/>
        </w:rPr>
      </w:pPr>
      <w:r w:rsidRPr="0010323D">
        <w:rPr>
          <w:rFonts w:cstheme="minorHAnsi"/>
          <w:i/>
          <w:sz w:val="18"/>
          <w:szCs w:val="18"/>
        </w:rPr>
        <w:t xml:space="preserve">Pozn.: </w:t>
      </w:r>
      <w:r w:rsidR="003F472D" w:rsidRPr="0010323D">
        <w:rPr>
          <w:rFonts w:cstheme="minorHAnsi"/>
          <w:i/>
          <w:sz w:val="18"/>
          <w:szCs w:val="18"/>
        </w:rPr>
        <w:t>Primární energetické zdroje a konečná spotřeba na základě bilančního modelu uváděné v tomto dokumentu již předpokládají provedení úspor v souladu se směrnicí 2012/27/EU o energetické účinnosti.</w:t>
      </w:r>
    </w:p>
    <w:p w:rsidR="003F472D" w:rsidRPr="006F2313" w:rsidRDefault="003F472D" w:rsidP="00EF045E">
      <w:pPr>
        <w:spacing w:before="240" w:after="120"/>
        <w:rPr>
          <w:rFonts w:cstheme="minorHAnsi"/>
        </w:rPr>
      </w:pPr>
      <w:r w:rsidRPr="0092047B">
        <w:rPr>
          <w:rFonts w:cstheme="minorHAnsi"/>
        </w:rPr>
        <w:t>Konečná spotřeba energie bude prakticky stagnovat. Proti významnému poklesu spotřeby tepla (relativní úspora přes 25 %), bude působit mírný nárůst požadavků na tepelný komfort, počet vytápěných objektů, růst konečné spotřeby elektřiny (a to jak u velkoodběratelů, tak v případě maloodběru podnikatelského sektoru) a mírný růst spotřeby energie v dopravě do roku 2025 (zvýšená spotřeba energie bude kompenzována významnými úsporami danými účinností přeměny, kdy po roce 2025 již bude z tohoto důvodu docházet ke stagnaci a mír</w:t>
      </w:r>
      <w:r w:rsidRPr="006F2313">
        <w:rPr>
          <w:rFonts w:cstheme="minorHAnsi"/>
        </w:rPr>
        <w:t xml:space="preserve">nému poklesu spotřeby energie v dopravě </w:t>
      </w:r>
      <w:r w:rsidR="00D63E89" w:rsidRPr="006F2313">
        <w:rPr>
          <w:rFonts w:cstheme="minorHAnsi"/>
        </w:rPr>
        <w:t>–</w:t>
      </w:r>
      <w:r w:rsidRPr="006F2313">
        <w:rPr>
          <w:rFonts w:cstheme="minorHAnsi"/>
        </w:rPr>
        <w:t xml:space="preserve"> viz</w:t>
      </w:r>
      <w:r w:rsidR="005876DC" w:rsidRPr="006F2313">
        <w:t xml:space="preserve"> </w:t>
      </w:r>
      <w:r w:rsidR="005876DC" w:rsidRPr="006F2313">
        <w:fldChar w:fldCharType="begin"/>
      </w:r>
      <w:r w:rsidR="005876DC" w:rsidRPr="006F2313">
        <w:instrText xml:space="preserve"> REF _Ref391888580 \h  \* MERGEFORMAT </w:instrText>
      </w:r>
      <w:r w:rsidR="005876DC" w:rsidRPr="006F2313">
        <w:fldChar w:fldCharType="separate"/>
      </w:r>
      <w:r w:rsidR="0096423F" w:rsidRPr="0096423F">
        <w:t xml:space="preserve">Graf č. </w:t>
      </w:r>
      <w:r w:rsidR="0096423F" w:rsidRPr="0096423F">
        <w:rPr>
          <w:noProof/>
        </w:rPr>
        <w:t>6</w:t>
      </w:r>
      <w:r w:rsidR="005876DC" w:rsidRPr="006F2313">
        <w:fldChar w:fldCharType="end"/>
      </w:r>
      <w:r w:rsidRPr="006F2313">
        <w:rPr>
          <w:rFonts w:cstheme="minorHAnsi"/>
        </w:rPr>
        <w:t>). Konečná spotřeba je potom spotřeba zjišťovaná před vstupem do spotřebičů, ve kterých se využije pro finální užitný efekt, nikoli pro výrobu jiné energie (s výjimkou druhotných energetických zdrojů).</w:t>
      </w:r>
    </w:p>
    <w:p w:rsidR="009C17D3" w:rsidRPr="006F2313" w:rsidRDefault="009C17D3" w:rsidP="00EF045E">
      <w:pPr>
        <w:spacing w:before="240" w:after="120"/>
        <w:rPr>
          <w:rFonts w:cstheme="minorHAnsi"/>
        </w:rPr>
      </w:pPr>
      <w:r w:rsidRPr="006F2313">
        <w:rPr>
          <w:rFonts w:cstheme="minorHAnsi"/>
        </w:rPr>
        <w:t>Národní akční plán energetické účinnosti ČR uvádí, že cíl energetických úspor na úrovni 47,</w:t>
      </w:r>
      <w:r w:rsidR="00AB3FB4" w:rsidRPr="006F2313">
        <w:rPr>
          <w:rFonts w:cstheme="minorHAnsi"/>
        </w:rPr>
        <w:t>9</w:t>
      </w:r>
      <w:r w:rsidRPr="006F2313">
        <w:rPr>
          <w:rFonts w:cstheme="minorHAnsi"/>
        </w:rPr>
        <w:t>4 PJ do roku 2020 odpovídá konečné spotřebě</w:t>
      </w:r>
      <w:r w:rsidR="00675798" w:rsidRPr="006F2313">
        <w:rPr>
          <w:rFonts w:cstheme="minorHAnsi"/>
        </w:rPr>
        <w:t xml:space="preserve"> bez neenergetické spotřeby</w:t>
      </w:r>
      <w:r w:rsidRPr="006F2313">
        <w:rPr>
          <w:rFonts w:cstheme="minorHAnsi"/>
        </w:rPr>
        <w:t xml:space="preserve"> v</w:t>
      </w:r>
      <w:r w:rsidR="00675798" w:rsidRPr="006F2313">
        <w:rPr>
          <w:rFonts w:cstheme="minorHAnsi"/>
        </w:rPr>
        <w:t>e</w:t>
      </w:r>
      <w:r w:rsidRPr="006F2313">
        <w:rPr>
          <w:rFonts w:cstheme="minorHAnsi"/>
        </w:rPr>
        <w:t xml:space="preserve"> výši 1</w:t>
      </w:r>
      <w:r w:rsidR="00675798" w:rsidRPr="006F2313">
        <w:rPr>
          <w:rFonts w:cstheme="minorHAnsi"/>
        </w:rPr>
        <w:t> </w:t>
      </w:r>
      <w:r w:rsidRPr="006F2313">
        <w:rPr>
          <w:rFonts w:cstheme="minorHAnsi"/>
        </w:rPr>
        <w:t>020</w:t>
      </w:r>
      <w:r w:rsidR="00675798" w:rsidRPr="006F2313">
        <w:rPr>
          <w:rFonts w:cstheme="minorHAnsi"/>
        </w:rPr>
        <w:t> </w:t>
      </w:r>
      <w:r w:rsidRPr="006F2313">
        <w:rPr>
          <w:rFonts w:cstheme="minorHAnsi"/>
        </w:rPr>
        <w:t xml:space="preserve">PJ dle metodiky Mezinárodní energetické agentury. </w:t>
      </w:r>
      <w:r w:rsidR="005876DC" w:rsidRPr="006F2313">
        <w:rPr>
          <w:rFonts w:cstheme="minorHAnsi"/>
        </w:rPr>
        <w:fldChar w:fldCharType="begin"/>
      </w:r>
      <w:r w:rsidR="005876DC" w:rsidRPr="006F2313">
        <w:rPr>
          <w:rFonts w:cstheme="minorHAnsi"/>
        </w:rPr>
        <w:instrText xml:space="preserve"> REF _Ref391888755 \h  \* MERGEFORMAT </w:instrText>
      </w:r>
      <w:r w:rsidR="005876DC" w:rsidRPr="006F2313">
        <w:rPr>
          <w:rFonts w:cstheme="minorHAnsi"/>
        </w:rPr>
      </w:r>
      <w:r w:rsidR="005876DC" w:rsidRPr="006F2313">
        <w:rPr>
          <w:rFonts w:cstheme="minorHAnsi"/>
        </w:rPr>
        <w:fldChar w:fldCharType="separate"/>
      </w:r>
      <w:r w:rsidR="0096423F" w:rsidRPr="0096423F">
        <w:t xml:space="preserve">Graf č. </w:t>
      </w:r>
      <w:r w:rsidR="0096423F" w:rsidRPr="0096423F">
        <w:rPr>
          <w:noProof/>
        </w:rPr>
        <w:t>9</w:t>
      </w:r>
      <w:r w:rsidR="005876DC" w:rsidRPr="006F2313">
        <w:rPr>
          <w:rFonts w:cstheme="minorHAnsi"/>
        </w:rPr>
        <w:fldChar w:fldCharType="end"/>
      </w:r>
      <w:r w:rsidR="005876DC" w:rsidRPr="006F2313">
        <w:rPr>
          <w:rFonts w:cstheme="minorHAnsi"/>
        </w:rPr>
        <w:t xml:space="preserve"> </w:t>
      </w:r>
      <w:r w:rsidR="00675798" w:rsidRPr="006F2313">
        <w:rPr>
          <w:rFonts w:cstheme="minorHAnsi"/>
        </w:rPr>
        <w:t>uvádí v roce 2020 konečnou spotřebu na úrovni 1 1</w:t>
      </w:r>
      <w:r w:rsidR="00704FC0">
        <w:rPr>
          <w:rFonts w:cstheme="minorHAnsi"/>
        </w:rPr>
        <w:t>56</w:t>
      </w:r>
      <w:r w:rsidR="00675798" w:rsidRPr="006F2313">
        <w:rPr>
          <w:rFonts w:cstheme="minorHAnsi"/>
        </w:rPr>
        <w:t>,</w:t>
      </w:r>
      <w:r w:rsidR="00704FC0">
        <w:rPr>
          <w:rFonts w:cstheme="minorHAnsi"/>
        </w:rPr>
        <w:t>2</w:t>
      </w:r>
      <w:r w:rsidR="00675798" w:rsidRPr="006F2313">
        <w:rPr>
          <w:rFonts w:cstheme="minorHAnsi"/>
        </w:rPr>
        <w:t xml:space="preserve"> PJ. Zde je však zahrnuta i neenergetick</w:t>
      </w:r>
      <w:r w:rsidR="004127B1" w:rsidRPr="006F2313">
        <w:rPr>
          <w:rFonts w:cstheme="minorHAnsi"/>
        </w:rPr>
        <w:t>á</w:t>
      </w:r>
      <w:r w:rsidR="00675798" w:rsidRPr="006F2313">
        <w:rPr>
          <w:rFonts w:cstheme="minorHAnsi"/>
        </w:rPr>
        <w:t xml:space="preserve"> spotřeba, která se historicky pohybuje řádově na výši 110 PJ a je možné předpokládat spíše její stagnaci, či mírný pokles. Hodnota 1 1</w:t>
      </w:r>
      <w:r w:rsidR="00704FC0">
        <w:rPr>
          <w:rFonts w:cstheme="minorHAnsi"/>
        </w:rPr>
        <w:t>56</w:t>
      </w:r>
      <w:r w:rsidR="00675798" w:rsidRPr="006F2313">
        <w:rPr>
          <w:rFonts w:cstheme="minorHAnsi"/>
        </w:rPr>
        <w:t>,</w:t>
      </w:r>
      <w:r w:rsidR="00704FC0">
        <w:rPr>
          <w:rFonts w:cstheme="minorHAnsi"/>
        </w:rPr>
        <w:t>2</w:t>
      </w:r>
      <w:r w:rsidR="00675798" w:rsidRPr="006F2313">
        <w:rPr>
          <w:rFonts w:cstheme="minorHAnsi"/>
        </w:rPr>
        <w:t xml:space="preserve"> PJ odpovídá</w:t>
      </w:r>
      <w:r w:rsidR="00704FC0">
        <w:rPr>
          <w:rFonts w:cstheme="minorHAnsi"/>
        </w:rPr>
        <w:t xml:space="preserve"> – při započtení historických bilančních rozdílů (viz </w:t>
      </w:r>
      <w:r w:rsidR="00704FC0" w:rsidRPr="00704FC0">
        <w:rPr>
          <w:rFonts w:cstheme="minorHAnsi"/>
        </w:rPr>
        <w:fldChar w:fldCharType="begin"/>
      </w:r>
      <w:r w:rsidR="00704FC0" w:rsidRPr="00704FC0">
        <w:rPr>
          <w:rFonts w:cstheme="minorHAnsi"/>
        </w:rPr>
        <w:instrText xml:space="preserve"> REF _Ref395099777 \h  \* MERGEFORMAT </w:instrText>
      </w:r>
      <w:r w:rsidR="00704FC0" w:rsidRPr="00704FC0">
        <w:rPr>
          <w:rFonts w:cstheme="minorHAnsi"/>
        </w:rPr>
      </w:r>
      <w:r w:rsidR="00704FC0" w:rsidRPr="00704FC0">
        <w:rPr>
          <w:rFonts w:cstheme="minorHAnsi"/>
        </w:rPr>
        <w:fldChar w:fldCharType="separate"/>
      </w:r>
      <w:r w:rsidR="0096423F" w:rsidRPr="0096423F">
        <w:t xml:space="preserve">Tabulka č. </w:t>
      </w:r>
      <w:r w:rsidR="0096423F" w:rsidRPr="0096423F">
        <w:rPr>
          <w:noProof/>
        </w:rPr>
        <w:t>1</w:t>
      </w:r>
      <w:r w:rsidR="00704FC0" w:rsidRPr="00704FC0">
        <w:rPr>
          <w:rFonts w:cstheme="minorHAnsi"/>
        </w:rPr>
        <w:fldChar w:fldCharType="end"/>
      </w:r>
      <w:r w:rsidR="00704FC0">
        <w:rPr>
          <w:rFonts w:cstheme="minorHAnsi"/>
        </w:rPr>
        <w:t>)</w:t>
      </w:r>
      <w:r w:rsidR="00675798" w:rsidRPr="006F2313">
        <w:rPr>
          <w:rFonts w:cstheme="minorHAnsi"/>
        </w:rPr>
        <w:t xml:space="preserve"> cíl</w:t>
      </w:r>
      <w:r w:rsidR="00AB3FB4" w:rsidRPr="006F2313">
        <w:rPr>
          <w:rFonts w:cstheme="minorHAnsi"/>
        </w:rPr>
        <w:t>i, který je</w:t>
      </w:r>
      <w:r w:rsidR="00675798" w:rsidRPr="006F2313">
        <w:rPr>
          <w:rFonts w:cstheme="minorHAnsi"/>
        </w:rPr>
        <w:t xml:space="preserve"> uveden</w:t>
      </w:r>
      <w:r w:rsidR="00AB3FB4" w:rsidRPr="006F2313">
        <w:rPr>
          <w:rFonts w:cstheme="minorHAnsi"/>
        </w:rPr>
        <w:t>ý</w:t>
      </w:r>
      <w:r w:rsidR="00675798" w:rsidRPr="006F2313">
        <w:rPr>
          <w:rFonts w:cstheme="minorHAnsi"/>
        </w:rPr>
        <w:t xml:space="preserve"> v Národním akčním plánu energetické účinnosti ČR.</w:t>
      </w:r>
    </w:p>
    <w:p w:rsidR="003F472D" w:rsidRDefault="003F472D" w:rsidP="00EF045E">
      <w:pPr>
        <w:spacing w:after="120"/>
        <w:rPr>
          <w:rFonts w:cstheme="minorHAnsi"/>
        </w:rPr>
      </w:pPr>
      <w:r w:rsidRPr="006F2313">
        <w:rPr>
          <w:rFonts w:cstheme="minorHAnsi"/>
        </w:rPr>
        <w:t>Výše konečné spotřeby vychází z konzervativního odhadu konečných efektů uplatnění všech předkládaných opatření energetick</w:t>
      </w:r>
      <w:r w:rsidRPr="0092047B">
        <w:rPr>
          <w:rFonts w:cstheme="minorHAnsi"/>
        </w:rPr>
        <w:t>é efektivnosti. Současně se též předpokládá vyšší komfort obyvatel a růst HDP s pokračováním průmyslové orientace České republiky. V závislosti na optimističtějším vývoji v oblasti úspor nebo na snížení ekonomického rozvoje či stagnaci může být konečná spotřeba o něco nižší.</w:t>
      </w:r>
    </w:p>
    <w:p w:rsidR="00EF045E" w:rsidRDefault="00EF045E">
      <w:pPr>
        <w:spacing w:after="0"/>
        <w:jc w:val="left"/>
        <w:rPr>
          <w:rFonts w:cstheme="minorHAnsi"/>
        </w:rPr>
      </w:pPr>
      <w:r>
        <w:rPr>
          <w:rFonts w:cstheme="minorHAnsi"/>
        </w:rPr>
        <w:br w:type="page"/>
      </w:r>
    </w:p>
    <w:p w:rsidR="003F472D" w:rsidRPr="0092047B" w:rsidRDefault="003F472D" w:rsidP="00184DC1">
      <w:pPr>
        <w:pStyle w:val="Nadpis3"/>
      </w:pPr>
      <w:bookmarkStart w:id="909" w:name="_Toc367279698"/>
      <w:bookmarkStart w:id="910" w:name="_Toc367280247"/>
      <w:bookmarkStart w:id="911" w:name="_Toc370121885"/>
      <w:bookmarkStart w:id="912" w:name="_Toc387757708"/>
      <w:bookmarkStart w:id="913" w:name="_Toc396923420"/>
      <w:r w:rsidRPr="0092047B">
        <w:t>Vývoj a struktura hrubé výroby elektřiny</w:t>
      </w:r>
      <w:bookmarkEnd w:id="909"/>
      <w:bookmarkEnd w:id="910"/>
      <w:bookmarkEnd w:id="911"/>
      <w:bookmarkEnd w:id="912"/>
      <w:bookmarkEnd w:id="913"/>
    </w:p>
    <w:p w:rsidR="003F472D" w:rsidRPr="0092047B" w:rsidRDefault="003F472D" w:rsidP="00184DC1">
      <w:pPr>
        <w:pStyle w:val="Titulek"/>
        <w:keepNext/>
        <w:spacing w:before="240" w:after="120"/>
      </w:pPr>
      <w:bookmarkStart w:id="914" w:name="_Toc387757568"/>
      <w:bookmarkStart w:id="915" w:name="_Toc396923166"/>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7</w:t>
      </w:r>
      <w:r w:rsidRPr="0092047B">
        <w:rPr>
          <w:b/>
        </w:rPr>
        <w:fldChar w:fldCharType="end"/>
      </w:r>
      <w:r w:rsidRPr="0092047B">
        <w:rPr>
          <w:b/>
        </w:rPr>
        <w:t>:</w:t>
      </w:r>
      <w:r w:rsidRPr="0092047B">
        <w:t xml:space="preserve"> Vývoj a struktura hrubé výroby elektřiny</w:t>
      </w:r>
      <w:bookmarkEnd w:id="914"/>
      <w:bookmarkEnd w:id="915"/>
    </w:p>
    <w:tbl>
      <w:tblPr>
        <w:tblW w:w="9480" w:type="dxa"/>
        <w:tblInd w:w="-72" w:type="dxa"/>
        <w:tblCellMar>
          <w:left w:w="70" w:type="dxa"/>
          <w:right w:w="70" w:type="dxa"/>
        </w:tblCellMar>
        <w:tblLook w:val="04A0" w:firstRow="1" w:lastRow="0" w:firstColumn="1" w:lastColumn="0" w:noHBand="0" w:noVBand="1"/>
      </w:tblPr>
      <w:tblGrid>
        <w:gridCol w:w="1843"/>
        <w:gridCol w:w="607"/>
        <w:gridCol w:w="981"/>
        <w:gridCol w:w="981"/>
        <w:gridCol w:w="981"/>
        <w:gridCol w:w="981"/>
        <w:gridCol w:w="981"/>
        <w:gridCol w:w="981"/>
        <w:gridCol w:w="981"/>
        <w:gridCol w:w="163"/>
      </w:tblGrid>
      <w:tr w:rsidR="003F472D" w:rsidRPr="0092047B" w:rsidTr="003F472D">
        <w:trPr>
          <w:gridAfter w:val="1"/>
          <w:wAfter w:w="163" w:type="dxa"/>
          <w:trHeight w:val="255"/>
        </w:trPr>
        <w:tc>
          <w:tcPr>
            <w:tcW w:w="1843" w:type="dxa"/>
            <w:tcBorders>
              <w:top w:val="single" w:sz="4" w:space="0" w:color="auto"/>
              <w:left w:val="single" w:sz="4" w:space="0" w:color="auto"/>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Fonts w:cstheme="minorHAnsi"/>
                <w:b/>
              </w:rPr>
            </w:pPr>
            <w:r w:rsidRPr="0092047B">
              <w:rPr>
                <w:rFonts w:cstheme="minorHAnsi"/>
                <w:b/>
              </w:rPr>
              <w:t>Hrubá výroba elektrické energie</w:t>
            </w:r>
          </w:p>
        </w:tc>
        <w:tc>
          <w:tcPr>
            <w:tcW w:w="607" w:type="dxa"/>
            <w:tcBorders>
              <w:top w:val="single" w:sz="4" w:space="0" w:color="auto"/>
              <w:left w:val="nil"/>
              <w:bottom w:val="single" w:sz="4" w:space="0" w:color="auto"/>
              <w:right w:val="single" w:sz="4" w:space="0" w:color="FFFFFF"/>
            </w:tcBorders>
            <w:shd w:val="clear" w:color="auto" w:fill="auto"/>
            <w:noWrap/>
            <w:vAlign w:val="bottom"/>
            <w:hideMark/>
          </w:tcPr>
          <w:p w:rsidR="003F472D" w:rsidRPr="0092047B" w:rsidRDefault="003F472D" w:rsidP="00184DC1">
            <w:pPr>
              <w:pStyle w:val="Bezmezer"/>
              <w:jc w:val="center"/>
              <w:rPr>
                <w:rFonts w:cstheme="minorHAnsi"/>
                <w:b/>
              </w:rPr>
            </w:pPr>
          </w:p>
        </w:tc>
        <w:tc>
          <w:tcPr>
            <w:tcW w:w="981" w:type="dxa"/>
            <w:tcBorders>
              <w:top w:val="single" w:sz="4" w:space="0" w:color="auto"/>
              <w:left w:val="nil"/>
              <w:bottom w:val="single" w:sz="4" w:space="0" w:color="auto"/>
              <w:right w:val="single" w:sz="4" w:space="0" w:color="FFFFFF"/>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2010</w:t>
            </w:r>
          </w:p>
        </w:tc>
        <w:tc>
          <w:tcPr>
            <w:tcW w:w="981" w:type="dxa"/>
            <w:tcBorders>
              <w:top w:val="single" w:sz="4" w:space="0" w:color="auto"/>
              <w:left w:val="nil"/>
              <w:bottom w:val="single" w:sz="4" w:space="0" w:color="auto"/>
              <w:right w:val="single" w:sz="4" w:space="0" w:color="FFFFFF"/>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2015</w:t>
            </w:r>
          </w:p>
        </w:tc>
        <w:tc>
          <w:tcPr>
            <w:tcW w:w="981" w:type="dxa"/>
            <w:tcBorders>
              <w:top w:val="single" w:sz="4" w:space="0" w:color="auto"/>
              <w:left w:val="nil"/>
              <w:bottom w:val="single" w:sz="4" w:space="0" w:color="auto"/>
              <w:right w:val="single" w:sz="4" w:space="0" w:color="FFFFFF"/>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2020</w:t>
            </w:r>
          </w:p>
        </w:tc>
        <w:tc>
          <w:tcPr>
            <w:tcW w:w="981" w:type="dxa"/>
            <w:tcBorders>
              <w:top w:val="single" w:sz="4" w:space="0" w:color="auto"/>
              <w:left w:val="nil"/>
              <w:bottom w:val="single" w:sz="4" w:space="0" w:color="auto"/>
              <w:right w:val="single" w:sz="4" w:space="0" w:color="FFFFFF"/>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2025</w:t>
            </w:r>
          </w:p>
        </w:tc>
        <w:tc>
          <w:tcPr>
            <w:tcW w:w="981" w:type="dxa"/>
            <w:tcBorders>
              <w:top w:val="single" w:sz="4" w:space="0" w:color="auto"/>
              <w:left w:val="nil"/>
              <w:bottom w:val="single" w:sz="4" w:space="0" w:color="auto"/>
              <w:right w:val="single" w:sz="4" w:space="0" w:color="FFFFFF"/>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2030</w:t>
            </w:r>
          </w:p>
        </w:tc>
        <w:tc>
          <w:tcPr>
            <w:tcW w:w="981" w:type="dxa"/>
            <w:tcBorders>
              <w:top w:val="single" w:sz="4" w:space="0" w:color="auto"/>
              <w:left w:val="nil"/>
              <w:bottom w:val="single" w:sz="4" w:space="0" w:color="auto"/>
              <w:right w:val="single" w:sz="4" w:space="0" w:color="FFFFFF"/>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2035</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3F472D" w:rsidRPr="0092047B" w:rsidRDefault="003F472D" w:rsidP="00184DC1">
            <w:pPr>
              <w:pStyle w:val="Bezmezer"/>
              <w:jc w:val="center"/>
              <w:rPr>
                <w:rFonts w:cstheme="minorHAnsi"/>
                <w:b/>
              </w:rPr>
            </w:pPr>
            <w:r w:rsidRPr="0092047B">
              <w:rPr>
                <w:rFonts w:cstheme="minorHAnsi"/>
                <w:b/>
              </w:rPr>
              <w:t>2040</w:t>
            </w:r>
          </w:p>
        </w:tc>
      </w:tr>
      <w:tr w:rsidR="000A4933" w:rsidRPr="0092047B" w:rsidTr="003F472D">
        <w:trPr>
          <w:gridAfter w:val="1"/>
          <w:wAfter w:w="163" w:type="dxa"/>
          <w:trHeight w:val="255"/>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Černé uhlí</w:t>
            </w:r>
          </w:p>
        </w:tc>
        <w:tc>
          <w:tcPr>
            <w:tcW w:w="607" w:type="dxa"/>
            <w:tcBorders>
              <w:top w:val="single" w:sz="4" w:space="0" w:color="FFFFFF"/>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single" w:sz="4" w:space="0" w:color="A6A6A6"/>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6 052,0</w:t>
            </w:r>
          </w:p>
        </w:tc>
        <w:tc>
          <w:tcPr>
            <w:tcW w:w="981" w:type="dxa"/>
            <w:tcBorders>
              <w:top w:val="single" w:sz="4" w:space="0" w:color="A6A6A6"/>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5 832,4</w:t>
            </w:r>
          </w:p>
        </w:tc>
        <w:tc>
          <w:tcPr>
            <w:tcW w:w="981" w:type="dxa"/>
            <w:tcBorders>
              <w:top w:val="single" w:sz="4" w:space="0" w:color="A6A6A6"/>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4 198,4</w:t>
            </w:r>
          </w:p>
        </w:tc>
        <w:tc>
          <w:tcPr>
            <w:tcW w:w="981" w:type="dxa"/>
            <w:tcBorders>
              <w:top w:val="single" w:sz="4" w:space="0" w:color="A6A6A6"/>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4 134,3</w:t>
            </w:r>
          </w:p>
        </w:tc>
        <w:tc>
          <w:tcPr>
            <w:tcW w:w="981" w:type="dxa"/>
            <w:tcBorders>
              <w:top w:val="single" w:sz="4" w:space="0" w:color="A6A6A6"/>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2 824,0</w:t>
            </w:r>
          </w:p>
        </w:tc>
        <w:tc>
          <w:tcPr>
            <w:tcW w:w="981" w:type="dxa"/>
            <w:tcBorders>
              <w:top w:val="single" w:sz="4" w:space="0" w:color="A6A6A6"/>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2 745,0</w:t>
            </w:r>
          </w:p>
        </w:tc>
        <w:tc>
          <w:tcPr>
            <w:tcW w:w="981" w:type="dxa"/>
            <w:tcBorders>
              <w:top w:val="single" w:sz="4" w:space="0" w:color="A6A6A6"/>
              <w:left w:val="nil"/>
              <w:bottom w:val="single" w:sz="4" w:space="0" w:color="A6A6A6"/>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1 989,1</w:t>
            </w:r>
          </w:p>
        </w:tc>
      </w:tr>
      <w:tr w:rsidR="000A4933" w:rsidRPr="0092047B" w:rsidTr="003F472D">
        <w:trPr>
          <w:gridAfter w:val="1"/>
          <w:wAfter w:w="163" w:type="dxa"/>
          <w:trHeight w:val="255"/>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Hnědé uhlí</w:t>
            </w:r>
          </w:p>
        </w:tc>
        <w:tc>
          <w:tcPr>
            <w:tcW w:w="607" w:type="dxa"/>
            <w:tcBorders>
              <w:top w:val="nil"/>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42 936,1</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40 389,6</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36 951,3</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29 167,5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27 947,7</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23 366,2</w:t>
            </w:r>
          </w:p>
        </w:tc>
        <w:tc>
          <w:tcPr>
            <w:tcW w:w="981" w:type="dxa"/>
            <w:tcBorders>
              <w:top w:val="nil"/>
              <w:left w:val="nil"/>
              <w:bottom w:val="single" w:sz="4" w:space="0" w:color="A6A6A6"/>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13 497,2</w:t>
            </w:r>
          </w:p>
        </w:tc>
      </w:tr>
      <w:tr w:rsidR="000A4933" w:rsidRPr="0092047B" w:rsidTr="003F472D">
        <w:trPr>
          <w:gridAfter w:val="1"/>
          <w:wAfter w:w="163" w:type="dxa"/>
          <w:trHeight w:val="255"/>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Zemní plyn</w:t>
            </w:r>
          </w:p>
        </w:tc>
        <w:tc>
          <w:tcPr>
            <w:tcW w:w="607" w:type="dxa"/>
            <w:tcBorders>
              <w:top w:val="nil"/>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1 125,7</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3 624,6</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3 914,4</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3 973,4</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4 043,5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4 126,6</w:t>
            </w:r>
          </w:p>
        </w:tc>
        <w:tc>
          <w:tcPr>
            <w:tcW w:w="981" w:type="dxa"/>
            <w:tcBorders>
              <w:top w:val="nil"/>
              <w:left w:val="nil"/>
              <w:bottom w:val="single" w:sz="4" w:space="0" w:color="A6A6A6"/>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7 101,1</w:t>
            </w:r>
          </w:p>
        </w:tc>
      </w:tr>
      <w:tr w:rsidR="000A4933" w:rsidRPr="0092047B" w:rsidTr="003F472D">
        <w:trPr>
          <w:gridAfter w:val="1"/>
          <w:wAfter w:w="163" w:type="dxa"/>
          <w:trHeight w:val="255"/>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Ostatní plyny</w:t>
            </w:r>
          </w:p>
        </w:tc>
        <w:tc>
          <w:tcPr>
            <w:tcW w:w="607" w:type="dxa"/>
            <w:tcBorders>
              <w:top w:val="nil"/>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1 080,4</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1 130,5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1 130,5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1 130,5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1 130,5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1 130,5</w:t>
            </w:r>
          </w:p>
        </w:tc>
        <w:tc>
          <w:tcPr>
            <w:tcW w:w="981" w:type="dxa"/>
            <w:tcBorders>
              <w:top w:val="nil"/>
              <w:left w:val="nil"/>
              <w:bottom w:val="single" w:sz="4" w:space="0" w:color="A6A6A6"/>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1 130,5</w:t>
            </w:r>
          </w:p>
        </w:tc>
      </w:tr>
      <w:tr w:rsidR="000A4933" w:rsidRPr="0092047B" w:rsidTr="003F472D">
        <w:trPr>
          <w:gridAfter w:val="1"/>
          <w:wAfter w:w="163" w:type="dxa"/>
          <w:trHeight w:val="255"/>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Jádro</w:t>
            </w:r>
          </w:p>
        </w:tc>
        <w:tc>
          <w:tcPr>
            <w:tcW w:w="607" w:type="dxa"/>
            <w:tcBorders>
              <w:top w:val="nil"/>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27 998,2</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31 495,1</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31 495,1</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30 384,2</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31 495,1</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41 177,9</w:t>
            </w:r>
          </w:p>
        </w:tc>
        <w:tc>
          <w:tcPr>
            <w:tcW w:w="981" w:type="dxa"/>
            <w:tcBorders>
              <w:top w:val="nil"/>
              <w:left w:val="nil"/>
              <w:bottom w:val="single" w:sz="4" w:space="0" w:color="A6A6A6"/>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43 204,5</w:t>
            </w:r>
          </w:p>
        </w:tc>
      </w:tr>
      <w:tr w:rsidR="000A4933" w:rsidRPr="0092047B" w:rsidTr="003F472D">
        <w:trPr>
          <w:gridAfter w:val="1"/>
          <w:wAfter w:w="163" w:type="dxa"/>
          <w:trHeight w:val="255"/>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Ostatní paliva</w:t>
            </w:r>
          </w:p>
        </w:tc>
        <w:tc>
          <w:tcPr>
            <w:tcW w:w="607" w:type="dxa"/>
            <w:tcBorders>
              <w:top w:val="nil"/>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814,8</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848,6</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917,4</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1 294,5</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1 446,3</w:t>
            </w:r>
          </w:p>
        </w:tc>
        <w:tc>
          <w:tcPr>
            <w:tcW w:w="981" w:type="dxa"/>
            <w:tcBorders>
              <w:top w:val="nil"/>
              <w:left w:val="nil"/>
              <w:bottom w:val="single" w:sz="4" w:space="0" w:color="A6A6A6"/>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1 446,3</w:t>
            </w:r>
          </w:p>
        </w:tc>
        <w:tc>
          <w:tcPr>
            <w:tcW w:w="981" w:type="dxa"/>
            <w:tcBorders>
              <w:top w:val="nil"/>
              <w:left w:val="nil"/>
              <w:bottom w:val="single" w:sz="4" w:space="0" w:color="A6A6A6"/>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1 446,3</w:t>
            </w:r>
          </w:p>
        </w:tc>
      </w:tr>
      <w:tr w:rsidR="000A4933" w:rsidRPr="0092047B" w:rsidTr="003F472D">
        <w:trPr>
          <w:gridAfter w:val="1"/>
          <w:wAfter w:w="163" w:type="dxa"/>
          <w:trHeight w:val="270"/>
        </w:trPr>
        <w:tc>
          <w:tcPr>
            <w:tcW w:w="1843" w:type="dxa"/>
            <w:tcBorders>
              <w:top w:val="nil"/>
              <w:left w:val="single" w:sz="4" w:space="0" w:color="auto"/>
              <w:bottom w:val="single" w:sz="4" w:space="0" w:color="FFFFFF"/>
              <w:right w:val="single" w:sz="4" w:space="0" w:color="FFFFFF"/>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 xml:space="preserve">OZE </w:t>
            </w:r>
          </w:p>
        </w:tc>
        <w:tc>
          <w:tcPr>
            <w:tcW w:w="607" w:type="dxa"/>
            <w:tcBorders>
              <w:top w:val="nil"/>
              <w:left w:val="nil"/>
              <w:bottom w:val="single" w:sz="4" w:space="0" w:color="FFFFFF"/>
              <w:right w:val="single" w:sz="4" w:space="0" w:color="auto"/>
            </w:tcBorders>
            <w:shd w:val="clear" w:color="auto" w:fill="auto"/>
            <w:noWrap/>
            <w:vAlign w:val="bottom"/>
            <w:hideMark/>
          </w:tcPr>
          <w:p w:rsidR="000A4933" w:rsidRPr="0092047B" w:rsidRDefault="000A4933" w:rsidP="00184DC1">
            <w:pPr>
              <w:pStyle w:val="Bezmezer"/>
              <w:rPr>
                <w:rFonts w:cstheme="minorHAnsi"/>
              </w:rPr>
            </w:pPr>
            <w:r w:rsidRPr="0092047B">
              <w:rPr>
                <w:rFonts w:cstheme="minorHAnsi"/>
              </w:rPr>
              <w:t>GWh</w:t>
            </w:r>
          </w:p>
        </w:tc>
        <w:tc>
          <w:tcPr>
            <w:tcW w:w="981" w:type="dxa"/>
            <w:tcBorders>
              <w:top w:val="nil"/>
              <w:left w:val="nil"/>
              <w:bottom w:val="double" w:sz="6" w:space="0" w:color="808080"/>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5 902,8</w:t>
            </w:r>
          </w:p>
        </w:tc>
        <w:tc>
          <w:tcPr>
            <w:tcW w:w="981" w:type="dxa"/>
            <w:tcBorders>
              <w:top w:val="nil"/>
              <w:left w:val="nil"/>
              <w:bottom w:val="double" w:sz="6" w:space="0" w:color="808080"/>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10 122,3</w:t>
            </w:r>
          </w:p>
        </w:tc>
        <w:tc>
          <w:tcPr>
            <w:tcW w:w="981" w:type="dxa"/>
            <w:tcBorders>
              <w:top w:val="nil"/>
              <w:left w:val="nil"/>
              <w:bottom w:val="double" w:sz="6" w:space="0" w:color="808080"/>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11 548,8</w:t>
            </w:r>
          </w:p>
        </w:tc>
        <w:tc>
          <w:tcPr>
            <w:tcW w:w="981" w:type="dxa"/>
            <w:tcBorders>
              <w:top w:val="nil"/>
              <w:left w:val="nil"/>
              <w:bottom w:val="double" w:sz="6" w:space="0" w:color="808080"/>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13 742,0</w:t>
            </w:r>
          </w:p>
        </w:tc>
        <w:tc>
          <w:tcPr>
            <w:tcW w:w="981" w:type="dxa"/>
            <w:tcBorders>
              <w:top w:val="nil"/>
              <w:left w:val="nil"/>
              <w:bottom w:val="double" w:sz="6" w:space="0" w:color="808080"/>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15 125,6</w:t>
            </w:r>
          </w:p>
        </w:tc>
        <w:tc>
          <w:tcPr>
            <w:tcW w:w="981" w:type="dxa"/>
            <w:tcBorders>
              <w:top w:val="nil"/>
              <w:left w:val="nil"/>
              <w:bottom w:val="double" w:sz="6" w:space="0" w:color="808080"/>
              <w:right w:val="single" w:sz="4" w:space="0" w:color="FFFFFF"/>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17 638,7</w:t>
            </w:r>
          </w:p>
        </w:tc>
        <w:tc>
          <w:tcPr>
            <w:tcW w:w="981" w:type="dxa"/>
            <w:tcBorders>
              <w:top w:val="nil"/>
              <w:left w:val="nil"/>
              <w:bottom w:val="double" w:sz="6" w:space="0" w:color="808080"/>
              <w:right w:val="single" w:sz="4" w:space="0" w:color="auto"/>
            </w:tcBorders>
            <w:shd w:val="clear" w:color="auto" w:fill="auto"/>
            <w:noWrap/>
            <w:vAlign w:val="bottom"/>
            <w:hideMark/>
          </w:tcPr>
          <w:p w:rsidR="000A4933" w:rsidRDefault="000A4933" w:rsidP="00184DC1">
            <w:pPr>
              <w:spacing w:after="0"/>
              <w:jc w:val="right"/>
              <w:rPr>
                <w:rFonts w:ascii="Arial" w:hAnsi="Arial" w:cs="Arial"/>
                <w:color w:val="000000"/>
                <w:sz w:val="20"/>
                <w:szCs w:val="20"/>
              </w:rPr>
            </w:pPr>
            <w:r>
              <w:rPr>
                <w:rFonts w:ascii="Arial" w:hAnsi="Arial" w:cs="Arial"/>
                <w:color w:val="000000"/>
                <w:sz w:val="20"/>
                <w:szCs w:val="20"/>
              </w:rPr>
              <w:t>20 173,0</w:t>
            </w:r>
          </w:p>
        </w:tc>
      </w:tr>
      <w:tr w:rsidR="000A4933" w:rsidRPr="0092047B" w:rsidTr="003F472D">
        <w:trPr>
          <w:gridAfter w:val="1"/>
          <w:wAfter w:w="163" w:type="dxa"/>
          <w:trHeight w:val="270"/>
        </w:trPr>
        <w:tc>
          <w:tcPr>
            <w:tcW w:w="1843" w:type="dxa"/>
            <w:tcBorders>
              <w:top w:val="nil"/>
              <w:left w:val="single" w:sz="4" w:space="0" w:color="auto"/>
              <w:bottom w:val="single" w:sz="4" w:space="0" w:color="auto"/>
              <w:right w:val="single" w:sz="4" w:space="0" w:color="FFFFFF"/>
            </w:tcBorders>
            <w:shd w:val="clear" w:color="auto" w:fill="auto"/>
            <w:noWrap/>
            <w:vAlign w:val="bottom"/>
            <w:hideMark/>
          </w:tcPr>
          <w:p w:rsidR="000A4933" w:rsidRPr="0092047B" w:rsidRDefault="000A4933" w:rsidP="00184DC1">
            <w:pPr>
              <w:pStyle w:val="Bezmezer"/>
              <w:rPr>
                <w:rFonts w:cstheme="minorHAnsi"/>
                <w:b/>
              </w:rPr>
            </w:pPr>
            <w:r w:rsidRPr="0092047B">
              <w:rPr>
                <w:rFonts w:cstheme="minorHAnsi"/>
                <w:b/>
              </w:rPr>
              <w:t>Celkem</w:t>
            </w:r>
          </w:p>
        </w:tc>
        <w:tc>
          <w:tcPr>
            <w:tcW w:w="607" w:type="dxa"/>
            <w:tcBorders>
              <w:top w:val="nil"/>
              <w:left w:val="nil"/>
              <w:bottom w:val="single" w:sz="4" w:space="0" w:color="auto"/>
              <w:right w:val="single" w:sz="4" w:space="0" w:color="auto"/>
            </w:tcBorders>
            <w:shd w:val="clear" w:color="auto" w:fill="auto"/>
            <w:noWrap/>
            <w:vAlign w:val="bottom"/>
            <w:hideMark/>
          </w:tcPr>
          <w:p w:rsidR="000A4933" w:rsidRPr="0092047B" w:rsidRDefault="000A4933" w:rsidP="00184DC1">
            <w:pPr>
              <w:pStyle w:val="Bezmezer"/>
              <w:rPr>
                <w:rFonts w:cstheme="minorHAnsi"/>
                <w:b/>
              </w:rPr>
            </w:pPr>
            <w:r w:rsidRPr="0092047B">
              <w:rPr>
                <w:rFonts w:cstheme="minorHAnsi"/>
                <w:b/>
              </w:rPr>
              <w:t>GWh</w:t>
            </w:r>
          </w:p>
        </w:tc>
        <w:tc>
          <w:tcPr>
            <w:tcW w:w="981" w:type="dxa"/>
            <w:tcBorders>
              <w:top w:val="nil"/>
              <w:left w:val="nil"/>
              <w:bottom w:val="single" w:sz="4" w:space="0" w:color="auto"/>
              <w:right w:val="single" w:sz="4" w:space="0" w:color="FFFFFF"/>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85 910,0</w:t>
            </w:r>
          </w:p>
        </w:tc>
        <w:tc>
          <w:tcPr>
            <w:tcW w:w="981" w:type="dxa"/>
            <w:tcBorders>
              <w:top w:val="nil"/>
              <w:left w:val="nil"/>
              <w:bottom w:val="single" w:sz="4" w:space="0" w:color="auto"/>
              <w:right w:val="single" w:sz="4" w:space="0" w:color="FFFFFF"/>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93 443,2</w:t>
            </w:r>
          </w:p>
        </w:tc>
        <w:tc>
          <w:tcPr>
            <w:tcW w:w="981" w:type="dxa"/>
            <w:tcBorders>
              <w:top w:val="nil"/>
              <w:left w:val="nil"/>
              <w:bottom w:val="single" w:sz="4" w:space="0" w:color="auto"/>
              <w:right w:val="single" w:sz="4" w:space="0" w:color="FFFFFF"/>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90 156,0</w:t>
            </w:r>
          </w:p>
        </w:tc>
        <w:tc>
          <w:tcPr>
            <w:tcW w:w="981" w:type="dxa"/>
            <w:tcBorders>
              <w:top w:val="nil"/>
              <w:left w:val="nil"/>
              <w:bottom w:val="single" w:sz="4" w:space="0" w:color="auto"/>
              <w:right w:val="single" w:sz="4" w:space="0" w:color="FFFFFF"/>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83 826,4</w:t>
            </w:r>
          </w:p>
        </w:tc>
        <w:tc>
          <w:tcPr>
            <w:tcW w:w="981" w:type="dxa"/>
            <w:tcBorders>
              <w:top w:val="nil"/>
              <w:left w:val="nil"/>
              <w:bottom w:val="single" w:sz="4" w:space="0" w:color="auto"/>
              <w:right w:val="single" w:sz="4" w:space="0" w:color="FFFFFF"/>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84 012,7</w:t>
            </w:r>
          </w:p>
        </w:tc>
        <w:tc>
          <w:tcPr>
            <w:tcW w:w="981" w:type="dxa"/>
            <w:tcBorders>
              <w:top w:val="nil"/>
              <w:left w:val="nil"/>
              <w:bottom w:val="single" w:sz="4" w:space="0" w:color="auto"/>
              <w:right w:val="single" w:sz="4" w:space="0" w:color="FFFFFF"/>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91 631,2</w:t>
            </w:r>
          </w:p>
        </w:tc>
        <w:tc>
          <w:tcPr>
            <w:tcW w:w="981" w:type="dxa"/>
            <w:tcBorders>
              <w:top w:val="nil"/>
              <w:left w:val="nil"/>
              <w:bottom w:val="single" w:sz="4" w:space="0" w:color="auto"/>
              <w:right w:val="single" w:sz="4" w:space="0" w:color="auto"/>
            </w:tcBorders>
            <w:shd w:val="clear" w:color="auto" w:fill="auto"/>
            <w:noWrap/>
            <w:vAlign w:val="bottom"/>
            <w:hideMark/>
          </w:tcPr>
          <w:p w:rsidR="000A4933" w:rsidRDefault="000A4933" w:rsidP="00184DC1">
            <w:pPr>
              <w:spacing w:after="0"/>
              <w:jc w:val="right"/>
              <w:rPr>
                <w:rFonts w:ascii="Arial" w:hAnsi="Arial" w:cs="Arial"/>
                <w:b/>
                <w:bCs/>
                <w:color w:val="000000"/>
                <w:sz w:val="20"/>
                <w:szCs w:val="20"/>
              </w:rPr>
            </w:pPr>
            <w:r>
              <w:rPr>
                <w:rFonts w:ascii="Arial" w:hAnsi="Arial" w:cs="Arial"/>
                <w:b/>
                <w:bCs/>
                <w:color w:val="000000"/>
                <w:sz w:val="20"/>
                <w:szCs w:val="20"/>
              </w:rPr>
              <w:t>88 541,7</w:t>
            </w:r>
          </w:p>
        </w:tc>
      </w:tr>
      <w:tr w:rsidR="003F472D" w:rsidRPr="0010323D" w:rsidTr="003F472D">
        <w:trPr>
          <w:trHeight w:val="499"/>
        </w:trPr>
        <w:tc>
          <w:tcPr>
            <w:tcW w:w="9480" w:type="dxa"/>
            <w:gridSpan w:val="10"/>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3F472D" w:rsidRPr="0010323D" w:rsidRDefault="003F472D" w:rsidP="00184DC1">
            <w:pPr>
              <w:spacing w:before="120" w:after="0"/>
              <w:rPr>
                <w:rFonts w:cstheme="minorHAnsi"/>
                <w:i/>
                <w:sz w:val="18"/>
                <w:szCs w:val="18"/>
              </w:rPr>
            </w:pPr>
            <w:r w:rsidRPr="0010323D">
              <w:rPr>
                <w:rFonts w:cstheme="minorHAnsi"/>
                <w:i/>
                <w:sz w:val="18"/>
                <w:szCs w:val="18"/>
              </w:rPr>
              <w:t>Pozn.</w:t>
            </w:r>
            <w:r w:rsidR="00953D15" w:rsidRPr="0010323D">
              <w:rPr>
                <w:rFonts w:cstheme="minorHAnsi"/>
                <w:i/>
                <w:sz w:val="18"/>
                <w:szCs w:val="18"/>
              </w:rPr>
              <w:t>:</w:t>
            </w:r>
            <w:r w:rsidRPr="0010323D">
              <w:rPr>
                <w:rFonts w:cstheme="minorHAnsi"/>
                <w:i/>
                <w:sz w:val="18"/>
                <w:szCs w:val="18"/>
              </w:rPr>
              <w:t xml:space="preserve"> ostatní plyny – koksárenský, vysokopecní, degazační a ostatní</w:t>
            </w:r>
          </w:p>
          <w:p w:rsidR="003F472D" w:rsidRPr="0010323D" w:rsidRDefault="003F472D" w:rsidP="00184DC1">
            <w:pPr>
              <w:spacing w:after="0"/>
              <w:rPr>
                <w:rFonts w:ascii="Arial" w:hAnsi="Arial" w:cs="Arial"/>
                <w:b/>
                <w:bCs/>
                <w:color w:val="000000"/>
                <w:sz w:val="18"/>
                <w:szCs w:val="18"/>
              </w:rPr>
            </w:pPr>
            <w:r w:rsidRPr="0010323D">
              <w:rPr>
                <w:rFonts w:cstheme="minorHAnsi"/>
                <w:i/>
                <w:sz w:val="18"/>
                <w:szCs w:val="18"/>
              </w:rPr>
              <w:t>ostatní paliva – ropné produkty, průmyslové odpady a alternativní paliv</w:t>
            </w:r>
            <w:r w:rsidR="00E42D66">
              <w:rPr>
                <w:rFonts w:cstheme="minorHAnsi"/>
                <w:i/>
                <w:sz w:val="18"/>
                <w:szCs w:val="18"/>
              </w:rPr>
              <w:t>a, tuhý komunální odpady (neobnov.</w:t>
            </w:r>
            <w:r w:rsidRPr="0010323D">
              <w:rPr>
                <w:rFonts w:cstheme="minorHAnsi"/>
                <w:i/>
                <w:sz w:val="18"/>
                <w:szCs w:val="18"/>
              </w:rPr>
              <w:t>), odpadní teplo</w:t>
            </w:r>
          </w:p>
        </w:tc>
      </w:tr>
    </w:tbl>
    <w:p w:rsidR="00235C7B" w:rsidRDefault="00235C7B" w:rsidP="00184DC1">
      <w:pPr>
        <w:pStyle w:val="Titulek"/>
        <w:keepNext/>
        <w:spacing w:before="240" w:after="120"/>
        <w:jc w:val="left"/>
      </w:pPr>
      <w:bookmarkStart w:id="916" w:name="_Toc396923126"/>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10</w:t>
      </w:r>
      <w:r w:rsidRPr="00235C7B">
        <w:rPr>
          <w:b/>
        </w:rPr>
        <w:fldChar w:fldCharType="end"/>
      </w:r>
      <w:r w:rsidRPr="00235C7B">
        <w:rPr>
          <w:b/>
        </w:rPr>
        <w:t>:</w:t>
      </w:r>
      <w:r>
        <w:t xml:space="preserve"> </w:t>
      </w:r>
      <w:r w:rsidRPr="0092047B">
        <w:t>Vývoj a struktura hrubé výroby elektřiny</w:t>
      </w:r>
      <w:bookmarkEnd w:id="916"/>
    </w:p>
    <w:p w:rsidR="003F472D" w:rsidRDefault="003F472D" w:rsidP="00184DC1">
      <w:pPr>
        <w:spacing w:before="120" w:after="120"/>
        <w:jc w:val="center"/>
        <w:rPr>
          <w:rFonts w:cstheme="minorHAnsi"/>
        </w:rPr>
      </w:pPr>
      <w:r w:rsidRPr="0092047B">
        <w:rPr>
          <w:rFonts w:cstheme="minorHAnsi"/>
          <w:noProof/>
        </w:rPr>
        <w:drawing>
          <wp:inline distT="0" distB="0" distL="0" distR="0" wp14:anchorId="1EE8971F" wp14:editId="5BFA31B7">
            <wp:extent cx="5760000" cy="3780000"/>
            <wp:effectExtent l="0" t="0" r="12700" b="1143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295C" w:rsidRPr="0010323D" w:rsidRDefault="000A4933" w:rsidP="00184DC1">
      <w:pPr>
        <w:spacing w:before="120"/>
        <w:rPr>
          <w:i/>
          <w:sz w:val="18"/>
          <w:szCs w:val="18"/>
        </w:rPr>
      </w:pPr>
      <w:r w:rsidRPr="0010323D">
        <w:rPr>
          <w:rFonts w:cstheme="minorHAnsi"/>
          <w:sz w:val="18"/>
          <w:szCs w:val="18"/>
        </w:rPr>
        <w:t xml:space="preserve">* </w:t>
      </w:r>
      <w:r w:rsidR="0007295C" w:rsidRPr="0010323D">
        <w:rPr>
          <w:i/>
          <w:sz w:val="18"/>
          <w:szCs w:val="18"/>
        </w:rPr>
        <w:t>Skok ve výrobě elektřiny patrný v roce 2037 je způsoben předpokladem, že nové jaderné zdroje budou mít jistou náběhovou křivku a nebudou spuštěny s plným výkonem. Při současném prognózovaném decommissioningu JEDU bude patrný jistý skok ve struktuře hrubé výroby elektřiny.</w:t>
      </w:r>
    </w:p>
    <w:p w:rsidR="003F472D" w:rsidRPr="0092047B" w:rsidRDefault="003F472D" w:rsidP="00EF045E">
      <w:pPr>
        <w:spacing w:after="120"/>
        <w:rPr>
          <w:rFonts w:cstheme="minorHAnsi"/>
        </w:rPr>
      </w:pPr>
      <w:r w:rsidRPr="0092047B">
        <w:rPr>
          <w:rFonts w:cstheme="minorHAnsi"/>
        </w:rPr>
        <w:t>Celková výroba elektřiny ve sledovaném období bude mít vzestupnou tendenci. Ta odpovídá předpokladu postupného zvyšování spotřeby elektřiny ve všech sektorech národního hospodářství, s výjimkou spotřeby domácností (MOO). Markantnější výkyvy jsou pak způsobeny odstavováním zastaralých uhelných elektráren (v letech 2016 až 2025), zahájením provozu nových jaderných bloků a nahrazením odstavovaných bloků JEDU novými jadernými zdroji (mezi lety 2033 až 2037). Hlavními změnami v bilanci výroby elektřiny je postupný pokles výroby z hnědouhelných elektráren a naopak nárůst výroby z jaderných elektráren. Výroba elektřiny ze zemního plynu se předpokládá zejména v kogeneraci a ve špičkových zdrojích pracujících v horním rozsahu pološpičkového pásma. Hlavní nárůst výroby elektřiny ze zemního plynu se uskuteční do roku 2020 a poté se výroba stabilizuje. Instalovaný výkon zdrojů  na zemní plyn však bude v koridorovém vymezení umožňovat určitý nárůst výroby (a tedy i exportu), pokud pro to budou na trhu s elektřinou výhodné podmínky.</w:t>
      </w:r>
    </w:p>
    <w:p w:rsidR="003F472D" w:rsidRPr="0092047B" w:rsidRDefault="003F472D" w:rsidP="00EF045E">
      <w:pPr>
        <w:spacing w:after="120"/>
        <w:rPr>
          <w:rFonts w:cstheme="minorHAnsi"/>
        </w:rPr>
      </w:pPr>
      <w:r w:rsidRPr="0092047B">
        <w:rPr>
          <w:rFonts w:cstheme="minorHAnsi"/>
        </w:rPr>
        <w:t xml:space="preserve">Výkonová bilance ES ČR zůstává na základě předpokladů optimalizovaného scénáře trvale přebytková, nicméně zejména mezi roky 2020 a 2025 se dostává významně pod cílové hodnoty (10 až 15 %). V případě zpoždění uvedení do provozu nových bloků JE by se energetika ČR dostala do stavu výkonově mírně deficitního a především energeticky dovozního. </w:t>
      </w:r>
      <w:r w:rsidR="00754488">
        <w:rPr>
          <w:rFonts w:cstheme="minorHAnsi"/>
        </w:rPr>
        <w:t>Dalším</w:t>
      </w:r>
      <w:r w:rsidRPr="0092047B">
        <w:rPr>
          <w:rFonts w:cstheme="minorHAnsi"/>
        </w:rPr>
        <w:t xml:space="preserve"> prvkem regulovatelnosti se po roce 2025 stává potenciál inteligentních sítí. V tomto smyslu se jedná zejména o vyšší účast poptávkové strany na systémové regulaci a zvýšení rozsahu centrální i decentrální akumulace.</w:t>
      </w:r>
    </w:p>
    <w:p w:rsidR="00235C7B" w:rsidRDefault="00235C7B" w:rsidP="00184DC1">
      <w:pPr>
        <w:pStyle w:val="Titulek"/>
        <w:keepNext/>
        <w:spacing w:before="240" w:after="120"/>
      </w:pPr>
      <w:bookmarkStart w:id="917" w:name="_Ref391888689"/>
      <w:bookmarkStart w:id="918" w:name="_Toc396923127"/>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11</w:t>
      </w:r>
      <w:r w:rsidRPr="00235C7B">
        <w:rPr>
          <w:b/>
        </w:rPr>
        <w:fldChar w:fldCharType="end"/>
      </w:r>
      <w:bookmarkEnd w:id="917"/>
      <w:r w:rsidRPr="00235C7B">
        <w:rPr>
          <w:b/>
        </w:rPr>
        <w:t>:</w:t>
      </w:r>
      <w:r>
        <w:t xml:space="preserve"> </w:t>
      </w:r>
      <w:r w:rsidRPr="0092047B">
        <w:t>Vývoj a struktura instalovaného výkonu ES ČR</w:t>
      </w:r>
      <w:bookmarkEnd w:id="918"/>
    </w:p>
    <w:p w:rsidR="003F472D" w:rsidRPr="0092047B" w:rsidRDefault="00AC40A4" w:rsidP="00184DC1">
      <w:pPr>
        <w:spacing w:before="120"/>
      </w:pPr>
      <w:r>
        <w:rPr>
          <w:noProof/>
        </w:rPr>
        <w:drawing>
          <wp:inline distT="0" distB="0" distL="0" distR="0" wp14:anchorId="28520ED3" wp14:editId="6F0F8A38">
            <wp:extent cx="5760000" cy="4500000"/>
            <wp:effectExtent l="0" t="0" r="12700" b="15240"/>
            <wp:docPr id="124" name="Graf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0C7B" w:rsidRPr="0092047B" w:rsidRDefault="003F472D" w:rsidP="00184DC1">
      <w:pPr>
        <w:rPr>
          <w:rFonts w:cstheme="minorHAnsi"/>
        </w:rPr>
      </w:pPr>
      <w:r w:rsidRPr="0092047B">
        <w:rPr>
          <w:rFonts w:cstheme="minorHAnsi"/>
        </w:rPr>
        <w:t>Významnou charakteristikou předpokládaného vývoje výkonové bilance je především nárůst instalovaného výkonu ve zdrojích proměnlivého charakteru dodávky, který ukazuje</w:t>
      </w:r>
      <w:r w:rsidR="005876DC">
        <w:rPr>
          <w:rFonts w:cstheme="minorHAnsi"/>
        </w:rPr>
        <w:t xml:space="preserve"> </w:t>
      </w:r>
      <w:r w:rsidR="005876DC" w:rsidRPr="005876DC">
        <w:rPr>
          <w:rFonts w:cstheme="minorHAnsi"/>
        </w:rPr>
        <w:fldChar w:fldCharType="begin"/>
      </w:r>
      <w:r w:rsidR="005876DC" w:rsidRPr="005876DC">
        <w:rPr>
          <w:rFonts w:cstheme="minorHAnsi"/>
        </w:rPr>
        <w:instrText xml:space="preserve"> REF _Ref391888689 \h  \* MERGEFORMAT </w:instrText>
      </w:r>
      <w:r w:rsidR="005876DC" w:rsidRPr="005876DC">
        <w:rPr>
          <w:rFonts w:cstheme="minorHAnsi"/>
        </w:rPr>
      </w:r>
      <w:r w:rsidR="005876DC" w:rsidRPr="005876DC">
        <w:rPr>
          <w:rFonts w:cstheme="minorHAnsi"/>
        </w:rPr>
        <w:fldChar w:fldCharType="separate"/>
      </w:r>
      <w:r w:rsidR="0096423F" w:rsidRPr="0096423F">
        <w:t xml:space="preserve">Graf č. </w:t>
      </w:r>
      <w:r w:rsidR="0096423F" w:rsidRPr="0096423F">
        <w:rPr>
          <w:noProof/>
        </w:rPr>
        <w:t>11</w:t>
      </w:r>
      <w:r w:rsidR="005876DC" w:rsidRPr="005876DC">
        <w:rPr>
          <w:rFonts w:cstheme="minorHAnsi"/>
        </w:rPr>
        <w:fldChar w:fldCharType="end"/>
      </w:r>
      <w:r w:rsidRPr="0092047B">
        <w:rPr>
          <w:rFonts w:cstheme="minorHAnsi"/>
        </w:rPr>
        <w:t>. V oblasti zdrojů stálého výkonu jde v podstatě o mírný pokles a dále pak stagnaci. To znamená, že pohotový výkon zdrojů díky nízkému využití nových kapacit OZE prakticky dále neroste. Významný podíl na regulaci ES tedy musí mít vyšší a efektivnější zapojení spotřeby (tedy poptávkové strany) do regulace a nárůst kapacity akumulačních systémů společně s dobudováním systému řízení v rámci inteligentních sítí do roku 2025. Téměř nutnou podmínkou provozuschopnosti ES je též široká mezinárodní spolupráce mezi provozovateli přenosových soustav a flexibilní mechanismus přeshraničního obchodování.</w:t>
      </w:r>
    </w:p>
    <w:p w:rsidR="00270C7B" w:rsidRPr="0092047B" w:rsidRDefault="00270C7B" w:rsidP="00184DC1">
      <w:pPr>
        <w:spacing w:after="0"/>
        <w:jc w:val="left"/>
        <w:rPr>
          <w:rFonts w:cstheme="minorHAnsi"/>
        </w:rPr>
      </w:pPr>
      <w:r w:rsidRPr="0092047B">
        <w:rPr>
          <w:rFonts w:cstheme="minorHAnsi"/>
        </w:rPr>
        <w:br w:type="page"/>
      </w:r>
    </w:p>
    <w:p w:rsidR="003F472D" w:rsidRPr="0092047B" w:rsidRDefault="003F472D" w:rsidP="00184DC1">
      <w:pPr>
        <w:pStyle w:val="Nadpis3"/>
      </w:pPr>
      <w:bookmarkStart w:id="919" w:name="_Toc367279700"/>
      <w:bookmarkStart w:id="920" w:name="_Toc367280249"/>
      <w:bookmarkStart w:id="921" w:name="_Toc370121887"/>
      <w:bookmarkStart w:id="922" w:name="_Toc387757709"/>
      <w:bookmarkStart w:id="923" w:name="_Toc396923421"/>
      <w:r w:rsidRPr="0092047B">
        <w:t>Vývoj a struktura hrubé výroby elektřiny z OZE</w:t>
      </w:r>
      <w:bookmarkEnd w:id="919"/>
      <w:bookmarkEnd w:id="920"/>
      <w:bookmarkEnd w:id="921"/>
      <w:bookmarkEnd w:id="922"/>
      <w:bookmarkEnd w:id="923"/>
    </w:p>
    <w:p w:rsidR="003F472D" w:rsidRPr="0092047B" w:rsidRDefault="003F472D" w:rsidP="00184DC1">
      <w:pPr>
        <w:pStyle w:val="Titulek"/>
        <w:keepNext/>
        <w:spacing w:before="240" w:after="120"/>
      </w:pPr>
      <w:bookmarkStart w:id="924" w:name="_Toc387757569"/>
      <w:bookmarkStart w:id="925" w:name="_Toc396923167"/>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8</w:t>
      </w:r>
      <w:r w:rsidRPr="0092047B">
        <w:rPr>
          <w:b/>
        </w:rPr>
        <w:fldChar w:fldCharType="end"/>
      </w:r>
      <w:r w:rsidRPr="0092047B">
        <w:rPr>
          <w:b/>
        </w:rPr>
        <w:t>:</w:t>
      </w:r>
      <w:r w:rsidRPr="0092047B">
        <w:t xml:space="preserve"> Vývoj a struktura hrubé výroby elektřiny z OZE</w:t>
      </w:r>
      <w:bookmarkEnd w:id="924"/>
      <w:bookmarkEnd w:id="925"/>
    </w:p>
    <w:tbl>
      <w:tblPr>
        <w:tblW w:w="5000" w:type="pct"/>
        <w:tblCellMar>
          <w:left w:w="70" w:type="dxa"/>
          <w:right w:w="70" w:type="dxa"/>
        </w:tblCellMar>
        <w:tblLook w:val="04A0" w:firstRow="1" w:lastRow="0" w:firstColumn="1" w:lastColumn="0" w:noHBand="0" w:noVBand="1"/>
      </w:tblPr>
      <w:tblGrid>
        <w:gridCol w:w="2312"/>
        <w:gridCol w:w="600"/>
        <w:gridCol w:w="804"/>
        <w:gridCol w:w="916"/>
        <w:gridCol w:w="916"/>
        <w:gridCol w:w="916"/>
        <w:gridCol w:w="916"/>
        <w:gridCol w:w="916"/>
        <w:gridCol w:w="916"/>
      </w:tblGrid>
      <w:tr w:rsidR="003F472D" w:rsidRPr="00821858" w:rsidTr="000E4A9A">
        <w:trPr>
          <w:trHeight w:val="255"/>
        </w:trPr>
        <w:tc>
          <w:tcPr>
            <w:tcW w:w="1255" w:type="pct"/>
            <w:tcBorders>
              <w:top w:val="single" w:sz="4" w:space="0" w:color="auto"/>
              <w:left w:val="single" w:sz="4" w:space="0" w:color="auto"/>
              <w:bottom w:val="single" w:sz="4" w:space="0" w:color="auto"/>
              <w:right w:val="single" w:sz="4" w:space="0" w:color="FFFFFF"/>
            </w:tcBorders>
            <w:shd w:val="clear" w:color="auto" w:fill="auto"/>
            <w:noWrap/>
            <w:vAlign w:val="bottom"/>
            <w:hideMark/>
          </w:tcPr>
          <w:p w:rsidR="003F472D" w:rsidRPr="00821858" w:rsidRDefault="003F472D" w:rsidP="00184DC1">
            <w:pPr>
              <w:pStyle w:val="Bezmezer"/>
              <w:jc w:val="center"/>
              <w:rPr>
                <w:b/>
              </w:rPr>
            </w:pPr>
            <w:r w:rsidRPr="00821858">
              <w:rPr>
                <w:b/>
              </w:rPr>
              <w:t>OZE</w:t>
            </w:r>
          </w:p>
        </w:tc>
        <w:tc>
          <w:tcPr>
            <w:tcW w:w="326" w:type="pct"/>
            <w:tcBorders>
              <w:top w:val="single" w:sz="4" w:space="0" w:color="auto"/>
              <w:left w:val="nil"/>
              <w:bottom w:val="single" w:sz="4" w:space="0" w:color="auto"/>
              <w:right w:val="single" w:sz="4" w:space="0" w:color="FFFFFF"/>
            </w:tcBorders>
            <w:shd w:val="clear" w:color="auto" w:fill="auto"/>
            <w:noWrap/>
            <w:vAlign w:val="bottom"/>
            <w:hideMark/>
          </w:tcPr>
          <w:p w:rsidR="003F472D" w:rsidRPr="00821858" w:rsidRDefault="003F472D" w:rsidP="00184DC1">
            <w:pPr>
              <w:pStyle w:val="Bezmezer"/>
              <w:jc w:val="center"/>
              <w:rPr>
                <w:b/>
              </w:rPr>
            </w:pPr>
          </w:p>
        </w:tc>
        <w:tc>
          <w:tcPr>
            <w:tcW w:w="436" w:type="pct"/>
            <w:tcBorders>
              <w:top w:val="single" w:sz="4" w:space="0" w:color="auto"/>
              <w:left w:val="nil"/>
              <w:bottom w:val="single" w:sz="4" w:space="0" w:color="auto"/>
              <w:right w:val="single" w:sz="4" w:space="0" w:color="FFFFFF"/>
            </w:tcBorders>
            <w:shd w:val="clear" w:color="auto" w:fill="auto"/>
            <w:noWrap/>
            <w:vAlign w:val="center"/>
            <w:hideMark/>
          </w:tcPr>
          <w:p w:rsidR="003F472D" w:rsidRPr="00821858" w:rsidRDefault="003F472D" w:rsidP="00184DC1">
            <w:pPr>
              <w:pStyle w:val="Bezmezer"/>
              <w:jc w:val="center"/>
              <w:rPr>
                <w:b/>
              </w:rPr>
            </w:pPr>
            <w:r w:rsidRPr="00821858">
              <w:rPr>
                <w:b/>
              </w:rPr>
              <w:t>2010</w:t>
            </w:r>
          </w:p>
        </w:tc>
        <w:tc>
          <w:tcPr>
            <w:tcW w:w="497" w:type="pct"/>
            <w:tcBorders>
              <w:top w:val="single" w:sz="4" w:space="0" w:color="auto"/>
              <w:left w:val="nil"/>
              <w:bottom w:val="single" w:sz="4" w:space="0" w:color="auto"/>
              <w:right w:val="single" w:sz="4" w:space="0" w:color="FFFFFF"/>
            </w:tcBorders>
            <w:shd w:val="clear" w:color="auto" w:fill="auto"/>
            <w:noWrap/>
            <w:vAlign w:val="center"/>
            <w:hideMark/>
          </w:tcPr>
          <w:p w:rsidR="003F472D" w:rsidRPr="00821858" w:rsidRDefault="003F472D" w:rsidP="00184DC1">
            <w:pPr>
              <w:pStyle w:val="Bezmezer"/>
              <w:jc w:val="center"/>
              <w:rPr>
                <w:b/>
              </w:rPr>
            </w:pPr>
            <w:r w:rsidRPr="00821858">
              <w:rPr>
                <w:b/>
              </w:rPr>
              <w:t>2015</w:t>
            </w:r>
          </w:p>
        </w:tc>
        <w:tc>
          <w:tcPr>
            <w:tcW w:w="497" w:type="pct"/>
            <w:tcBorders>
              <w:top w:val="single" w:sz="4" w:space="0" w:color="auto"/>
              <w:left w:val="nil"/>
              <w:bottom w:val="single" w:sz="4" w:space="0" w:color="auto"/>
              <w:right w:val="single" w:sz="4" w:space="0" w:color="FFFFFF"/>
            </w:tcBorders>
            <w:shd w:val="clear" w:color="auto" w:fill="auto"/>
            <w:noWrap/>
            <w:vAlign w:val="center"/>
            <w:hideMark/>
          </w:tcPr>
          <w:p w:rsidR="003F472D" w:rsidRPr="00821858" w:rsidRDefault="003F472D" w:rsidP="00184DC1">
            <w:pPr>
              <w:pStyle w:val="Bezmezer"/>
              <w:jc w:val="center"/>
              <w:rPr>
                <w:b/>
              </w:rPr>
            </w:pPr>
            <w:r w:rsidRPr="00821858">
              <w:rPr>
                <w:b/>
              </w:rPr>
              <w:t>2020</w:t>
            </w:r>
          </w:p>
        </w:tc>
        <w:tc>
          <w:tcPr>
            <w:tcW w:w="497" w:type="pct"/>
            <w:tcBorders>
              <w:top w:val="single" w:sz="4" w:space="0" w:color="auto"/>
              <w:left w:val="nil"/>
              <w:bottom w:val="single" w:sz="4" w:space="0" w:color="auto"/>
              <w:right w:val="single" w:sz="4" w:space="0" w:color="FFFFFF"/>
            </w:tcBorders>
            <w:shd w:val="clear" w:color="auto" w:fill="auto"/>
            <w:noWrap/>
            <w:vAlign w:val="center"/>
            <w:hideMark/>
          </w:tcPr>
          <w:p w:rsidR="003F472D" w:rsidRPr="00821858" w:rsidRDefault="003F472D" w:rsidP="00184DC1">
            <w:pPr>
              <w:pStyle w:val="Bezmezer"/>
              <w:jc w:val="center"/>
              <w:rPr>
                <w:b/>
              </w:rPr>
            </w:pPr>
            <w:r w:rsidRPr="00821858">
              <w:rPr>
                <w:b/>
              </w:rPr>
              <w:t>2025</w:t>
            </w:r>
          </w:p>
        </w:tc>
        <w:tc>
          <w:tcPr>
            <w:tcW w:w="497" w:type="pct"/>
            <w:tcBorders>
              <w:top w:val="single" w:sz="4" w:space="0" w:color="auto"/>
              <w:left w:val="nil"/>
              <w:bottom w:val="single" w:sz="4" w:space="0" w:color="auto"/>
              <w:right w:val="single" w:sz="4" w:space="0" w:color="FFFFFF"/>
            </w:tcBorders>
            <w:shd w:val="clear" w:color="auto" w:fill="auto"/>
            <w:noWrap/>
            <w:vAlign w:val="center"/>
            <w:hideMark/>
          </w:tcPr>
          <w:p w:rsidR="003F472D" w:rsidRPr="00821858" w:rsidRDefault="003F472D" w:rsidP="00184DC1">
            <w:pPr>
              <w:pStyle w:val="Bezmezer"/>
              <w:jc w:val="center"/>
              <w:rPr>
                <w:b/>
              </w:rPr>
            </w:pPr>
            <w:r w:rsidRPr="00821858">
              <w:rPr>
                <w:b/>
              </w:rPr>
              <w:t>2030</w:t>
            </w:r>
          </w:p>
        </w:tc>
        <w:tc>
          <w:tcPr>
            <w:tcW w:w="497" w:type="pct"/>
            <w:tcBorders>
              <w:top w:val="single" w:sz="4" w:space="0" w:color="auto"/>
              <w:left w:val="nil"/>
              <w:bottom w:val="single" w:sz="4" w:space="0" w:color="auto"/>
              <w:right w:val="single" w:sz="4" w:space="0" w:color="FFFFFF"/>
            </w:tcBorders>
            <w:shd w:val="clear" w:color="auto" w:fill="auto"/>
            <w:noWrap/>
            <w:vAlign w:val="center"/>
            <w:hideMark/>
          </w:tcPr>
          <w:p w:rsidR="003F472D" w:rsidRPr="00821858" w:rsidRDefault="003F472D" w:rsidP="00184DC1">
            <w:pPr>
              <w:pStyle w:val="Bezmezer"/>
              <w:jc w:val="center"/>
              <w:rPr>
                <w:b/>
              </w:rPr>
            </w:pPr>
            <w:r w:rsidRPr="00821858">
              <w:rPr>
                <w:b/>
              </w:rPr>
              <w:t>2035</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3F472D" w:rsidRPr="00821858" w:rsidRDefault="003F472D" w:rsidP="00184DC1">
            <w:pPr>
              <w:pStyle w:val="Bezmezer"/>
              <w:jc w:val="center"/>
              <w:rPr>
                <w:b/>
              </w:rPr>
            </w:pPr>
            <w:r w:rsidRPr="00821858">
              <w:rPr>
                <w:b/>
              </w:rPr>
              <w:t>2040</w:t>
            </w:r>
          </w:p>
        </w:tc>
      </w:tr>
      <w:tr w:rsidR="00821858" w:rsidRPr="00821858" w:rsidTr="000E4A9A">
        <w:trPr>
          <w:trHeight w:val="255"/>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Biomasa</w:t>
            </w:r>
          </w:p>
        </w:tc>
        <w:tc>
          <w:tcPr>
            <w:tcW w:w="326" w:type="pct"/>
            <w:tcBorders>
              <w:top w:val="single" w:sz="4" w:space="0" w:color="FFFFFF"/>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single" w:sz="4" w:space="0" w:color="A6A6A6"/>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1 492,0</w:t>
            </w:r>
          </w:p>
        </w:tc>
        <w:tc>
          <w:tcPr>
            <w:tcW w:w="497" w:type="pct"/>
            <w:tcBorders>
              <w:top w:val="single" w:sz="4" w:space="0" w:color="A6A6A6"/>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1 878,9</w:t>
            </w:r>
          </w:p>
        </w:tc>
        <w:tc>
          <w:tcPr>
            <w:tcW w:w="497" w:type="pct"/>
            <w:tcBorders>
              <w:top w:val="single" w:sz="4" w:space="0" w:color="A6A6A6"/>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2 331,0</w:t>
            </w:r>
          </w:p>
        </w:tc>
        <w:tc>
          <w:tcPr>
            <w:tcW w:w="497" w:type="pct"/>
            <w:tcBorders>
              <w:top w:val="single" w:sz="4" w:space="0" w:color="A6A6A6"/>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2 540,6</w:t>
            </w:r>
          </w:p>
        </w:tc>
        <w:tc>
          <w:tcPr>
            <w:tcW w:w="497" w:type="pct"/>
            <w:tcBorders>
              <w:top w:val="single" w:sz="4" w:space="0" w:color="A6A6A6"/>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3 243,4</w:t>
            </w:r>
          </w:p>
        </w:tc>
        <w:tc>
          <w:tcPr>
            <w:tcW w:w="497" w:type="pct"/>
            <w:tcBorders>
              <w:top w:val="single" w:sz="4" w:space="0" w:color="A6A6A6"/>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3 946,1</w:t>
            </w:r>
          </w:p>
        </w:tc>
        <w:tc>
          <w:tcPr>
            <w:tcW w:w="497" w:type="pct"/>
            <w:tcBorders>
              <w:top w:val="single" w:sz="4" w:space="0" w:color="A6A6A6"/>
              <w:left w:val="nil"/>
              <w:bottom w:val="single" w:sz="4" w:space="0" w:color="A6A6A6"/>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4 648,8</w:t>
            </w:r>
          </w:p>
        </w:tc>
      </w:tr>
      <w:tr w:rsidR="00821858" w:rsidRPr="00821858" w:rsidTr="000E4A9A">
        <w:trPr>
          <w:trHeight w:val="255"/>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Bioplyn</w:t>
            </w:r>
          </w:p>
        </w:tc>
        <w:tc>
          <w:tcPr>
            <w:tcW w:w="326" w:type="pct"/>
            <w:tcBorders>
              <w:top w:val="nil"/>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634,6</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2 754,0</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3 121,2</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3 416,0</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3 696,0</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3 976,0</w:t>
            </w:r>
          </w:p>
        </w:tc>
        <w:tc>
          <w:tcPr>
            <w:tcW w:w="497" w:type="pct"/>
            <w:tcBorders>
              <w:top w:val="nil"/>
              <w:left w:val="nil"/>
              <w:bottom w:val="single" w:sz="4" w:space="0" w:color="A6A6A6"/>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4 256,0</w:t>
            </w:r>
          </w:p>
        </w:tc>
      </w:tr>
      <w:tr w:rsidR="00821858" w:rsidRPr="00821858" w:rsidTr="000E4A9A">
        <w:trPr>
          <w:trHeight w:val="255"/>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Biologicky rozl. část TKO</w:t>
            </w:r>
          </w:p>
        </w:tc>
        <w:tc>
          <w:tcPr>
            <w:tcW w:w="326" w:type="pct"/>
            <w:tcBorders>
              <w:top w:val="nil"/>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35,6</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91,2</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138,1</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310,0</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425,2</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425,2</w:t>
            </w:r>
          </w:p>
        </w:tc>
        <w:tc>
          <w:tcPr>
            <w:tcW w:w="497" w:type="pct"/>
            <w:tcBorders>
              <w:top w:val="nil"/>
              <w:left w:val="nil"/>
              <w:bottom w:val="single" w:sz="4" w:space="0" w:color="A6A6A6"/>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425,2</w:t>
            </w:r>
          </w:p>
        </w:tc>
      </w:tr>
      <w:tr w:rsidR="00821858" w:rsidRPr="00821858" w:rsidTr="000E4A9A">
        <w:trPr>
          <w:trHeight w:val="255"/>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Vodní elektrárny</w:t>
            </w:r>
            <w:r w:rsidR="000E4A9A">
              <w:t>*</w:t>
            </w:r>
          </w:p>
        </w:tc>
        <w:tc>
          <w:tcPr>
            <w:tcW w:w="326" w:type="pct"/>
            <w:tcBorders>
              <w:top w:val="nil"/>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nil"/>
              <w:left w:val="nil"/>
              <w:bottom w:val="single" w:sz="4" w:space="0" w:color="A6A6A6"/>
              <w:right w:val="single" w:sz="4" w:space="0" w:color="FFFFFF"/>
            </w:tcBorders>
            <w:shd w:val="clear" w:color="auto" w:fill="auto"/>
            <w:noWrap/>
            <w:vAlign w:val="bottom"/>
            <w:hideMark/>
          </w:tcPr>
          <w:p w:rsidR="00821858" w:rsidRPr="0007295C" w:rsidRDefault="00821858" w:rsidP="00184DC1">
            <w:pPr>
              <w:spacing w:after="0"/>
              <w:jc w:val="right"/>
              <w:rPr>
                <w:rFonts w:cs="Arial"/>
                <w:sz w:val="22"/>
                <w:szCs w:val="22"/>
              </w:rPr>
            </w:pPr>
            <w:r w:rsidRPr="0007295C">
              <w:rPr>
                <w:rFonts w:cs="Arial"/>
                <w:sz w:val="22"/>
                <w:szCs w:val="22"/>
              </w:rPr>
              <w:t>2 789,5</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07295C" w:rsidRDefault="00821858" w:rsidP="00184DC1">
            <w:pPr>
              <w:spacing w:after="0"/>
              <w:jc w:val="right"/>
              <w:rPr>
                <w:rFonts w:cs="Arial"/>
                <w:sz w:val="22"/>
                <w:szCs w:val="22"/>
              </w:rPr>
            </w:pPr>
            <w:r w:rsidRPr="0007295C">
              <w:rPr>
                <w:rFonts w:cs="Arial"/>
                <w:sz w:val="22"/>
                <w:szCs w:val="22"/>
              </w:rPr>
              <w:t>2 475,6</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2 522,7</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2 524,5</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2 526,2</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2 528,0</w:t>
            </w:r>
          </w:p>
        </w:tc>
        <w:tc>
          <w:tcPr>
            <w:tcW w:w="497" w:type="pct"/>
            <w:tcBorders>
              <w:top w:val="nil"/>
              <w:left w:val="nil"/>
              <w:bottom w:val="single" w:sz="4" w:space="0" w:color="A6A6A6"/>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2 529,7</w:t>
            </w:r>
          </w:p>
        </w:tc>
      </w:tr>
      <w:tr w:rsidR="00821858" w:rsidRPr="00821858" w:rsidTr="000E4A9A">
        <w:trPr>
          <w:trHeight w:val="255"/>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Větrné elektrárny</w:t>
            </w:r>
          </w:p>
        </w:tc>
        <w:tc>
          <w:tcPr>
            <w:tcW w:w="326" w:type="pct"/>
            <w:tcBorders>
              <w:top w:val="nil"/>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335,5</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647,2</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1 013,8</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1 328,4</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1 598,4</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1 945,8</w:t>
            </w:r>
          </w:p>
        </w:tc>
        <w:tc>
          <w:tcPr>
            <w:tcW w:w="497" w:type="pct"/>
            <w:tcBorders>
              <w:top w:val="nil"/>
              <w:left w:val="nil"/>
              <w:bottom w:val="single" w:sz="4" w:space="0" w:color="A6A6A6"/>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2 291,4</w:t>
            </w:r>
          </w:p>
        </w:tc>
      </w:tr>
      <w:tr w:rsidR="00821858" w:rsidRPr="00821858" w:rsidTr="000E4A9A">
        <w:trPr>
          <w:trHeight w:val="255"/>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Fotovoltaické elektrárny</w:t>
            </w:r>
          </w:p>
        </w:tc>
        <w:tc>
          <w:tcPr>
            <w:tcW w:w="326" w:type="pct"/>
            <w:tcBorders>
              <w:top w:val="nil"/>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615,7</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2 275,5</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2 403,6</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3 567,4</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3 567,4</w:t>
            </w:r>
          </w:p>
        </w:tc>
        <w:tc>
          <w:tcPr>
            <w:tcW w:w="497" w:type="pct"/>
            <w:tcBorders>
              <w:top w:val="nil"/>
              <w:left w:val="nil"/>
              <w:bottom w:val="single" w:sz="4" w:space="0" w:color="A6A6A6"/>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4 725,7</w:t>
            </w:r>
          </w:p>
        </w:tc>
        <w:tc>
          <w:tcPr>
            <w:tcW w:w="497" w:type="pct"/>
            <w:tcBorders>
              <w:top w:val="nil"/>
              <w:left w:val="nil"/>
              <w:bottom w:val="single" w:sz="4" w:space="0" w:color="A6A6A6"/>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5 883,9</w:t>
            </w:r>
          </w:p>
        </w:tc>
      </w:tr>
      <w:tr w:rsidR="00821858" w:rsidRPr="00821858" w:rsidTr="000E4A9A">
        <w:trPr>
          <w:trHeight w:val="270"/>
        </w:trPr>
        <w:tc>
          <w:tcPr>
            <w:tcW w:w="1255" w:type="pct"/>
            <w:tcBorders>
              <w:top w:val="nil"/>
              <w:left w:val="single" w:sz="4" w:space="0" w:color="auto"/>
              <w:bottom w:val="single" w:sz="4" w:space="0" w:color="FFFFFF"/>
              <w:right w:val="single" w:sz="4" w:space="0" w:color="FFFFFF"/>
            </w:tcBorders>
            <w:shd w:val="clear" w:color="auto" w:fill="auto"/>
            <w:noWrap/>
            <w:vAlign w:val="bottom"/>
            <w:hideMark/>
          </w:tcPr>
          <w:p w:rsidR="00821858" w:rsidRPr="00821858" w:rsidRDefault="00821858" w:rsidP="00184DC1">
            <w:pPr>
              <w:pStyle w:val="Bezmezer"/>
            </w:pPr>
            <w:r w:rsidRPr="00821858">
              <w:t>Geotermální energie</w:t>
            </w:r>
          </w:p>
        </w:tc>
        <w:tc>
          <w:tcPr>
            <w:tcW w:w="326" w:type="pct"/>
            <w:tcBorders>
              <w:top w:val="nil"/>
              <w:left w:val="nil"/>
              <w:bottom w:val="single" w:sz="4" w:space="0" w:color="FFFFFF"/>
              <w:right w:val="single" w:sz="4" w:space="0" w:color="auto"/>
            </w:tcBorders>
            <w:shd w:val="clear" w:color="auto" w:fill="auto"/>
            <w:noWrap/>
            <w:vAlign w:val="bottom"/>
            <w:hideMark/>
          </w:tcPr>
          <w:p w:rsidR="00821858" w:rsidRPr="00821858" w:rsidRDefault="00821858" w:rsidP="00184DC1">
            <w:pPr>
              <w:pStyle w:val="Bezmezer"/>
            </w:pPr>
            <w:r w:rsidRPr="00821858">
              <w:t>GWh</w:t>
            </w:r>
          </w:p>
        </w:tc>
        <w:tc>
          <w:tcPr>
            <w:tcW w:w="436" w:type="pct"/>
            <w:tcBorders>
              <w:top w:val="nil"/>
              <w:left w:val="nil"/>
              <w:bottom w:val="double" w:sz="6" w:space="0" w:color="808080"/>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0,0</w:t>
            </w:r>
          </w:p>
        </w:tc>
        <w:tc>
          <w:tcPr>
            <w:tcW w:w="497" w:type="pct"/>
            <w:tcBorders>
              <w:top w:val="nil"/>
              <w:left w:val="nil"/>
              <w:bottom w:val="double" w:sz="6" w:space="0" w:color="808080"/>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0,0</w:t>
            </w:r>
          </w:p>
        </w:tc>
        <w:tc>
          <w:tcPr>
            <w:tcW w:w="497" w:type="pct"/>
            <w:tcBorders>
              <w:top w:val="nil"/>
              <w:left w:val="nil"/>
              <w:bottom w:val="double" w:sz="6" w:space="0" w:color="808080"/>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18,4</w:t>
            </w:r>
          </w:p>
        </w:tc>
        <w:tc>
          <w:tcPr>
            <w:tcW w:w="497" w:type="pct"/>
            <w:tcBorders>
              <w:top w:val="nil"/>
              <w:left w:val="nil"/>
              <w:bottom w:val="double" w:sz="6" w:space="0" w:color="808080"/>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55,2</w:t>
            </w:r>
          </w:p>
        </w:tc>
        <w:tc>
          <w:tcPr>
            <w:tcW w:w="497" w:type="pct"/>
            <w:tcBorders>
              <w:top w:val="nil"/>
              <w:left w:val="nil"/>
              <w:bottom w:val="double" w:sz="6" w:space="0" w:color="808080"/>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69,0</w:t>
            </w:r>
          </w:p>
        </w:tc>
        <w:tc>
          <w:tcPr>
            <w:tcW w:w="497" w:type="pct"/>
            <w:tcBorders>
              <w:top w:val="nil"/>
              <w:left w:val="nil"/>
              <w:bottom w:val="double" w:sz="6" w:space="0" w:color="808080"/>
              <w:right w:val="single" w:sz="4" w:space="0" w:color="FFFFFF"/>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92,0</w:t>
            </w:r>
          </w:p>
        </w:tc>
        <w:tc>
          <w:tcPr>
            <w:tcW w:w="497" w:type="pct"/>
            <w:tcBorders>
              <w:top w:val="nil"/>
              <w:left w:val="nil"/>
              <w:bottom w:val="double" w:sz="6" w:space="0" w:color="808080"/>
              <w:right w:val="single" w:sz="4" w:space="0" w:color="auto"/>
            </w:tcBorders>
            <w:shd w:val="clear" w:color="auto" w:fill="auto"/>
            <w:noWrap/>
            <w:vAlign w:val="bottom"/>
            <w:hideMark/>
          </w:tcPr>
          <w:p w:rsidR="00821858" w:rsidRPr="00821858" w:rsidRDefault="00821858" w:rsidP="00184DC1">
            <w:pPr>
              <w:spacing w:after="0"/>
              <w:jc w:val="right"/>
              <w:rPr>
                <w:rFonts w:cs="Arial"/>
                <w:color w:val="000000"/>
                <w:sz w:val="22"/>
                <w:szCs w:val="22"/>
              </w:rPr>
            </w:pPr>
            <w:r w:rsidRPr="00821858">
              <w:rPr>
                <w:rFonts w:cs="Arial"/>
                <w:color w:val="000000"/>
                <w:sz w:val="22"/>
                <w:szCs w:val="22"/>
              </w:rPr>
              <w:t>138,0</w:t>
            </w:r>
          </w:p>
        </w:tc>
      </w:tr>
      <w:tr w:rsidR="00821858" w:rsidRPr="00821858" w:rsidTr="000E4A9A">
        <w:trPr>
          <w:trHeight w:val="270"/>
        </w:trPr>
        <w:tc>
          <w:tcPr>
            <w:tcW w:w="1255" w:type="pct"/>
            <w:tcBorders>
              <w:top w:val="nil"/>
              <w:left w:val="single" w:sz="4" w:space="0" w:color="auto"/>
              <w:bottom w:val="single" w:sz="4" w:space="0" w:color="auto"/>
              <w:right w:val="single" w:sz="4" w:space="0" w:color="FFFFFF"/>
            </w:tcBorders>
            <w:shd w:val="clear" w:color="auto" w:fill="auto"/>
            <w:noWrap/>
            <w:vAlign w:val="bottom"/>
            <w:hideMark/>
          </w:tcPr>
          <w:p w:rsidR="00821858" w:rsidRPr="00821858" w:rsidRDefault="00821858" w:rsidP="00184DC1">
            <w:pPr>
              <w:pStyle w:val="Bezmezer"/>
              <w:rPr>
                <w:b/>
              </w:rPr>
            </w:pPr>
            <w:r w:rsidRPr="00821858">
              <w:rPr>
                <w:b/>
              </w:rPr>
              <w:t>Celkem</w:t>
            </w:r>
          </w:p>
        </w:tc>
        <w:tc>
          <w:tcPr>
            <w:tcW w:w="326" w:type="pct"/>
            <w:tcBorders>
              <w:top w:val="nil"/>
              <w:left w:val="nil"/>
              <w:bottom w:val="single" w:sz="4" w:space="0" w:color="auto"/>
              <w:right w:val="single" w:sz="4" w:space="0" w:color="auto"/>
            </w:tcBorders>
            <w:shd w:val="clear" w:color="auto" w:fill="auto"/>
            <w:noWrap/>
            <w:vAlign w:val="bottom"/>
            <w:hideMark/>
          </w:tcPr>
          <w:p w:rsidR="00821858" w:rsidRPr="00821858" w:rsidRDefault="00821858" w:rsidP="00184DC1">
            <w:pPr>
              <w:pStyle w:val="Bezmezer"/>
              <w:rPr>
                <w:b/>
              </w:rPr>
            </w:pPr>
            <w:r w:rsidRPr="00821858">
              <w:rPr>
                <w:b/>
              </w:rPr>
              <w:t>GWh</w:t>
            </w:r>
          </w:p>
        </w:tc>
        <w:tc>
          <w:tcPr>
            <w:tcW w:w="436" w:type="pct"/>
            <w:tcBorders>
              <w:top w:val="nil"/>
              <w:left w:val="nil"/>
              <w:bottom w:val="single" w:sz="4" w:space="0" w:color="auto"/>
              <w:right w:val="single" w:sz="4" w:space="0" w:color="FFFFFF"/>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5 902,8</w:t>
            </w:r>
          </w:p>
        </w:tc>
        <w:tc>
          <w:tcPr>
            <w:tcW w:w="497" w:type="pct"/>
            <w:tcBorders>
              <w:top w:val="nil"/>
              <w:left w:val="nil"/>
              <w:bottom w:val="single" w:sz="4" w:space="0" w:color="auto"/>
              <w:right w:val="single" w:sz="4" w:space="0" w:color="FFFFFF"/>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10 122,3</w:t>
            </w:r>
          </w:p>
        </w:tc>
        <w:tc>
          <w:tcPr>
            <w:tcW w:w="497" w:type="pct"/>
            <w:tcBorders>
              <w:top w:val="nil"/>
              <w:left w:val="nil"/>
              <w:bottom w:val="single" w:sz="4" w:space="0" w:color="auto"/>
              <w:right w:val="single" w:sz="4" w:space="0" w:color="FFFFFF"/>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11 548,8</w:t>
            </w:r>
          </w:p>
        </w:tc>
        <w:tc>
          <w:tcPr>
            <w:tcW w:w="497" w:type="pct"/>
            <w:tcBorders>
              <w:top w:val="nil"/>
              <w:left w:val="nil"/>
              <w:bottom w:val="single" w:sz="4" w:space="0" w:color="auto"/>
              <w:right w:val="single" w:sz="4" w:space="0" w:color="FFFFFF"/>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13 742,0</w:t>
            </w:r>
          </w:p>
        </w:tc>
        <w:tc>
          <w:tcPr>
            <w:tcW w:w="497" w:type="pct"/>
            <w:tcBorders>
              <w:top w:val="nil"/>
              <w:left w:val="nil"/>
              <w:bottom w:val="single" w:sz="4" w:space="0" w:color="auto"/>
              <w:right w:val="single" w:sz="4" w:space="0" w:color="FFFFFF"/>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15 125,6</w:t>
            </w:r>
          </w:p>
        </w:tc>
        <w:tc>
          <w:tcPr>
            <w:tcW w:w="497" w:type="pct"/>
            <w:tcBorders>
              <w:top w:val="nil"/>
              <w:left w:val="nil"/>
              <w:bottom w:val="single" w:sz="4" w:space="0" w:color="auto"/>
              <w:right w:val="single" w:sz="4" w:space="0" w:color="FFFFFF"/>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17 638,7</w:t>
            </w:r>
          </w:p>
        </w:tc>
        <w:tc>
          <w:tcPr>
            <w:tcW w:w="497" w:type="pct"/>
            <w:tcBorders>
              <w:top w:val="nil"/>
              <w:left w:val="nil"/>
              <w:bottom w:val="single" w:sz="4" w:space="0" w:color="auto"/>
              <w:right w:val="single" w:sz="4" w:space="0" w:color="auto"/>
            </w:tcBorders>
            <w:shd w:val="clear" w:color="auto" w:fill="auto"/>
            <w:noWrap/>
            <w:vAlign w:val="bottom"/>
            <w:hideMark/>
          </w:tcPr>
          <w:p w:rsidR="00821858" w:rsidRPr="00821858" w:rsidRDefault="00821858" w:rsidP="00184DC1">
            <w:pPr>
              <w:spacing w:after="0"/>
              <w:jc w:val="right"/>
              <w:rPr>
                <w:rFonts w:cs="Arial"/>
                <w:b/>
                <w:bCs/>
                <w:color w:val="000000"/>
                <w:sz w:val="22"/>
                <w:szCs w:val="22"/>
              </w:rPr>
            </w:pPr>
            <w:r w:rsidRPr="00821858">
              <w:rPr>
                <w:rFonts w:cs="Arial"/>
                <w:b/>
                <w:bCs/>
                <w:color w:val="000000"/>
                <w:sz w:val="22"/>
                <w:szCs w:val="22"/>
              </w:rPr>
              <w:t>20 173,0</w:t>
            </w:r>
          </w:p>
        </w:tc>
      </w:tr>
    </w:tbl>
    <w:p w:rsidR="00821858" w:rsidRPr="0010323D" w:rsidRDefault="000E4A9A" w:rsidP="00184DC1">
      <w:pPr>
        <w:pStyle w:val="Titulek"/>
        <w:jc w:val="left"/>
        <w:rPr>
          <w:i/>
          <w:sz w:val="18"/>
          <w:szCs w:val="18"/>
        </w:rPr>
      </w:pPr>
      <w:r w:rsidRPr="0010323D">
        <w:rPr>
          <w:i/>
          <w:sz w:val="18"/>
          <w:szCs w:val="18"/>
        </w:rPr>
        <w:t>* V roce 2010 byla výjimečně vysoká výroba elektřiny z vodních elektráren způsobená významně příznivými klimatickými podmínkami. Ve výhledech je počítáno s průměrným úhrnem srážek, čímž je způsoben relativní pokles ve výrobě.</w:t>
      </w:r>
    </w:p>
    <w:p w:rsidR="00235C7B" w:rsidRDefault="00235C7B" w:rsidP="00184DC1">
      <w:pPr>
        <w:pStyle w:val="Titulek"/>
        <w:keepNext/>
        <w:spacing w:before="240" w:after="120"/>
        <w:jc w:val="left"/>
      </w:pPr>
      <w:bookmarkStart w:id="926" w:name="_Toc396923128"/>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12</w:t>
      </w:r>
      <w:r w:rsidRPr="00235C7B">
        <w:rPr>
          <w:b/>
        </w:rPr>
        <w:fldChar w:fldCharType="end"/>
      </w:r>
      <w:r w:rsidRPr="00235C7B">
        <w:rPr>
          <w:b/>
        </w:rPr>
        <w:t xml:space="preserve">: </w:t>
      </w:r>
      <w:r w:rsidRPr="0092047B">
        <w:t>Vývoj a struktura hrubé výroby elektřiny z OZE</w:t>
      </w:r>
      <w:bookmarkEnd w:id="926"/>
    </w:p>
    <w:p w:rsidR="003F472D" w:rsidRPr="0092047B" w:rsidRDefault="003F472D" w:rsidP="00184DC1">
      <w:pPr>
        <w:spacing w:before="120"/>
        <w:jc w:val="center"/>
        <w:rPr>
          <w:rFonts w:cstheme="minorHAnsi"/>
        </w:rPr>
      </w:pPr>
      <w:r w:rsidRPr="0092047B">
        <w:rPr>
          <w:rFonts w:cstheme="minorHAnsi"/>
          <w:noProof/>
        </w:rPr>
        <w:drawing>
          <wp:inline distT="0" distB="0" distL="0" distR="0" wp14:anchorId="423670D1" wp14:editId="3D92E01C">
            <wp:extent cx="5759532" cy="3780000"/>
            <wp:effectExtent l="0" t="0" r="12700" b="1143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70C7B" w:rsidRPr="0092047B" w:rsidRDefault="003F472D" w:rsidP="00184DC1">
      <w:pPr>
        <w:rPr>
          <w:rFonts w:cstheme="minorHAnsi"/>
        </w:rPr>
      </w:pPr>
      <w:r w:rsidRPr="0092047B">
        <w:rPr>
          <w:rFonts w:cstheme="minorHAnsi"/>
        </w:rPr>
        <w:t>Celková výroba elektřiny z obnovitelných a druhotných zdrojů energie mezi lety 2010 až 2040 trvale roste. To je motivováno snahou co nejvíce využít tento tuzemský energetický zdroj, ale za předpokladu jeho konkurenceschopnosti. Kromě vodní energie, jejíž potenciál byl díky více než stoletému rozvoji vodních elektráren na našem území již prakticky vyčerpán, je patrný předpoklad dalšího rozvoje bioplynových stanic a FVE. Rozvoj výroby elektřiny z biomasy a odpadu je trvalý až do vyčerpání tuzemského potenciálu (dle Akčního plánu pro biomasu, statistik a výhledů produkce odpadu a jeho spalitelné složky).</w:t>
      </w:r>
    </w:p>
    <w:p w:rsidR="003F472D" w:rsidRPr="0092047B" w:rsidRDefault="003F472D" w:rsidP="00184DC1">
      <w:pPr>
        <w:rPr>
          <w:rFonts w:cstheme="minorHAnsi"/>
        </w:rPr>
      </w:pPr>
      <w:r w:rsidRPr="0092047B">
        <w:rPr>
          <w:rFonts w:cstheme="minorHAnsi"/>
        </w:rPr>
        <w:t>U ropy a ropných produktů je očekáván postupný pokles spotřeby.</w:t>
      </w:r>
      <w:r w:rsidRPr="0092047B" w:rsidDel="0020425F">
        <w:rPr>
          <w:rFonts w:cstheme="minorHAnsi"/>
        </w:rPr>
        <w:t xml:space="preserve"> </w:t>
      </w:r>
      <w:r w:rsidRPr="0092047B">
        <w:rPr>
          <w:rFonts w:cstheme="minorHAnsi"/>
        </w:rPr>
        <w:t>Důvodem bude uplatnění uhlíkových daní na topné oleje, trend dalšího snižování spotřeby vozidel a také nástup alternativních pohonů vozidel.</w:t>
      </w:r>
    </w:p>
    <w:p w:rsidR="003F472D" w:rsidRPr="0092047B" w:rsidRDefault="003F472D" w:rsidP="00184DC1">
      <w:pPr>
        <w:pStyle w:val="Nadpis3"/>
      </w:pPr>
      <w:bookmarkStart w:id="927" w:name="_Toc367279699"/>
      <w:bookmarkStart w:id="928" w:name="_Toc367280248"/>
      <w:bookmarkStart w:id="929" w:name="_Toc370121886"/>
      <w:bookmarkStart w:id="930" w:name="_Toc387757710"/>
      <w:bookmarkStart w:id="931" w:name="_Toc396923422"/>
      <w:r w:rsidRPr="0092047B">
        <w:t>Vývoj a struktura spotřeby elektřiny</w:t>
      </w:r>
      <w:bookmarkEnd w:id="927"/>
      <w:bookmarkEnd w:id="928"/>
      <w:bookmarkEnd w:id="929"/>
      <w:bookmarkEnd w:id="930"/>
      <w:bookmarkEnd w:id="931"/>
    </w:p>
    <w:p w:rsidR="003F472D" w:rsidRDefault="003F472D" w:rsidP="00184DC1">
      <w:pPr>
        <w:pStyle w:val="Titulek"/>
        <w:keepNext/>
        <w:spacing w:before="240" w:after="120"/>
      </w:pPr>
      <w:bookmarkStart w:id="932" w:name="_Ref388083001"/>
      <w:bookmarkStart w:id="933" w:name="_Toc387757570"/>
      <w:bookmarkStart w:id="934" w:name="_Toc396923168"/>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9</w:t>
      </w:r>
      <w:r w:rsidRPr="0092047B">
        <w:rPr>
          <w:b/>
        </w:rPr>
        <w:fldChar w:fldCharType="end"/>
      </w:r>
      <w:bookmarkEnd w:id="932"/>
      <w:r w:rsidRPr="0092047B">
        <w:rPr>
          <w:b/>
        </w:rPr>
        <w:t>:</w:t>
      </w:r>
      <w:r w:rsidRPr="0092047B">
        <w:t xml:space="preserve"> </w:t>
      </w:r>
      <w:r w:rsidR="00344CD0">
        <w:t>S</w:t>
      </w:r>
      <w:r w:rsidRPr="0092047B">
        <w:t>truktura spotřeby elektřiny</w:t>
      </w:r>
      <w:bookmarkEnd w:id="933"/>
      <w:bookmarkEnd w:id="934"/>
    </w:p>
    <w:tbl>
      <w:tblPr>
        <w:tblW w:w="5000" w:type="pct"/>
        <w:tblCellMar>
          <w:left w:w="70" w:type="dxa"/>
          <w:right w:w="70" w:type="dxa"/>
        </w:tblCellMar>
        <w:tblLook w:val="04A0" w:firstRow="1" w:lastRow="0" w:firstColumn="1" w:lastColumn="0" w:noHBand="0" w:noVBand="1"/>
      </w:tblPr>
      <w:tblGrid>
        <w:gridCol w:w="2014"/>
        <w:gridCol w:w="682"/>
        <w:gridCol w:w="1002"/>
        <w:gridCol w:w="919"/>
        <w:gridCol w:w="919"/>
        <w:gridCol w:w="919"/>
        <w:gridCol w:w="919"/>
        <w:gridCol w:w="919"/>
        <w:gridCol w:w="919"/>
      </w:tblGrid>
      <w:tr w:rsidR="00EE4BFC" w:rsidRPr="00EE4BFC" w:rsidTr="0067741F">
        <w:trPr>
          <w:trHeight w:val="255"/>
        </w:trPr>
        <w:tc>
          <w:tcPr>
            <w:tcW w:w="1093" w:type="pct"/>
            <w:tcBorders>
              <w:top w:val="single" w:sz="4" w:space="0" w:color="auto"/>
              <w:left w:val="single" w:sz="4" w:space="0" w:color="auto"/>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center"/>
              <w:rPr>
                <w:rFonts w:ascii="Arial" w:hAnsi="Arial" w:cs="Arial"/>
                <w:b/>
                <w:bCs/>
                <w:color w:val="000000"/>
                <w:sz w:val="20"/>
                <w:szCs w:val="20"/>
              </w:rPr>
            </w:pPr>
            <w:r w:rsidRPr="00EE4BFC">
              <w:rPr>
                <w:rFonts w:ascii="Arial" w:hAnsi="Arial" w:cs="Arial"/>
                <w:b/>
                <w:bCs/>
                <w:color w:val="000000"/>
                <w:sz w:val="20"/>
                <w:szCs w:val="20"/>
              </w:rPr>
              <w:t>Spotřeba</w:t>
            </w:r>
          </w:p>
        </w:tc>
        <w:tc>
          <w:tcPr>
            <w:tcW w:w="370"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 </w:t>
            </w:r>
          </w:p>
        </w:tc>
        <w:tc>
          <w:tcPr>
            <w:tcW w:w="544"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2010</w:t>
            </w:r>
          </w:p>
        </w:tc>
        <w:tc>
          <w:tcPr>
            <w:tcW w:w="499"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2015</w:t>
            </w:r>
          </w:p>
        </w:tc>
        <w:tc>
          <w:tcPr>
            <w:tcW w:w="499"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2020</w:t>
            </w:r>
          </w:p>
        </w:tc>
        <w:tc>
          <w:tcPr>
            <w:tcW w:w="499"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2025</w:t>
            </w:r>
          </w:p>
        </w:tc>
        <w:tc>
          <w:tcPr>
            <w:tcW w:w="499"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2030</w:t>
            </w:r>
          </w:p>
        </w:tc>
        <w:tc>
          <w:tcPr>
            <w:tcW w:w="499" w:type="pct"/>
            <w:tcBorders>
              <w:top w:val="single" w:sz="4" w:space="0" w:color="auto"/>
              <w:left w:val="nil"/>
              <w:bottom w:val="single" w:sz="4" w:space="0" w:color="auto"/>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2035</w:t>
            </w:r>
          </w:p>
        </w:tc>
        <w:tc>
          <w:tcPr>
            <w:tcW w:w="499" w:type="pct"/>
            <w:tcBorders>
              <w:top w:val="single" w:sz="4" w:space="0" w:color="auto"/>
              <w:left w:val="nil"/>
              <w:bottom w:val="single" w:sz="4" w:space="0" w:color="auto"/>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2040</w:t>
            </w:r>
          </w:p>
        </w:tc>
      </w:tr>
      <w:tr w:rsidR="00EE4BFC" w:rsidRPr="00EE4BFC" w:rsidTr="0067741F">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sidRPr="00EE4BFC">
              <w:rPr>
                <w:rFonts w:ascii="Arial" w:hAnsi="Arial" w:cs="Arial"/>
                <w:color w:val="000000"/>
                <w:sz w:val="20"/>
                <w:szCs w:val="20"/>
              </w:rPr>
              <w:t>Velkoodběr</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34 162,0</w:t>
            </w:r>
          </w:p>
        </w:tc>
        <w:tc>
          <w:tcPr>
            <w:tcW w:w="499" w:type="pct"/>
            <w:tcBorders>
              <w:top w:val="single" w:sz="4" w:space="0" w:color="auto"/>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34 857,4</w:t>
            </w:r>
          </w:p>
        </w:tc>
        <w:tc>
          <w:tcPr>
            <w:tcW w:w="499" w:type="pct"/>
            <w:tcBorders>
              <w:top w:val="single" w:sz="4" w:space="0" w:color="auto"/>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37 228,2</w:t>
            </w:r>
          </w:p>
        </w:tc>
        <w:tc>
          <w:tcPr>
            <w:tcW w:w="499" w:type="pct"/>
            <w:tcBorders>
              <w:top w:val="single" w:sz="4" w:space="0" w:color="auto"/>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40 238,1</w:t>
            </w:r>
          </w:p>
        </w:tc>
        <w:tc>
          <w:tcPr>
            <w:tcW w:w="499" w:type="pct"/>
            <w:tcBorders>
              <w:top w:val="single" w:sz="4" w:space="0" w:color="auto"/>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42 140,4</w:t>
            </w:r>
          </w:p>
        </w:tc>
        <w:tc>
          <w:tcPr>
            <w:tcW w:w="499" w:type="pct"/>
            <w:tcBorders>
              <w:top w:val="single" w:sz="4" w:space="0" w:color="auto"/>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43 362,3</w:t>
            </w:r>
          </w:p>
        </w:tc>
        <w:tc>
          <w:tcPr>
            <w:tcW w:w="499" w:type="pct"/>
            <w:tcBorders>
              <w:top w:val="single" w:sz="4" w:space="0" w:color="auto"/>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44 053,1</w:t>
            </w:r>
          </w:p>
        </w:tc>
      </w:tr>
      <w:tr w:rsidR="00EE4BFC" w:rsidRPr="00EE4BFC" w:rsidTr="0067741F">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sidRPr="00EE4BFC">
              <w:rPr>
                <w:rFonts w:ascii="Arial" w:hAnsi="Arial" w:cs="Arial"/>
                <w:color w:val="000000"/>
                <w:sz w:val="20"/>
                <w:szCs w:val="20"/>
              </w:rPr>
              <w:t>Maloodběr</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23 505,9</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22 644,1</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23 177,7</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24 195,9</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24 744,5</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24 844,4</w:t>
            </w:r>
          </w:p>
        </w:tc>
        <w:tc>
          <w:tcPr>
            <w:tcW w:w="499" w:type="pct"/>
            <w:tcBorders>
              <w:top w:val="nil"/>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24 956,6</w:t>
            </w:r>
          </w:p>
        </w:tc>
      </w:tr>
      <w:tr w:rsidR="00EE4BFC" w:rsidRPr="00EE4BFC" w:rsidTr="0067741F">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sidRPr="00EE4BFC">
              <w:rPr>
                <w:rFonts w:ascii="Arial" w:hAnsi="Arial" w:cs="Arial"/>
                <w:color w:val="000000"/>
                <w:sz w:val="20"/>
                <w:szCs w:val="20"/>
              </w:rPr>
              <w:t xml:space="preserve">    </w:t>
            </w:r>
            <w:r>
              <w:rPr>
                <w:rFonts w:ascii="Arial" w:hAnsi="Arial" w:cs="Arial"/>
                <w:color w:val="000000"/>
                <w:sz w:val="20"/>
                <w:szCs w:val="20"/>
              </w:rPr>
              <w:t>P</w:t>
            </w:r>
            <w:r w:rsidRPr="00EE4BFC">
              <w:rPr>
                <w:rFonts w:ascii="Arial" w:hAnsi="Arial" w:cs="Arial"/>
                <w:color w:val="000000"/>
                <w:sz w:val="20"/>
                <w:szCs w:val="20"/>
              </w:rPr>
              <w:t>odnikatelé</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8 478,4</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8 342,2</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8 909,6</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9 629,9</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10 085,2</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10 377,6</w:t>
            </w:r>
          </w:p>
        </w:tc>
        <w:tc>
          <w:tcPr>
            <w:tcW w:w="499" w:type="pct"/>
            <w:tcBorders>
              <w:top w:val="nil"/>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10 543,0</w:t>
            </w:r>
          </w:p>
        </w:tc>
      </w:tr>
      <w:tr w:rsidR="00EE4BFC" w:rsidRPr="00EE4BFC" w:rsidTr="0067741F">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Pr>
                <w:rFonts w:ascii="Arial" w:hAnsi="Arial" w:cs="Arial"/>
                <w:color w:val="000000"/>
                <w:sz w:val="20"/>
                <w:szCs w:val="20"/>
              </w:rPr>
              <w:t xml:space="preserve">    D</w:t>
            </w:r>
            <w:r w:rsidRPr="00EE4BFC">
              <w:rPr>
                <w:rFonts w:ascii="Arial" w:hAnsi="Arial" w:cs="Arial"/>
                <w:color w:val="000000"/>
                <w:sz w:val="20"/>
                <w:szCs w:val="20"/>
              </w:rPr>
              <w:t>omácnosti</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15 027,5</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14 301,9</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14 268,1</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14 566,0</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14 659,3</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14 466,8</w:t>
            </w:r>
          </w:p>
        </w:tc>
        <w:tc>
          <w:tcPr>
            <w:tcW w:w="499" w:type="pct"/>
            <w:tcBorders>
              <w:top w:val="nil"/>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14 413,6</w:t>
            </w:r>
          </w:p>
        </w:tc>
      </w:tr>
      <w:tr w:rsidR="00EE4BFC" w:rsidRPr="00EE4BFC" w:rsidTr="00B25070">
        <w:trPr>
          <w:trHeight w:val="270"/>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sidRPr="00EE4BFC">
              <w:rPr>
                <w:rFonts w:ascii="Arial" w:hAnsi="Arial" w:cs="Arial"/>
                <w:color w:val="000000"/>
                <w:sz w:val="20"/>
                <w:szCs w:val="20"/>
              </w:rPr>
              <w:t>Ostatní spotřeba</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1 586,7</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1 600,0</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1 620,0</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1 620,0</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1 620,0</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1 620,0</w:t>
            </w:r>
          </w:p>
        </w:tc>
        <w:tc>
          <w:tcPr>
            <w:tcW w:w="499" w:type="pct"/>
            <w:tcBorders>
              <w:top w:val="nil"/>
              <w:left w:val="nil"/>
              <w:bottom w:val="double" w:sz="2" w:space="0" w:color="808080" w:themeColor="background1" w:themeShade="80"/>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1 620,0</w:t>
            </w:r>
          </w:p>
        </w:tc>
      </w:tr>
      <w:tr w:rsidR="00EE4BFC" w:rsidRPr="00EE4BFC" w:rsidTr="00B25070">
        <w:trPr>
          <w:trHeight w:val="270"/>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67741F" w:rsidP="00184DC1">
            <w:pPr>
              <w:spacing w:after="0"/>
              <w:jc w:val="left"/>
              <w:rPr>
                <w:rFonts w:ascii="Arial" w:hAnsi="Arial" w:cs="Arial"/>
                <w:b/>
                <w:bCs/>
                <w:color w:val="000000"/>
                <w:sz w:val="20"/>
                <w:szCs w:val="20"/>
              </w:rPr>
            </w:pPr>
            <w:r>
              <w:rPr>
                <w:rFonts w:ascii="Arial" w:hAnsi="Arial" w:cs="Arial"/>
                <w:b/>
                <w:bCs/>
                <w:color w:val="000000"/>
                <w:sz w:val="20"/>
                <w:szCs w:val="20"/>
              </w:rPr>
              <w:t>Netto bez mobility</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double" w:sz="2" w:space="0" w:color="808080" w:themeColor="background1" w:themeShade="80"/>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59 254,6</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59 101,5</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62 025,9</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66 054,0</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68 504,9</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69 826,7</w:t>
            </w:r>
          </w:p>
        </w:tc>
        <w:tc>
          <w:tcPr>
            <w:tcW w:w="499" w:type="pct"/>
            <w:tcBorders>
              <w:top w:val="double" w:sz="2" w:space="0" w:color="808080" w:themeColor="background1" w:themeShade="80"/>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70 629,7</w:t>
            </w:r>
          </w:p>
        </w:tc>
      </w:tr>
      <w:tr w:rsidR="00EE4BFC" w:rsidRPr="00EE4BFC" w:rsidTr="00B25070">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sidRPr="00EE4BFC">
              <w:rPr>
                <w:rFonts w:ascii="Arial" w:hAnsi="Arial" w:cs="Arial"/>
                <w:color w:val="000000"/>
                <w:sz w:val="20"/>
                <w:szCs w:val="20"/>
              </w:rPr>
              <w:t>Elektromobilita</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0,</w:t>
            </w:r>
            <w:r w:rsidR="00A651CE">
              <w:rPr>
                <w:rFonts w:ascii="Arial" w:hAnsi="Arial" w:cs="Arial"/>
                <w:color w:val="000000"/>
                <w:sz w:val="20"/>
                <w:szCs w:val="20"/>
              </w:rPr>
              <w:t>9</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6,8</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50,9</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438,1</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1 189,6</w:t>
            </w:r>
          </w:p>
        </w:tc>
        <w:tc>
          <w:tcPr>
            <w:tcW w:w="499" w:type="pct"/>
            <w:tcBorders>
              <w:top w:val="nil"/>
              <w:left w:val="nil"/>
              <w:bottom w:val="double" w:sz="2" w:space="0" w:color="808080" w:themeColor="background1" w:themeShade="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2 328,5</w:t>
            </w:r>
          </w:p>
        </w:tc>
        <w:tc>
          <w:tcPr>
            <w:tcW w:w="499" w:type="pct"/>
            <w:tcBorders>
              <w:top w:val="nil"/>
              <w:left w:val="nil"/>
              <w:bottom w:val="double" w:sz="2" w:space="0" w:color="808080" w:themeColor="background1" w:themeShade="80"/>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3 442,2</w:t>
            </w:r>
          </w:p>
        </w:tc>
      </w:tr>
      <w:tr w:rsidR="0067741F" w:rsidRPr="00EE4BFC" w:rsidTr="00B25070">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tcPr>
          <w:p w:rsidR="0067741F" w:rsidRPr="0067741F" w:rsidRDefault="0067741F" w:rsidP="00184DC1">
            <w:pPr>
              <w:spacing w:after="0"/>
              <w:jc w:val="left"/>
              <w:rPr>
                <w:rFonts w:ascii="Arial" w:hAnsi="Arial" w:cs="Arial"/>
                <w:b/>
                <w:color w:val="000000"/>
                <w:sz w:val="20"/>
                <w:szCs w:val="20"/>
              </w:rPr>
            </w:pPr>
            <w:r w:rsidRPr="0067741F">
              <w:rPr>
                <w:rFonts w:ascii="Arial" w:hAnsi="Arial" w:cs="Arial"/>
                <w:b/>
                <w:color w:val="000000"/>
                <w:sz w:val="20"/>
                <w:szCs w:val="20"/>
              </w:rPr>
              <w:t>Spotřeba netto</w:t>
            </w:r>
          </w:p>
        </w:tc>
        <w:tc>
          <w:tcPr>
            <w:tcW w:w="370" w:type="pct"/>
            <w:tcBorders>
              <w:top w:val="nil"/>
              <w:left w:val="nil"/>
              <w:bottom w:val="single" w:sz="4" w:space="0" w:color="FFFFFF"/>
              <w:right w:val="single" w:sz="4" w:space="0" w:color="auto"/>
            </w:tcBorders>
            <w:shd w:val="clear" w:color="auto" w:fill="auto"/>
            <w:noWrap/>
            <w:vAlign w:val="bottom"/>
          </w:tcPr>
          <w:p w:rsidR="0067741F" w:rsidRPr="00EE4BFC" w:rsidRDefault="009473ED" w:rsidP="00184DC1">
            <w:pPr>
              <w:spacing w:after="0"/>
              <w:jc w:val="center"/>
              <w:rPr>
                <w:rFonts w:ascii="Arial" w:hAnsi="Arial" w:cs="Arial"/>
                <w:color w:val="000000"/>
                <w:sz w:val="20"/>
                <w:szCs w:val="20"/>
              </w:rPr>
            </w:pPr>
            <w:r>
              <w:rPr>
                <w:rFonts w:ascii="Arial" w:hAnsi="Arial" w:cs="Arial"/>
                <w:color w:val="000000"/>
                <w:sz w:val="20"/>
                <w:szCs w:val="20"/>
              </w:rPr>
              <w:t>GWh</w:t>
            </w:r>
          </w:p>
        </w:tc>
        <w:tc>
          <w:tcPr>
            <w:tcW w:w="544" w:type="pct"/>
            <w:tcBorders>
              <w:top w:val="double" w:sz="2" w:space="0" w:color="808080" w:themeColor="background1" w:themeShade="80"/>
              <w:left w:val="nil"/>
              <w:bottom w:val="single" w:sz="4" w:space="0" w:color="A6A6A6"/>
              <w:right w:val="single" w:sz="4" w:space="0" w:color="FFFFFF"/>
            </w:tcBorders>
            <w:shd w:val="clear" w:color="auto" w:fill="auto"/>
            <w:noWrap/>
            <w:vAlign w:val="bottom"/>
          </w:tcPr>
          <w:p w:rsidR="0067741F" w:rsidRDefault="00A651CE" w:rsidP="00184DC1">
            <w:pPr>
              <w:spacing w:after="0"/>
              <w:jc w:val="right"/>
              <w:rPr>
                <w:rFonts w:ascii="Arial" w:hAnsi="Arial" w:cs="Arial"/>
                <w:b/>
                <w:bCs/>
                <w:color w:val="000000"/>
                <w:sz w:val="20"/>
                <w:szCs w:val="20"/>
              </w:rPr>
            </w:pPr>
            <w:r>
              <w:rPr>
                <w:rFonts w:ascii="Arial" w:hAnsi="Arial" w:cs="Arial"/>
                <w:b/>
                <w:bCs/>
                <w:color w:val="000000"/>
                <w:sz w:val="20"/>
                <w:szCs w:val="20"/>
              </w:rPr>
              <w:t>59 255,5</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tcPr>
          <w:p w:rsidR="0067741F" w:rsidRDefault="0067741F" w:rsidP="00184DC1">
            <w:pPr>
              <w:spacing w:after="0"/>
              <w:jc w:val="right"/>
              <w:rPr>
                <w:rFonts w:ascii="Arial" w:hAnsi="Arial" w:cs="Arial"/>
                <w:b/>
                <w:bCs/>
                <w:color w:val="000000"/>
                <w:sz w:val="20"/>
                <w:szCs w:val="20"/>
              </w:rPr>
            </w:pPr>
            <w:r>
              <w:rPr>
                <w:rFonts w:ascii="Arial" w:hAnsi="Arial" w:cs="Arial"/>
                <w:b/>
                <w:bCs/>
                <w:color w:val="000000"/>
                <w:sz w:val="20"/>
                <w:szCs w:val="20"/>
              </w:rPr>
              <w:t>59 108,3</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tcPr>
          <w:p w:rsidR="0067741F" w:rsidRDefault="0067741F" w:rsidP="00184DC1">
            <w:pPr>
              <w:spacing w:after="0"/>
              <w:jc w:val="right"/>
              <w:rPr>
                <w:rFonts w:ascii="Arial" w:hAnsi="Arial" w:cs="Arial"/>
                <w:b/>
                <w:bCs/>
                <w:color w:val="000000"/>
                <w:sz w:val="20"/>
                <w:szCs w:val="20"/>
              </w:rPr>
            </w:pPr>
            <w:r>
              <w:rPr>
                <w:rFonts w:ascii="Arial" w:hAnsi="Arial" w:cs="Arial"/>
                <w:b/>
                <w:bCs/>
                <w:color w:val="000000"/>
                <w:sz w:val="20"/>
                <w:szCs w:val="20"/>
              </w:rPr>
              <w:t>62 076,7</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tcPr>
          <w:p w:rsidR="0067741F" w:rsidRDefault="0067741F" w:rsidP="00184DC1">
            <w:pPr>
              <w:spacing w:after="0"/>
              <w:jc w:val="right"/>
              <w:rPr>
                <w:rFonts w:ascii="Arial" w:hAnsi="Arial" w:cs="Arial"/>
                <w:b/>
                <w:bCs/>
                <w:color w:val="000000"/>
                <w:sz w:val="20"/>
                <w:szCs w:val="20"/>
              </w:rPr>
            </w:pPr>
            <w:r>
              <w:rPr>
                <w:rFonts w:ascii="Arial" w:hAnsi="Arial" w:cs="Arial"/>
                <w:b/>
                <w:bCs/>
                <w:color w:val="000000"/>
                <w:sz w:val="20"/>
                <w:szCs w:val="20"/>
              </w:rPr>
              <w:t>66 492,1</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tcPr>
          <w:p w:rsidR="0067741F" w:rsidRDefault="0067741F" w:rsidP="00184DC1">
            <w:pPr>
              <w:spacing w:after="0"/>
              <w:jc w:val="right"/>
              <w:rPr>
                <w:rFonts w:ascii="Arial" w:hAnsi="Arial" w:cs="Arial"/>
                <w:b/>
                <w:bCs/>
                <w:color w:val="000000"/>
                <w:sz w:val="20"/>
                <w:szCs w:val="20"/>
              </w:rPr>
            </w:pPr>
            <w:r>
              <w:rPr>
                <w:rFonts w:ascii="Arial" w:hAnsi="Arial" w:cs="Arial"/>
                <w:b/>
                <w:bCs/>
                <w:color w:val="000000"/>
                <w:sz w:val="20"/>
                <w:szCs w:val="20"/>
              </w:rPr>
              <w:t>69 694,5</w:t>
            </w:r>
          </w:p>
        </w:tc>
        <w:tc>
          <w:tcPr>
            <w:tcW w:w="499" w:type="pct"/>
            <w:tcBorders>
              <w:top w:val="double" w:sz="2" w:space="0" w:color="808080" w:themeColor="background1" w:themeShade="80"/>
              <w:left w:val="nil"/>
              <w:bottom w:val="single" w:sz="4" w:space="0" w:color="A6A6A6"/>
              <w:right w:val="single" w:sz="4" w:space="0" w:color="FFFFFF"/>
            </w:tcBorders>
            <w:shd w:val="clear" w:color="auto" w:fill="auto"/>
            <w:noWrap/>
            <w:vAlign w:val="bottom"/>
          </w:tcPr>
          <w:p w:rsidR="0067741F" w:rsidRDefault="0067741F" w:rsidP="00184DC1">
            <w:pPr>
              <w:spacing w:after="0"/>
              <w:jc w:val="right"/>
              <w:rPr>
                <w:rFonts w:ascii="Arial" w:hAnsi="Arial" w:cs="Arial"/>
                <w:b/>
                <w:bCs/>
                <w:color w:val="000000"/>
                <w:sz w:val="20"/>
                <w:szCs w:val="20"/>
              </w:rPr>
            </w:pPr>
            <w:r>
              <w:rPr>
                <w:rFonts w:ascii="Arial" w:hAnsi="Arial" w:cs="Arial"/>
                <w:b/>
                <w:bCs/>
                <w:color w:val="000000"/>
                <w:sz w:val="20"/>
                <w:szCs w:val="20"/>
              </w:rPr>
              <w:t>72 155,2</w:t>
            </w:r>
          </w:p>
        </w:tc>
        <w:tc>
          <w:tcPr>
            <w:tcW w:w="499" w:type="pct"/>
            <w:tcBorders>
              <w:top w:val="double" w:sz="2" w:space="0" w:color="808080" w:themeColor="background1" w:themeShade="80"/>
              <w:left w:val="nil"/>
              <w:bottom w:val="single" w:sz="4" w:space="0" w:color="A6A6A6"/>
              <w:right w:val="single" w:sz="4" w:space="0" w:color="auto"/>
            </w:tcBorders>
            <w:shd w:val="clear" w:color="auto" w:fill="auto"/>
            <w:noWrap/>
            <w:vAlign w:val="bottom"/>
          </w:tcPr>
          <w:p w:rsidR="0067741F" w:rsidRDefault="0067741F" w:rsidP="00184DC1">
            <w:pPr>
              <w:spacing w:after="0"/>
              <w:jc w:val="right"/>
              <w:rPr>
                <w:rFonts w:ascii="Arial" w:hAnsi="Arial" w:cs="Arial"/>
                <w:b/>
                <w:bCs/>
                <w:color w:val="000000"/>
                <w:sz w:val="20"/>
                <w:szCs w:val="20"/>
              </w:rPr>
            </w:pPr>
            <w:r>
              <w:rPr>
                <w:rFonts w:ascii="Arial" w:hAnsi="Arial" w:cs="Arial"/>
                <w:b/>
                <w:bCs/>
                <w:color w:val="000000"/>
                <w:sz w:val="20"/>
                <w:szCs w:val="20"/>
              </w:rPr>
              <w:t>74 071,9</w:t>
            </w:r>
          </w:p>
        </w:tc>
      </w:tr>
      <w:tr w:rsidR="00EE4BFC" w:rsidRPr="00EE4BFC" w:rsidTr="0067741F">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Pr>
                <w:rFonts w:ascii="Arial" w:hAnsi="Arial" w:cs="Arial"/>
                <w:color w:val="000000"/>
                <w:sz w:val="20"/>
                <w:szCs w:val="20"/>
              </w:rPr>
              <w:t>Akumulace PVE</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795,0</w:t>
            </w:r>
          </w:p>
        </w:tc>
        <w:tc>
          <w:tcPr>
            <w:tcW w:w="499" w:type="pct"/>
            <w:tcBorders>
              <w:top w:val="nil"/>
              <w:left w:val="nil"/>
              <w:bottom w:val="nil"/>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1 000,0</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1 000,0</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1 000,0</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1 000,0</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1 000,0</w:t>
            </w:r>
          </w:p>
        </w:tc>
        <w:tc>
          <w:tcPr>
            <w:tcW w:w="499" w:type="pct"/>
            <w:tcBorders>
              <w:top w:val="nil"/>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1 000,0</w:t>
            </w:r>
          </w:p>
        </w:tc>
      </w:tr>
      <w:tr w:rsidR="00EE4BFC" w:rsidRPr="00EE4BFC" w:rsidTr="0067741F">
        <w:trPr>
          <w:trHeight w:val="255"/>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sidRPr="00EE4BFC">
              <w:rPr>
                <w:rFonts w:ascii="Arial" w:hAnsi="Arial" w:cs="Arial"/>
                <w:color w:val="000000"/>
                <w:sz w:val="20"/>
                <w:szCs w:val="20"/>
              </w:rPr>
              <w:t>Ztráty v sítích</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4 467,0</w:t>
            </w:r>
          </w:p>
        </w:tc>
        <w:tc>
          <w:tcPr>
            <w:tcW w:w="499" w:type="pct"/>
            <w:tcBorders>
              <w:top w:val="single" w:sz="4" w:space="0" w:color="A6A6A6"/>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3 960,4</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4 120,4</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4 358,5</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4 490,2</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4 547,8</w:t>
            </w:r>
          </w:p>
        </w:tc>
        <w:tc>
          <w:tcPr>
            <w:tcW w:w="499" w:type="pct"/>
            <w:tcBorders>
              <w:top w:val="nil"/>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4 572,2</w:t>
            </w:r>
          </w:p>
        </w:tc>
      </w:tr>
      <w:tr w:rsidR="00EE4BFC" w:rsidRPr="00EE4BFC" w:rsidTr="0067741F">
        <w:trPr>
          <w:trHeight w:val="270"/>
        </w:trPr>
        <w:tc>
          <w:tcPr>
            <w:tcW w:w="1093" w:type="pct"/>
            <w:tcBorders>
              <w:top w:val="nil"/>
              <w:left w:val="single" w:sz="4" w:space="0" w:color="auto"/>
              <w:bottom w:val="single" w:sz="4" w:space="0" w:color="FFFFFF"/>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Pr>
                <w:rFonts w:ascii="Arial" w:hAnsi="Arial" w:cs="Arial"/>
                <w:color w:val="000000"/>
                <w:sz w:val="20"/>
                <w:szCs w:val="20"/>
              </w:rPr>
              <w:t>Vlastní spotřeba</w:t>
            </w:r>
          </w:p>
        </w:tc>
        <w:tc>
          <w:tcPr>
            <w:tcW w:w="370" w:type="pct"/>
            <w:tcBorders>
              <w:top w:val="nil"/>
              <w:left w:val="nil"/>
              <w:bottom w:val="single" w:sz="4" w:space="0" w:color="FFFFFF"/>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double" w:sz="6" w:space="0" w:color="8080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6 446,0</w:t>
            </w:r>
          </w:p>
        </w:tc>
        <w:tc>
          <w:tcPr>
            <w:tcW w:w="499" w:type="pct"/>
            <w:tcBorders>
              <w:top w:val="nil"/>
              <w:left w:val="nil"/>
              <w:bottom w:val="double" w:sz="6" w:space="0" w:color="8080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7 126,7</w:t>
            </w:r>
          </w:p>
        </w:tc>
        <w:tc>
          <w:tcPr>
            <w:tcW w:w="499" w:type="pct"/>
            <w:tcBorders>
              <w:top w:val="nil"/>
              <w:left w:val="nil"/>
              <w:bottom w:val="double" w:sz="6" w:space="0" w:color="8080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6 604,3</w:t>
            </w:r>
          </w:p>
        </w:tc>
        <w:tc>
          <w:tcPr>
            <w:tcW w:w="499" w:type="pct"/>
            <w:tcBorders>
              <w:top w:val="nil"/>
              <w:left w:val="nil"/>
              <w:bottom w:val="double" w:sz="6" w:space="0" w:color="8080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5 773,0</w:t>
            </w:r>
          </w:p>
        </w:tc>
        <w:tc>
          <w:tcPr>
            <w:tcW w:w="499" w:type="pct"/>
            <w:tcBorders>
              <w:top w:val="nil"/>
              <w:left w:val="nil"/>
              <w:bottom w:val="double" w:sz="6" w:space="0" w:color="8080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5 523,3</w:t>
            </w:r>
          </w:p>
        </w:tc>
        <w:tc>
          <w:tcPr>
            <w:tcW w:w="499" w:type="pct"/>
            <w:tcBorders>
              <w:top w:val="nil"/>
              <w:left w:val="nil"/>
              <w:bottom w:val="double" w:sz="6" w:space="0" w:color="808080"/>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5 612,8</w:t>
            </w:r>
          </w:p>
        </w:tc>
        <w:tc>
          <w:tcPr>
            <w:tcW w:w="499" w:type="pct"/>
            <w:tcBorders>
              <w:top w:val="nil"/>
              <w:left w:val="nil"/>
              <w:bottom w:val="double" w:sz="6" w:space="0" w:color="808080"/>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5 191,9</w:t>
            </w:r>
          </w:p>
        </w:tc>
      </w:tr>
      <w:tr w:rsidR="00EE4BFC" w:rsidRPr="00EE4BFC" w:rsidTr="0067741F">
        <w:trPr>
          <w:trHeight w:val="270"/>
        </w:trPr>
        <w:tc>
          <w:tcPr>
            <w:tcW w:w="1093" w:type="pct"/>
            <w:tcBorders>
              <w:top w:val="nil"/>
              <w:left w:val="single" w:sz="4" w:space="0" w:color="auto"/>
              <w:bottom w:val="nil"/>
              <w:right w:val="single" w:sz="4" w:space="0" w:color="FFFFFF"/>
            </w:tcBorders>
            <w:shd w:val="clear" w:color="auto" w:fill="auto"/>
            <w:noWrap/>
            <w:vAlign w:val="bottom"/>
            <w:hideMark/>
          </w:tcPr>
          <w:p w:rsidR="00EE4BFC" w:rsidRPr="00EE4BFC" w:rsidRDefault="00EE4BFC" w:rsidP="00184DC1">
            <w:pPr>
              <w:spacing w:after="0"/>
              <w:jc w:val="left"/>
              <w:rPr>
                <w:rFonts w:ascii="Arial" w:hAnsi="Arial" w:cs="Arial"/>
                <w:b/>
                <w:bCs/>
                <w:color w:val="000000"/>
                <w:sz w:val="20"/>
                <w:szCs w:val="20"/>
              </w:rPr>
            </w:pPr>
            <w:r w:rsidRPr="00EE4BFC">
              <w:rPr>
                <w:rFonts w:ascii="Arial" w:hAnsi="Arial" w:cs="Arial"/>
                <w:b/>
                <w:bCs/>
                <w:color w:val="000000"/>
                <w:sz w:val="20"/>
                <w:szCs w:val="20"/>
              </w:rPr>
              <w:t xml:space="preserve">Spotřeba </w:t>
            </w:r>
            <w:r w:rsidR="00344CD0">
              <w:rPr>
                <w:rFonts w:ascii="Arial" w:hAnsi="Arial" w:cs="Arial"/>
                <w:b/>
                <w:bCs/>
                <w:color w:val="000000"/>
                <w:sz w:val="20"/>
                <w:szCs w:val="20"/>
              </w:rPr>
              <w:t>brutto</w:t>
            </w:r>
          </w:p>
        </w:tc>
        <w:tc>
          <w:tcPr>
            <w:tcW w:w="370" w:type="pct"/>
            <w:tcBorders>
              <w:top w:val="nil"/>
              <w:left w:val="nil"/>
              <w:bottom w:val="nil"/>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70 963,5</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71 195,4</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73 801,5</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77 623,6</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80 708,0</w:t>
            </w:r>
          </w:p>
        </w:tc>
        <w:tc>
          <w:tcPr>
            <w:tcW w:w="499" w:type="pct"/>
            <w:tcBorders>
              <w:top w:val="nil"/>
              <w:left w:val="nil"/>
              <w:bottom w:val="single" w:sz="4" w:space="0" w:color="A6A6A6"/>
              <w:right w:val="single" w:sz="4" w:space="0" w:color="FFFFFF"/>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83 315,8</w:t>
            </w:r>
          </w:p>
        </w:tc>
        <w:tc>
          <w:tcPr>
            <w:tcW w:w="499" w:type="pct"/>
            <w:tcBorders>
              <w:top w:val="nil"/>
              <w:left w:val="nil"/>
              <w:bottom w:val="single" w:sz="4" w:space="0" w:color="A6A6A6"/>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b/>
                <w:bCs/>
                <w:color w:val="000000"/>
                <w:sz w:val="20"/>
                <w:szCs w:val="20"/>
              </w:rPr>
            </w:pPr>
            <w:r w:rsidRPr="00EE4BFC">
              <w:rPr>
                <w:rFonts w:ascii="Arial" w:hAnsi="Arial" w:cs="Arial"/>
                <w:b/>
                <w:bCs/>
                <w:color w:val="000000"/>
                <w:sz w:val="20"/>
                <w:szCs w:val="20"/>
              </w:rPr>
              <w:t>84 836,0</w:t>
            </w:r>
          </w:p>
        </w:tc>
      </w:tr>
      <w:tr w:rsidR="00EE4BFC" w:rsidRPr="00EE4BFC" w:rsidTr="0067741F">
        <w:trPr>
          <w:trHeight w:val="255"/>
        </w:trPr>
        <w:tc>
          <w:tcPr>
            <w:tcW w:w="1093" w:type="pct"/>
            <w:tcBorders>
              <w:top w:val="nil"/>
              <w:left w:val="single" w:sz="4" w:space="0" w:color="auto"/>
              <w:bottom w:val="single" w:sz="4" w:space="0" w:color="auto"/>
              <w:right w:val="nil"/>
            </w:tcBorders>
            <w:shd w:val="clear" w:color="auto" w:fill="auto"/>
            <w:noWrap/>
            <w:vAlign w:val="bottom"/>
            <w:hideMark/>
          </w:tcPr>
          <w:p w:rsidR="00EE4BFC" w:rsidRPr="00EE4BFC" w:rsidRDefault="00EE4BFC" w:rsidP="00184DC1">
            <w:pPr>
              <w:spacing w:after="0"/>
              <w:jc w:val="left"/>
              <w:rPr>
                <w:rFonts w:ascii="Arial" w:hAnsi="Arial" w:cs="Arial"/>
                <w:color w:val="000000"/>
                <w:sz w:val="20"/>
                <w:szCs w:val="20"/>
              </w:rPr>
            </w:pPr>
            <w:r>
              <w:rPr>
                <w:rFonts w:ascii="Arial" w:hAnsi="Arial" w:cs="Arial"/>
                <w:color w:val="000000"/>
                <w:sz w:val="20"/>
                <w:szCs w:val="20"/>
              </w:rPr>
              <w:t>Akumulace elektro</w:t>
            </w:r>
            <w:r w:rsidR="00BB049C">
              <w:rPr>
                <w:rFonts w:ascii="Arial" w:hAnsi="Arial" w:cs="Arial"/>
                <w:color w:val="000000"/>
                <w:sz w:val="20"/>
                <w:szCs w:val="20"/>
              </w:rPr>
              <w:t>*</w:t>
            </w:r>
          </w:p>
        </w:tc>
        <w:tc>
          <w:tcPr>
            <w:tcW w:w="370" w:type="pct"/>
            <w:tcBorders>
              <w:top w:val="nil"/>
              <w:left w:val="nil"/>
              <w:bottom w:val="single" w:sz="4" w:space="0" w:color="auto"/>
              <w:right w:val="single" w:sz="4" w:space="0" w:color="auto"/>
            </w:tcBorders>
            <w:shd w:val="clear" w:color="auto" w:fill="auto"/>
            <w:noWrap/>
            <w:vAlign w:val="bottom"/>
            <w:hideMark/>
          </w:tcPr>
          <w:p w:rsidR="00EE4BFC" w:rsidRPr="00EE4BFC" w:rsidRDefault="00EE4BFC" w:rsidP="00184DC1">
            <w:pPr>
              <w:spacing w:after="0"/>
              <w:jc w:val="center"/>
              <w:rPr>
                <w:rFonts w:ascii="Arial" w:hAnsi="Arial" w:cs="Arial"/>
                <w:color w:val="000000"/>
                <w:sz w:val="20"/>
                <w:szCs w:val="20"/>
              </w:rPr>
            </w:pPr>
            <w:r w:rsidRPr="00EE4BFC">
              <w:rPr>
                <w:rFonts w:ascii="Arial" w:hAnsi="Arial" w:cs="Arial"/>
                <w:color w:val="000000"/>
                <w:sz w:val="20"/>
                <w:szCs w:val="20"/>
              </w:rPr>
              <w:t>GWh</w:t>
            </w:r>
          </w:p>
        </w:tc>
        <w:tc>
          <w:tcPr>
            <w:tcW w:w="544" w:type="pct"/>
            <w:tcBorders>
              <w:top w:val="nil"/>
              <w:left w:val="nil"/>
              <w:bottom w:val="single" w:sz="4" w:space="0" w:color="auto"/>
              <w:right w:val="nil"/>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0,0</w:t>
            </w:r>
          </w:p>
        </w:tc>
        <w:tc>
          <w:tcPr>
            <w:tcW w:w="499" w:type="pct"/>
            <w:tcBorders>
              <w:top w:val="nil"/>
              <w:left w:val="nil"/>
              <w:bottom w:val="single" w:sz="4" w:space="0" w:color="auto"/>
              <w:right w:val="nil"/>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20,0</w:t>
            </w:r>
          </w:p>
        </w:tc>
        <w:tc>
          <w:tcPr>
            <w:tcW w:w="499" w:type="pct"/>
            <w:tcBorders>
              <w:top w:val="nil"/>
              <w:left w:val="nil"/>
              <w:bottom w:val="single" w:sz="4" w:space="0" w:color="auto"/>
              <w:right w:val="nil"/>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307,6</w:t>
            </w:r>
          </w:p>
        </w:tc>
        <w:tc>
          <w:tcPr>
            <w:tcW w:w="499" w:type="pct"/>
            <w:tcBorders>
              <w:top w:val="nil"/>
              <w:left w:val="nil"/>
              <w:bottom w:val="single" w:sz="4" w:space="0" w:color="auto"/>
              <w:right w:val="nil"/>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734,4</w:t>
            </w:r>
          </w:p>
        </w:tc>
        <w:tc>
          <w:tcPr>
            <w:tcW w:w="499" w:type="pct"/>
            <w:tcBorders>
              <w:top w:val="nil"/>
              <w:left w:val="nil"/>
              <w:bottom w:val="single" w:sz="4" w:space="0" w:color="auto"/>
              <w:right w:val="nil"/>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1 033,2</w:t>
            </w:r>
          </w:p>
        </w:tc>
        <w:tc>
          <w:tcPr>
            <w:tcW w:w="499" w:type="pct"/>
            <w:tcBorders>
              <w:top w:val="nil"/>
              <w:left w:val="nil"/>
              <w:bottom w:val="single" w:sz="4" w:space="0" w:color="auto"/>
              <w:right w:val="nil"/>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1 334,3</w:t>
            </w:r>
          </w:p>
        </w:tc>
        <w:tc>
          <w:tcPr>
            <w:tcW w:w="499" w:type="pct"/>
            <w:tcBorders>
              <w:top w:val="nil"/>
              <w:left w:val="nil"/>
              <w:bottom w:val="single" w:sz="4" w:space="0" w:color="auto"/>
              <w:right w:val="single" w:sz="4" w:space="0" w:color="auto"/>
            </w:tcBorders>
            <w:shd w:val="clear" w:color="auto" w:fill="auto"/>
            <w:noWrap/>
            <w:vAlign w:val="bottom"/>
            <w:hideMark/>
          </w:tcPr>
          <w:p w:rsidR="00EE4BFC" w:rsidRPr="00EE4BFC" w:rsidRDefault="00EE4BFC" w:rsidP="00184DC1">
            <w:pPr>
              <w:spacing w:after="0"/>
              <w:jc w:val="right"/>
              <w:rPr>
                <w:rFonts w:ascii="Arial" w:hAnsi="Arial" w:cs="Arial"/>
                <w:color w:val="000000"/>
                <w:sz w:val="20"/>
                <w:szCs w:val="20"/>
              </w:rPr>
            </w:pPr>
            <w:r w:rsidRPr="00EE4BFC">
              <w:rPr>
                <w:rFonts w:ascii="Arial" w:hAnsi="Arial" w:cs="Arial"/>
                <w:color w:val="000000"/>
                <w:sz w:val="20"/>
                <w:szCs w:val="20"/>
              </w:rPr>
              <w:t>1 635,1</w:t>
            </w:r>
          </w:p>
        </w:tc>
      </w:tr>
    </w:tbl>
    <w:p w:rsidR="00EE4BFC" w:rsidRPr="0010323D" w:rsidRDefault="00EE4BFC" w:rsidP="00184DC1">
      <w:pPr>
        <w:spacing w:before="120"/>
        <w:jc w:val="left"/>
        <w:rPr>
          <w:i/>
          <w:sz w:val="18"/>
          <w:szCs w:val="18"/>
        </w:rPr>
      </w:pPr>
      <w:r w:rsidRPr="0010323D">
        <w:rPr>
          <w:i/>
          <w:sz w:val="18"/>
          <w:szCs w:val="18"/>
        </w:rPr>
        <w:t xml:space="preserve">* </w:t>
      </w:r>
      <w:r w:rsidR="00BB049C" w:rsidRPr="0010323D">
        <w:rPr>
          <w:i/>
          <w:sz w:val="18"/>
          <w:szCs w:val="18"/>
        </w:rPr>
        <w:t>Podle předpokladu bude část spotřeby pokryta z akumulace. Kvůli specifickému charakteru této položky byla akumulace explicitně vydělena ze spotřeby.</w:t>
      </w:r>
    </w:p>
    <w:p w:rsidR="00235C7B" w:rsidRDefault="00235C7B" w:rsidP="00184DC1">
      <w:pPr>
        <w:pStyle w:val="Titulek"/>
        <w:keepNext/>
        <w:spacing w:before="240" w:after="120"/>
        <w:jc w:val="left"/>
      </w:pPr>
      <w:bookmarkStart w:id="935" w:name="_Ref391889526"/>
      <w:bookmarkStart w:id="936" w:name="_Toc396923129"/>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13</w:t>
      </w:r>
      <w:r w:rsidRPr="00235C7B">
        <w:rPr>
          <w:b/>
        </w:rPr>
        <w:fldChar w:fldCharType="end"/>
      </w:r>
      <w:bookmarkEnd w:id="935"/>
      <w:r w:rsidRPr="00235C7B">
        <w:rPr>
          <w:b/>
        </w:rPr>
        <w:t>:</w:t>
      </w:r>
      <w:r>
        <w:t xml:space="preserve"> </w:t>
      </w:r>
      <w:r w:rsidRPr="0092047B">
        <w:t>Vývoj a struktura spotřeby elektřiny</w:t>
      </w:r>
      <w:bookmarkEnd w:id="936"/>
    </w:p>
    <w:p w:rsidR="003F472D" w:rsidRPr="0092047B" w:rsidRDefault="003F472D" w:rsidP="00184DC1">
      <w:pPr>
        <w:spacing w:before="120" w:after="120"/>
        <w:jc w:val="center"/>
        <w:rPr>
          <w:rFonts w:cstheme="minorHAnsi"/>
        </w:rPr>
      </w:pPr>
      <w:r w:rsidRPr="0092047B">
        <w:rPr>
          <w:rFonts w:cstheme="minorHAnsi"/>
          <w:noProof/>
        </w:rPr>
        <w:drawing>
          <wp:inline distT="0" distB="0" distL="0" distR="0" wp14:anchorId="46AC7860" wp14:editId="6192CB6C">
            <wp:extent cx="5760000" cy="3780000"/>
            <wp:effectExtent l="0" t="0" r="12700" b="1143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472D" w:rsidRPr="0092047B" w:rsidRDefault="003F472D" w:rsidP="00184DC1">
      <w:pPr>
        <w:rPr>
          <w:rFonts w:cstheme="minorHAnsi"/>
        </w:rPr>
      </w:pPr>
      <w:r w:rsidRPr="0092047B">
        <w:rPr>
          <w:rFonts w:cstheme="minorHAnsi"/>
        </w:rPr>
        <w:t xml:space="preserve">Celková netto spotřeba elektřiny má v celém predikovaném období mezi lety 2010 až 2040 vzestupný charakter. Růst bude realizován u velkoodběratelů, maloodběratelů (s výjimkou domácností), ale i u ostatních druhů spotřeby elektřiny. V kategoriích </w:t>
      </w:r>
      <w:r w:rsidRPr="0092047B">
        <w:rPr>
          <w:rFonts w:cstheme="minorHAnsi"/>
          <w:i/>
        </w:rPr>
        <w:t>ztráty v sítích</w:t>
      </w:r>
      <w:r w:rsidRPr="0092047B">
        <w:rPr>
          <w:rFonts w:cstheme="minorHAnsi"/>
        </w:rPr>
        <w:t xml:space="preserve"> a </w:t>
      </w:r>
      <w:r w:rsidRPr="0092047B">
        <w:rPr>
          <w:rFonts w:cstheme="minorHAnsi"/>
          <w:i/>
        </w:rPr>
        <w:t>vlastní spotřebě</w:t>
      </w:r>
      <w:r w:rsidRPr="0092047B">
        <w:rPr>
          <w:rFonts w:cstheme="minorHAnsi"/>
        </w:rPr>
        <w:t xml:space="preserve"> se potom předpokládá stagnace. Vedle úspor daných snižováním energetické náročnosti spotřebičů se bude rozšiřovat využití elektřiny pro čerpání tepla z prostředí (tedy tepelná čerpadla), jako náhrada tuhých paliv v konečné spotřebě a dále pak i využívání elektřiny v dopravě.</w:t>
      </w:r>
    </w:p>
    <w:p w:rsidR="003F472D" w:rsidRPr="0092047B" w:rsidRDefault="003F472D" w:rsidP="00184DC1">
      <w:pPr>
        <w:pStyle w:val="Nadpis3"/>
      </w:pPr>
      <w:bookmarkStart w:id="937" w:name="_Toc367279703"/>
      <w:bookmarkStart w:id="938" w:name="_Toc367280252"/>
      <w:bookmarkStart w:id="939" w:name="_Toc370121890"/>
      <w:bookmarkStart w:id="940" w:name="_Toc387757711"/>
      <w:r w:rsidRPr="0092047B">
        <w:t xml:space="preserve"> </w:t>
      </w:r>
      <w:bookmarkStart w:id="941" w:name="_Toc396923423"/>
      <w:r w:rsidRPr="0092047B">
        <w:t xml:space="preserve">Vývoj a struktura dodávek tepla </w:t>
      </w:r>
      <w:r w:rsidR="00A651CE">
        <w:t>ze</w:t>
      </w:r>
      <w:r w:rsidRPr="0092047B">
        <w:t> soustav zásobování teplem</w:t>
      </w:r>
      <w:bookmarkEnd w:id="937"/>
      <w:bookmarkEnd w:id="938"/>
      <w:bookmarkEnd w:id="939"/>
      <w:bookmarkEnd w:id="940"/>
      <w:bookmarkEnd w:id="941"/>
    </w:p>
    <w:p w:rsidR="003F472D" w:rsidRPr="0092047B" w:rsidRDefault="003F472D" w:rsidP="00184DC1">
      <w:pPr>
        <w:pStyle w:val="Titulek"/>
        <w:keepNext/>
        <w:spacing w:before="240" w:after="120"/>
      </w:pPr>
      <w:bookmarkStart w:id="942" w:name="_Toc387757571"/>
      <w:bookmarkStart w:id="943" w:name="_Toc396923169"/>
      <w:r w:rsidRPr="0092047B">
        <w:rPr>
          <w:b/>
        </w:rPr>
        <w:t xml:space="preserve">Tabulka č. </w:t>
      </w:r>
      <w:r w:rsidRPr="0092047B">
        <w:rPr>
          <w:b/>
        </w:rPr>
        <w:fldChar w:fldCharType="begin"/>
      </w:r>
      <w:r w:rsidRPr="0092047B">
        <w:rPr>
          <w:b/>
        </w:rPr>
        <w:instrText xml:space="preserve"> SEQ Tabulka_č. \* ARABIC </w:instrText>
      </w:r>
      <w:r w:rsidRPr="0092047B">
        <w:rPr>
          <w:b/>
        </w:rPr>
        <w:fldChar w:fldCharType="separate"/>
      </w:r>
      <w:r w:rsidR="0096423F">
        <w:rPr>
          <w:b/>
          <w:noProof/>
        </w:rPr>
        <w:t>10</w:t>
      </w:r>
      <w:r w:rsidRPr="0092047B">
        <w:rPr>
          <w:b/>
        </w:rPr>
        <w:fldChar w:fldCharType="end"/>
      </w:r>
      <w:r w:rsidRPr="0092047B">
        <w:rPr>
          <w:b/>
        </w:rPr>
        <w:t>:</w:t>
      </w:r>
      <w:r w:rsidRPr="0092047B">
        <w:t xml:space="preserve"> Vývoj a struktura dodávek tepla </w:t>
      </w:r>
      <w:r w:rsidR="00A651CE">
        <w:t>ze</w:t>
      </w:r>
      <w:r w:rsidRPr="0092047B">
        <w:t xml:space="preserve"> soustav zásobování teplem</w:t>
      </w:r>
      <w:bookmarkEnd w:id="942"/>
      <w:bookmarkEnd w:id="943"/>
    </w:p>
    <w:tbl>
      <w:tblPr>
        <w:tblW w:w="9135" w:type="dxa"/>
        <w:tblInd w:w="65" w:type="dxa"/>
        <w:tblCellMar>
          <w:left w:w="70" w:type="dxa"/>
          <w:right w:w="70" w:type="dxa"/>
        </w:tblCellMar>
        <w:tblLook w:val="04A0" w:firstRow="1" w:lastRow="0" w:firstColumn="1" w:lastColumn="0" w:noHBand="0" w:noVBand="1"/>
      </w:tblPr>
      <w:tblGrid>
        <w:gridCol w:w="1848"/>
        <w:gridCol w:w="567"/>
        <w:gridCol w:w="960"/>
        <w:gridCol w:w="960"/>
        <w:gridCol w:w="960"/>
        <w:gridCol w:w="960"/>
        <w:gridCol w:w="960"/>
        <w:gridCol w:w="960"/>
        <w:gridCol w:w="960"/>
      </w:tblGrid>
      <w:tr w:rsidR="003F472D" w:rsidRPr="00304CDF" w:rsidTr="003F472D">
        <w:trPr>
          <w:trHeight w:val="315"/>
        </w:trPr>
        <w:tc>
          <w:tcPr>
            <w:tcW w:w="1848" w:type="dxa"/>
            <w:tcBorders>
              <w:top w:val="single" w:sz="4" w:space="0" w:color="000000"/>
              <w:left w:val="single" w:sz="4" w:space="0" w:color="000000"/>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center"/>
              <w:rPr>
                <w:rFonts w:cstheme="minorHAnsi"/>
                <w:b/>
              </w:rPr>
            </w:pPr>
            <w:r w:rsidRPr="00304CDF">
              <w:rPr>
                <w:rFonts w:cstheme="minorHAnsi"/>
                <w:b/>
              </w:rPr>
              <w:t>SZT</w:t>
            </w:r>
          </w:p>
        </w:tc>
        <w:tc>
          <w:tcPr>
            <w:tcW w:w="567" w:type="dxa"/>
            <w:tcBorders>
              <w:top w:val="single" w:sz="4" w:space="0" w:color="000000"/>
              <w:left w:val="nil"/>
              <w:bottom w:val="nil"/>
              <w:right w:val="single" w:sz="4" w:space="0" w:color="auto"/>
            </w:tcBorders>
            <w:shd w:val="clear" w:color="auto" w:fill="auto"/>
            <w:noWrap/>
            <w:vAlign w:val="bottom"/>
            <w:hideMark/>
          </w:tcPr>
          <w:p w:rsidR="003F472D" w:rsidRPr="00304CDF" w:rsidRDefault="003F472D" w:rsidP="00184DC1">
            <w:pPr>
              <w:pStyle w:val="Bezmezer"/>
              <w:jc w:val="center"/>
              <w:rPr>
                <w:rFonts w:cstheme="minorHAnsi"/>
                <w:b/>
              </w:rPr>
            </w:pPr>
          </w:p>
        </w:tc>
        <w:tc>
          <w:tcPr>
            <w:tcW w:w="960" w:type="dxa"/>
            <w:tcBorders>
              <w:top w:val="single" w:sz="4" w:space="0" w:color="000000"/>
              <w:left w:val="nil"/>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2010</w:t>
            </w:r>
          </w:p>
        </w:tc>
        <w:tc>
          <w:tcPr>
            <w:tcW w:w="960" w:type="dxa"/>
            <w:tcBorders>
              <w:top w:val="single" w:sz="4" w:space="0" w:color="000000"/>
              <w:left w:val="nil"/>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2015</w:t>
            </w:r>
          </w:p>
        </w:tc>
        <w:tc>
          <w:tcPr>
            <w:tcW w:w="960" w:type="dxa"/>
            <w:tcBorders>
              <w:top w:val="single" w:sz="4" w:space="0" w:color="000000"/>
              <w:left w:val="nil"/>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2020</w:t>
            </w:r>
          </w:p>
        </w:tc>
        <w:tc>
          <w:tcPr>
            <w:tcW w:w="960" w:type="dxa"/>
            <w:tcBorders>
              <w:top w:val="single" w:sz="4" w:space="0" w:color="000000"/>
              <w:left w:val="nil"/>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2025</w:t>
            </w:r>
          </w:p>
        </w:tc>
        <w:tc>
          <w:tcPr>
            <w:tcW w:w="960" w:type="dxa"/>
            <w:tcBorders>
              <w:top w:val="single" w:sz="4" w:space="0" w:color="000000"/>
              <w:left w:val="nil"/>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2030</w:t>
            </w:r>
          </w:p>
        </w:tc>
        <w:tc>
          <w:tcPr>
            <w:tcW w:w="960" w:type="dxa"/>
            <w:tcBorders>
              <w:top w:val="single" w:sz="4" w:space="0" w:color="000000"/>
              <w:left w:val="nil"/>
              <w:bottom w:val="single" w:sz="4" w:space="0" w:color="auto"/>
              <w:right w:val="single" w:sz="4" w:space="0" w:color="FFFFFF"/>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2035</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3F472D" w:rsidRPr="00304CDF" w:rsidRDefault="003F472D" w:rsidP="00184DC1">
            <w:pPr>
              <w:pStyle w:val="Bezmezer"/>
              <w:jc w:val="right"/>
              <w:rPr>
                <w:rFonts w:cstheme="minorHAnsi"/>
                <w:b/>
              </w:rPr>
            </w:pPr>
            <w:r w:rsidRPr="00304CDF">
              <w:rPr>
                <w:rFonts w:cstheme="minorHAnsi"/>
                <w:b/>
              </w:rPr>
              <w:t>2040</w:t>
            </w:r>
          </w:p>
        </w:tc>
      </w:tr>
      <w:tr w:rsidR="00304CDF" w:rsidRPr="00304CDF" w:rsidTr="003F472D">
        <w:trPr>
          <w:trHeight w:val="255"/>
        </w:trPr>
        <w:tc>
          <w:tcPr>
            <w:tcW w:w="1848" w:type="dxa"/>
            <w:tcBorders>
              <w:top w:val="nil"/>
              <w:left w:val="single" w:sz="4" w:space="0" w:color="000000"/>
              <w:bottom w:val="single" w:sz="4" w:space="0" w:color="FFFFFF"/>
              <w:right w:val="single" w:sz="4" w:space="0" w:color="FFFFFF"/>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Černé uhlí</w:t>
            </w:r>
          </w:p>
        </w:tc>
        <w:tc>
          <w:tcPr>
            <w:tcW w:w="567" w:type="dxa"/>
            <w:tcBorders>
              <w:top w:val="single" w:sz="4" w:space="0" w:color="auto"/>
              <w:left w:val="nil"/>
              <w:bottom w:val="single" w:sz="4" w:space="0" w:color="FFFFFF"/>
              <w:right w:val="single" w:sz="4" w:space="0" w:color="auto"/>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16,8</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16,3</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14,5</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14,3</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9,8</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7,9</w:t>
            </w:r>
          </w:p>
        </w:tc>
        <w:tc>
          <w:tcPr>
            <w:tcW w:w="960" w:type="dxa"/>
            <w:tcBorders>
              <w:top w:val="nil"/>
              <w:left w:val="nil"/>
              <w:bottom w:val="single" w:sz="4" w:space="0" w:color="A6A6A6"/>
              <w:right w:val="single" w:sz="4" w:space="0" w:color="000000"/>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8,2</w:t>
            </w:r>
          </w:p>
        </w:tc>
      </w:tr>
      <w:tr w:rsidR="00304CDF" w:rsidRPr="00304CDF" w:rsidTr="003F472D">
        <w:trPr>
          <w:trHeight w:val="255"/>
        </w:trPr>
        <w:tc>
          <w:tcPr>
            <w:tcW w:w="1848" w:type="dxa"/>
            <w:tcBorders>
              <w:top w:val="nil"/>
              <w:left w:val="single" w:sz="4" w:space="0" w:color="000000"/>
              <w:bottom w:val="single" w:sz="4" w:space="0" w:color="FFFFFF"/>
              <w:right w:val="single" w:sz="4" w:space="0" w:color="FFFFFF"/>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Hnědé uhlí</w:t>
            </w:r>
          </w:p>
        </w:tc>
        <w:tc>
          <w:tcPr>
            <w:tcW w:w="567" w:type="dxa"/>
            <w:tcBorders>
              <w:top w:val="nil"/>
              <w:left w:val="nil"/>
              <w:bottom w:val="single" w:sz="4" w:space="0" w:color="FFFFFF"/>
              <w:right w:val="single" w:sz="4" w:space="0" w:color="auto"/>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53,0</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47,0</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42,4</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32,4</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25,4</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23,9</w:t>
            </w:r>
          </w:p>
        </w:tc>
        <w:tc>
          <w:tcPr>
            <w:tcW w:w="960" w:type="dxa"/>
            <w:tcBorders>
              <w:top w:val="nil"/>
              <w:left w:val="nil"/>
              <w:bottom w:val="single" w:sz="4" w:space="0" w:color="A6A6A6"/>
              <w:right w:val="single" w:sz="4" w:space="0" w:color="000000"/>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18,1</w:t>
            </w:r>
          </w:p>
        </w:tc>
      </w:tr>
      <w:tr w:rsidR="00304CDF" w:rsidRPr="00304CDF" w:rsidTr="003F472D">
        <w:trPr>
          <w:trHeight w:val="255"/>
        </w:trPr>
        <w:tc>
          <w:tcPr>
            <w:tcW w:w="1848" w:type="dxa"/>
            <w:tcBorders>
              <w:top w:val="nil"/>
              <w:left w:val="single" w:sz="4" w:space="0" w:color="000000"/>
              <w:bottom w:val="single" w:sz="4" w:space="0" w:color="FFFFFF"/>
              <w:right w:val="single" w:sz="4" w:space="0" w:color="FFFFFF"/>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Zemní plyn</w:t>
            </w:r>
          </w:p>
        </w:tc>
        <w:tc>
          <w:tcPr>
            <w:tcW w:w="567" w:type="dxa"/>
            <w:tcBorders>
              <w:top w:val="nil"/>
              <w:left w:val="nil"/>
              <w:bottom w:val="single" w:sz="4" w:space="0" w:color="FFFFFF"/>
              <w:right w:val="single" w:sz="4" w:space="0" w:color="auto"/>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24,0</w:t>
            </w:r>
          </w:p>
        </w:tc>
        <w:tc>
          <w:tcPr>
            <w:tcW w:w="960" w:type="dxa"/>
            <w:tcBorders>
              <w:top w:val="nil"/>
              <w:left w:val="nil"/>
              <w:bottom w:val="single" w:sz="4" w:space="0" w:color="A6A6A6" w:themeColor="background1" w:themeShade="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25,3</w:t>
            </w:r>
          </w:p>
        </w:tc>
        <w:tc>
          <w:tcPr>
            <w:tcW w:w="960" w:type="dxa"/>
            <w:tcBorders>
              <w:top w:val="nil"/>
              <w:left w:val="nil"/>
              <w:bottom w:val="single" w:sz="4" w:space="0" w:color="A6A6A6" w:themeColor="background1" w:themeShade="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25,3</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25,4</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25,4</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24,8</w:t>
            </w:r>
          </w:p>
        </w:tc>
        <w:tc>
          <w:tcPr>
            <w:tcW w:w="960" w:type="dxa"/>
            <w:tcBorders>
              <w:top w:val="nil"/>
              <w:left w:val="nil"/>
              <w:bottom w:val="single" w:sz="4" w:space="0" w:color="A6A6A6"/>
              <w:right w:val="single" w:sz="4" w:space="0" w:color="000000"/>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25,0</w:t>
            </w:r>
          </w:p>
        </w:tc>
      </w:tr>
      <w:tr w:rsidR="00304CDF" w:rsidRPr="00304CDF" w:rsidTr="003F472D">
        <w:trPr>
          <w:trHeight w:val="255"/>
        </w:trPr>
        <w:tc>
          <w:tcPr>
            <w:tcW w:w="1848" w:type="dxa"/>
            <w:tcBorders>
              <w:top w:val="nil"/>
              <w:left w:val="single" w:sz="4" w:space="0" w:color="000000"/>
              <w:bottom w:val="single" w:sz="4" w:space="0" w:color="FFFFFF"/>
              <w:right w:val="single" w:sz="4" w:space="0" w:color="FFFFFF"/>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Ostatní paliva</w:t>
            </w:r>
          </w:p>
        </w:tc>
        <w:tc>
          <w:tcPr>
            <w:tcW w:w="567" w:type="dxa"/>
            <w:tcBorders>
              <w:top w:val="nil"/>
              <w:left w:val="nil"/>
              <w:bottom w:val="single" w:sz="4" w:space="0" w:color="FFFFFF"/>
              <w:right w:val="single" w:sz="4" w:space="0" w:color="auto"/>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PJ</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3,2</w:t>
            </w:r>
          </w:p>
        </w:tc>
        <w:tc>
          <w:tcPr>
            <w:tcW w:w="960" w:type="dxa"/>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3,2</w:t>
            </w:r>
          </w:p>
        </w:tc>
        <w:tc>
          <w:tcPr>
            <w:tcW w:w="960" w:type="dxa"/>
            <w:tcBorders>
              <w:top w:val="single" w:sz="4" w:space="0" w:color="A6A6A6" w:themeColor="background1" w:themeShade="A6"/>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3,7</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5,1</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7,0</w:t>
            </w:r>
          </w:p>
        </w:tc>
        <w:tc>
          <w:tcPr>
            <w:tcW w:w="960" w:type="dxa"/>
            <w:tcBorders>
              <w:top w:val="nil"/>
              <w:left w:val="nil"/>
              <w:bottom w:val="single" w:sz="4" w:space="0" w:color="A6A6A6"/>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7,0</w:t>
            </w:r>
          </w:p>
        </w:tc>
        <w:tc>
          <w:tcPr>
            <w:tcW w:w="960" w:type="dxa"/>
            <w:tcBorders>
              <w:top w:val="nil"/>
              <w:left w:val="nil"/>
              <w:bottom w:val="single" w:sz="4" w:space="0" w:color="A6A6A6"/>
              <w:right w:val="single" w:sz="4" w:space="0" w:color="000000"/>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8,1</w:t>
            </w:r>
          </w:p>
        </w:tc>
      </w:tr>
      <w:tr w:rsidR="00304CDF" w:rsidRPr="00304CDF" w:rsidTr="003F472D">
        <w:trPr>
          <w:trHeight w:val="270"/>
        </w:trPr>
        <w:tc>
          <w:tcPr>
            <w:tcW w:w="1848" w:type="dxa"/>
            <w:tcBorders>
              <w:top w:val="nil"/>
              <w:left w:val="single" w:sz="4" w:space="0" w:color="000000"/>
              <w:bottom w:val="single" w:sz="4" w:space="0" w:color="FFFFFF"/>
              <w:right w:val="single" w:sz="4" w:space="0" w:color="FFFFFF"/>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OZE</w:t>
            </w:r>
          </w:p>
        </w:tc>
        <w:tc>
          <w:tcPr>
            <w:tcW w:w="567" w:type="dxa"/>
            <w:tcBorders>
              <w:top w:val="nil"/>
              <w:left w:val="nil"/>
              <w:bottom w:val="single" w:sz="4" w:space="0" w:color="FFFFFF"/>
              <w:right w:val="single" w:sz="4" w:space="0" w:color="auto"/>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PJ</w:t>
            </w:r>
          </w:p>
        </w:tc>
        <w:tc>
          <w:tcPr>
            <w:tcW w:w="960" w:type="dxa"/>
            <w:tcBorders>
              <w:top w:val="nil"/>
              <w:left w:val="nil"/>
              <w:bottom w:val="double" w:sz="6" w:space="0" w:color="808080"/>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3,0</w:t>
            </w:r>
          </w:p>
        </w:tc>
        <w:tc>
          <w:tcPr>
            <w:tcW w:w="960" w:type="dxa"/>
            <w:tcBorders>
              <w:top w:val="nil"/>
              <w:left w:val="nil"/>
              <w:bottom w:val="double" w:sz="6" w:space="0" w:color="808080"/>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6,6</w:t>
            </w:r>
          </w:p>
        </w:tc>
        <w:tc>
          <w:tcPr>
            <w:tcW w:w="960" w:type="dxa"/>
            <w:tcBorders>
              <w:top w:val="nil"/>
              <w:left w:val="nil"/>
              <w:bottom w:val="double" w:sz="6" w:space="0" w:color="808080"/>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8,7</w:t>
            </w:r>
          </w:p>
        </w:tc>
        <w:tc>
          <w:tcPr>
            <w:tcW w:w="960" w:type="dxa"/>
            <w:tcBorders>
              <w:top w:val="nil"/>
              <w:left w:val="nil"/>
              <w:bottom w:val="double" w:sz="6" w:space="0" w:color="808080"/>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12,3</w:t>
            </w:r>
          </w:p>
        </w:tc>
        <w:tc>
          <w:tcPr>
            <w:tcW w:w="960" w:type="dxa"/>
            <w:tcBorders>
              <w:top w:val="nil"/>
              <w:left w:val="nil"/>
              <w:bottom w:val="double" w:sz="6" w:space="0" w:color="808080"/>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16,4</w:t>
            </w:r>
          </w:p>
        </w:tc>
        <w:tc>
          <w:tcPr>
            <w:tcW w:w="960" w:type="dxa"/>
            <w:tcBorders>
              <w:top w:val="nil"/>
              <w:left w:val="nil"/>
              <w:bottom w:val="double" w:sz="6" w:space="0" w:color="808080"/>
              <w:right w:val="single" w:sz="4" w:space="0" w:color="FFFFFF"/>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18,6</w:t>
            </w:r>
          </w:p>
        </w:tc>
        <w:tc>
          <w:tcPr>
            <w:tcW w:w="960" w:type="dxa"/>
            <w:tcBorders>
              <w:top w:val="nil"/>
              <w:left w:val="nil"/>
              <w:bottom w:val="double" w:sz="6" w:space="0" w:color="808080"/>
              <w:right w:val="single" w:sz="4" w:space="0" w:color="000000"/>
            </w:tcBorders>
            <w:shd w:val="clear" w:color="auto" w:fill="auto"/>
            <w:noWrap/>
            <w:vAlign w:val="bottom"/>
            <w:hideMark/>
          </w:tcPr>
          <w:p w:rsidR="00304CDF" w:rsidRPr="00304CDF" w:rsidRDefault="00304CDF" w:rsidP="00184DC1">
            <w:pPr>
              <w:spacing w:after="0"/>
              <w:jc w:val="right"/>
              <w:rPr>
                <w:rFonts w:cs="Arial"/>
                <w:color w:val="000000"/>
                <w:sz w:val="22"/>
                <w:szCs w:val="20"/>
              </w:rPr>
            </w:pPr>
            <w:r w:rsidRPr="00304CDF">
              <w:rPr>
                <w:rFonts w:cs="Arial"/>
                <w:color w:val="000000"/>
                <w:sz w:val="22"/>
                <w:szCs w:val="20"/>
              </w:rPr>
              <w:t>20,8</w:t>
            </w:r>
          </w:p>
        </w:tc>
      </w:tr>
      <w:tr w:rsidR="00304CDF" w:rsidRPr="00304CDF" w:rsidTr="003F472D">
        <w:trPr>
          <w:trHeight w:val="270"/>
        </w:trPr>
        <w:tc>
          <w:tcPr>
            <w:tcW w:w="1848" w:type="dxa"/>
            <w:tcBorders>
              <w:top w:val="nil"/>
              <w:left w:val="single" w:sz="4" w:space="0" w:color="000000"/>
              <w:bottom w:val="single" w:sz="4" w:space="0" w:color="000000" w:themeColor="text1"/>
              <w:right w:val="single" w:sz="4" w:space="0" w:color="FFFFFF"/>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Celkem</w:t>
            </w:r>
          </w:p>
        </w:tc>
        <w:tc>
          <w:tcPr>
            <w:tcW w:w="567" w:type="dxa"/>
            <w:tcBorders>
              <w:top w:val="nil"/>
              <w:left w:val="nil"/>
              <w:bottom w:val="single" w:sz="4" w:space="0" w:color="000000" w:themeColor="text1"/>
              <w:right w:val="single" w:sz="4" w:space="0" w:color="auto"/>
            </w:tcBorders>
            <w:shd w:val="clear" w:color="auto" w:fill="auto"/>
            <w:noWrap/>
            <w:vAlign w:val="bottom"/>
            <w:hideMark/>
          </w:tcPr>
          <w:p w:rsidR="00304CDF" w:rsidRPr="00304CDF" w:rsidRDefault="00304CDF" w:rsidP="00184DC1">
            <w:pPr>
              <w:pStyle w:val="Bezmezer"/>
              <w:rPr>
                <w:rFonts w:cstheme="minorHAnsi"/>
              </w:rPr>
            </w:pPr>
            <w:r w:rsidRPr="00304CDF">
              <w:rPr>
                <w:rFonts w:cstheme="minorHAnsi"/>
              </w:rPr>
              <w:t>PJ</w:t>
            </w:r>
          </w:p>
        </w:tc>
        <w:tc>
          <w:tcPr>
            <w:tcW w:w="960" w:type="dxa"/>
            <w:tcBorders>
              <w:top w:val="nil"/>
              <w:left w:val="nil"/>
              <w:bottom w:val="single" w:sz="4" w:space="0" w:color="000000" w:themeColor="text1"/>
              <w:right w:val="single" w:sz="4" w:space="0" w:color="FFFFFF"/>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100,1</w:t>
            </w:r>
          </w:p>
        </w:tc>
        <w:tc>
          <w:tcPr>
            <w:tcW w:w="960" w:type="dxa"/>
            <w:tcBorders>
              <w:top w:val="nil"/>
              <w:left w:val="nil"/>
              <w:bottom w:val="single" w:sz="4" w:space="0" w:color="000000" w:themeColor="text1"/>
              <w:right w:val="single" w:sz="4" w:space="0" w:color="FFFFFF"/>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98,3</w:t>
            </w:r>
          </w:p>
        </w:tc>
        <w:tc>
          <w:tcPr>
            <w:tcW w:w="960" w:type="dxa"/>
            <w:tcBorders>
              <w:top w:val="nil"/>
              <w:left w:val="nil"/>
              <w:bottom w:val="single" w:sz="4" w:space="0" w:color="000000" w:themeColor="text1"/>
              <w:right w:val="single" w:sz="4" w:space="0" w:color="FFFFFF"/>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94,5</w:t>
            </w:r>
          </w:p>
        </w:tc>
        <w:tc>
          <w:tcPr>
            <w:tcW w:w="960" w:type="dxa"/>
            <w:tcBorders>
              <w:top w:val="nil"/>
              <w:left w:val="nil"/>
              <w:bottom w:val="single" w:sz="4" w:space="0" w:color="000000" w:themeColor="text1"/>
              <w:right w:val="single" w:sz="4" w:space="0" w:color="FFFFFF"/>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89,5</w:t>
            </w:r>
          </w:p>
        </w:tc>
        <w:tc>
          <w:tcPr>
            <w:tcW w:w="960" w:type="dxa"/>
            <w:tcBorders>
              <w:top w:val="nil"/>
              <w:left w:val="nil"/>
              <w:bottom w:val="single" w:sz="4" w:space="0" w:color="000000" w:themeColor="text1"/>
              <w:right w:val="single" w:sz="4" w:space="0" w:color="FFFFFF"/>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83,9</w:t>
            </w:r>
          </w:p>
        </w:tc>
        <w:tc>
          <w:tcPr>
            <w:tcW w:w="960" w:type="dxa"/>
            <w:tcBorders>
              <w:top w:val="nil"/>
              <w:left w:val="nil"/>
              <w:bottom w:val="single" w:sz="4" w:space="0" w:color="000000" w:themeColor="text1"/>
              <w:right w:val="single" w:sz="4" w:space="0" w:color="FFFFFF"/>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82,2</w:t>
            </w:r>
          </w:p>
        </w:tc>
        <w:tc>
          <w:tcPr>
            <w:tcW w:w="960" w:type="dxa"/>
            <w:tcBorders>
              <w:top w:val="nil"/>
              <w:left w:val="nil"/>
              <w:bottom w:val="single" w:sz="4" w:space="0" w:color="000000" w:themeColor="text1"/>
              <w:right w:val="single" w:sz="4" w:space="0" w:color="000000"/>
            </w:tcBorders>
            <w:shd w:val="clear" w:color="auto" w:fill="auto"/>
            <w:noWrap/>
            <w:vAlign w:val="bottom"/>
            <w:hideMark/>
          </w:tcPr>
          <w:p w:rsidR="00304CDF" w:rsidRPr="00304CDF" w:rsidRDefault="00304CDF" w:rsidP="00184DC1">
            <w:pPr>
              <w:spacing w:after="0"/>
              <w:jc w:val="right"/>
              <w:rPr>
                <w:rFonts w:cs="Arial"/>
                <w:b/>
                <w:bCs/>
                <w:color w:val="000000"/>
                <w:sz w:val="22"/>
                <w:szCs w:val="20"/>
              </w:rPr>
            </w:pPr>
            <w:r w:rsidRPr="00304CDF">
              <w:rPr>
                <w:rFonts w:cs="Arial"/>
                <w:b/>
                <w:bCs/>
                <w:color w:val="000000"/>
                <w:sz w:val="22"/>
                <w:szCs w:val="20"/>
              </w:rPr>
              <w:t>80,2</w:t>
            </w:r>
          </w:p>
        </w:tc>
      </w:tr>
      <w:tr w:rsidR="003F472D" w:rsidRPr="0010323D" w:rsidTr="003F472D">
        <w:trPr>
          <w:trHeight w:val="433"/>
        </w:trPr>
        <w:tc>
          <w:tcPr>
            <w:tcW w:w="9135" w:type="dxa"/>
            <w:gridSpan w:val="9"/>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3F472D" w:rsidRPr="0010323D" w:rsidRDefault="003F472D" w:rsidP="00184DC1">
            <w:pPr>
              <w:spacing w:before="120" w:after="0"/>
              <w:rPr>
                <w:rFonts w:cs="Arial"/>
                <w:b/>
                <w:bCs/>
                <w:i/>
                <w:color w:val="000000"/>
                <w:sz w:val="18"/>
                <w:szCs w:val="18"/>
              </w:rPr>
            </w:pPr>
            <w:r w:rsidRPr="0010323D">
              <w:rPr>
                <w:rFonts w:cstheme="minorHAnsi"/>
                <w:i/>
                <w:sz w:val="18"/>
                <w:szCs w:val="18"/>
              </w:rPr>
              <w:t>Pozn.</w:t>
            </w:r>
            <w:r w:rsidR="00953D15" w:rsidRPr="0010323D">
              <w:rPr>
                <w:rFonts w:cstheme="minorHAnsi"/>
                <w:i/>
                <w:sz w:val="18"/>
                <w:szCs w:val="18"/>
              </w:rPr>
              <w:t>: o</w:t>
            </w:r>
            <w:r w:rsidRPr="0010323D">
              <w:rPr>
                <w:rFonts w:cstheme="minorHAnsi"/>
                <w:i/>
                <w:sz w:val="18"/>
                <w:szCs w:val="18"/>
              </w:rPr>
              <w:t>statní paliva – koksárenský, vysokopecní a ostatní plyny, průmyslové odpady, alte</w:t>
            </w:r>
            <w:r w:rsidR="00953D15" w:rsidRPr="0010323D">
              <w:rPr>
                <w:rFonts w:cstheme="minorHAnsi"/>
                <w:i/>
                <w:sz w:val="18"/>
                <w:szCs w:val="18"/>
              </w:rPr>
              <w:t xml:space="preserve">rnativní paliva, tuhý komunální </w:t>
            </w:r>
            <w:r w:rsidRPr="0010323D">
              <w:rPr>
                <w:rFonts w:cstheme="minorHAnsi"/>
                <w:i/>
                <w:sz w:val="18"/>
                <w:szCs w:val="18"/>
              </w:rPr>
              <w:t>odpad (neobnovitelný), prvotní teplo</w:t>
            </w:r>
          </w:p>
        </w:tc>
      </w:tr>
    </w:tbl>
    <w:p w:rsidR="00235C7B" w:rsidRDefault="00235C7B" w:rsidP="00184DC1">
      <w:pPr>
        <w:pStyle w:val="Titulek"/>
        <w:keepNext/>
        <w:spacing w:before="240" w:after="120"/>
      </w:pPr>
      <w:bookmarkStart w:id="944" w:name="_Toc396923130"/>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14</w:t>
      </w:r>
      <w:r w:rsidRPr="00235C7B">
        <w:rPr>
          <w:b/>
        </w:rPr>
        <w:fldChar w:fldCharType="end"/>
      </w:r>
      <w:r w:rsidRPr="00235C7B">
        <w:rPr>
          <w:b/>
        </w:rPr>
        <w:t xml:space="preserve">: </w:t>
      </w:r>
      <w:r w:rsidRPr="0092047B">
        <w:t xml:space="preserve">Vývoj a struktura dodávek tepla </w:t>
      </w:r>
      <w:r w:rsidR="00953D15">
        <w:t>ze</w:t>
      </w:r>
      <w:r w:rsidRPr="0092047B">
        <w:t xml:space="preserve"> soustav zásobování teplem</w:t>
      </w:r>
      <w:bookmarkEnd w:id="944"/>
    </w:p>
    <w:p w:rsidR="00304CDF" w:rsidRPr="00304CDF" w:rsidRDefault="00304CDF" w:rsidP="00184DC1">
      <w:pPr>
        <w:spacing w:before="120"/>
      </w:pPr>
      <w:r>
        <w:rPr>
          <w:noProof/>
        </w:rPr>
        <w:drawing>
          <wp:inline distT="0" distB="0" distL="0" distR="0" wp14:anchorId="5792D230" wp14:editId="3696611E">
            <wp:extent cx="5760000" cy="3780000"/>
            <wp:effectExtent l="0" t="0" r="12700" b="11430"/>
            <wp:docPr id="7173" name="Graf 7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472D" w:rsidRDefault="003F472D" w:rsidP="00184DC1">
      <w:pPr>
        <w:rPr>
          <w:rFonts w:cstheme="minorHAnsi"/>
        </w:rPr>
      </w:pPr>
      <w:r w:rsidRPr="0092047B">
        <w:rPr>
          <w:rFonts w:cstheme="minorHAnsi"/>
        </w:rPr>
        <w:t>V soustavách zásobování teplem se v letech 2010 až 2040 očekává významný pokles spotřeby, především z důvodu úsporných opatření na straně konečné spotřeby, ale i rozvodů tepla. V jejich struktuře roste podíl obnovitelných a druhotných zdrojů energie, především biomasy a odpadů jako významných tuzemských energetických zdrojů. Naopak podíl dalšího a v současné době rozhodujícího tuzemského zdroje, kterým je kvalitní hnědé uhlí, bude ve sledovaném období postupně klesat s výrazn</w:t>
      </w:r>
      <w:r w:rsidR="004127B1" w:rsidRPr="0092047B">
        <w:rPr>
          <w:rFonts w:cstheme="minorHAnsi"/>
        </w:rPr>
        <w:t>ým</w:t>
      </w:r>
      <w:r w:rsidRPr="0092047B">
        <w:rPr>
          <w:rFonts w:cstheme="minorHAnsi"/>
        </w:rPr>
        <w:t xml:space="preserve"> poklesem </w:t>
      </w:r>
      <w:r w:rsidR="004127B1" w:rsidRPr="0092047B">
        <w:rPr>
          <w:rFonts w:cstheme="minorHAnsi"/>
        </w:rPr>
        <w:t xml:space="preserve">především </w:t>
      </w:r>
      <w:r w:rsidRPr="0092047B">
        <w:rPr>
          <w:rFonts w:cstheme="minorHAnsi"/>
        </w:rPr>
        <w:t>mezi lety 2035 až 2040. V případě zemního plynu byl výchozí rok 2010 výjimečný kvůli dlouhotrvajícím extrémně nízkým teplotám. V následujících letech se spotřeba plynu pro výrobu tepla v </w:t>
      </w:r>
      <w:r w:rsidRPr="0092047B">
        <w:rPr>
          <w:rFonts w:ascii="Calibri" w:eastAsia="Calibri" w:hAnsi="Calibri"/>
          <w:color w:val="000000" w:themeColor="text1"/>
        </w:rPr>
        <w:t>soustavách zásobování teplem</w:t>
      </w:r>
      <w:r w:rsidRPr="0092047B">
        <w:rPr>
          <w:rFonts w:cstheme="minorHAnsi"/>
        </w:rPr>
        <w:t xml:space="preserve"> opětovně vrací na úroveň před tímto datem, s mírným meziročním navyšováním spotřeby. To je počátek dlouhodobějšího trendu vyššího využívání zemního plynu především v malých a stř</w:t>
      </w:r>
      <w:r w:rsidR="005218D2">
        <w:rPr>
          <w:rFonts w:cstheme="minorHAnsi"/>
        </w:rPr>
        <w:t>edních teplárenských systémech.</w:t>
      </w:r>
    </w:p>
    <w:p w:rsidR="005218D2" w:rsidRDefault="005218D2">
      <w:pPr>
        <w:spacing w:after="0"/>
        <w:jc w:val="left"/>
        <w:rPr>
          <w:rFonts w:cstheme="minorHAnsi"/>
        </w:rPr>
      </w:pPr>
      <w:r>
        <w:rPr>
          <w:rFonts w:cstheme="minorHAnsi"/>
        </w:rPr>
        <w:br w:type="page"/>
      </w:r>
    </w:p>
    <w:p w:rsidR="003F472D" w:rsidRPr="0092047B" w:rsidRDefault="00FD1A76" w:rsidP="00184DC1">
      <w:pPr>
        <w:pStyle w:val="Nadpis3"/>
      </w:pPr>
      <w:bookmarkStart w:id="945" w:name="_Toc396923424"/>
      <w:r w:rsidRPr="0092047B">
        <w:t>Ukazatele bezpečnosti</w:t>
      </w:r>
      <w:bookmarkEnd w:id="945"/>
    </w:p>
    <w:p w:rsidR="00235C7B" w:rsidRDefault="00235C7B" w:rsidP="00184DC1">
      <w:pPr>
        <w:pStyle w:val="Titulek"/>
        <w:keepNext/>
        <w:spacing w:before="240" w:after="120"/>
      </w:pPr>
      <w:bookmarkStart w:id="946" w:name="_Toc396923131"/>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15</w:t>
      </w:r>
      <w:r w:rsidRPr="00235C7B">
        <w:rPr>
          <w:b/>
        </w:rPr>
        <w:fldChar w:fldCharType="end"/>
      </w:r>
      <w:r w:rsidRPr="00235C7B">
        <w:rPr>
          <w:b/>
        </w:rPr>
        <w:t>:</w:t>
      </w:r>
      <w:r>
        <w:t xml:space="preserve"> </w:t>
      </w:r>
      <w:r w:rsidRPr="00CD6B61">
        <w:t>Pohotovostní zásoby PEZ</w:t>
      </w:r>
      <w:bookmarkEnd w:id="946"/>
    </w:p>
    <w:p w:rsidR="00342541" w:rsidRPr="00342541" w:rsidRDefault="00342541" w:rsidP="00184DC1">
      <w:pPr>
        <w:spacing w:before="120"/>
      </w:pPr>
      <w:r w:rsidRPr="009912BD">
        <w:rPr>
          <w:noProof/>
        </w:rPr>
        <w:drawing>
          <wp:inline distT="0" distB="0" distL="0" distR="0" wp14:anchorId="42188208" wp14:editId="41414758">
            <wp:extent cx="5760000" cy="3780000"/>
            <wp:effectExtent l="0" t="0" r="12700" b="1143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472D" w:rsidRPr="0092047B" w:rsidRDefault="003F472D" w:rsidP="005218D2">
      <w:pPr>
        <w:spacing w:after="120"/>
      </w:pPr>
      <w:r w:rsidRPr="0092047B">
        <w:t xml:space="preserve">Pohotovostní zásoby primárních energetických zdrojů jsou určeny podle rovnic uvedených v kapitole 4.1, přičemž koeficient </w:t>
      </w:r>
      <w:r w:rsidRPr="0092047B">
        <w:rPr>
          <w:i/>
        </w:rPr>
        <w:t>k</w:t>
      </w:r>
      <w:r w:rsidRPr="0092047B">
        <w:rPr>
          <w:i/>
          <w:vertAlign w:val="subscript"/>
        </w:rPr>
        <w:t>KP</w:t>
      </w:r>
      <w:r w:rsidRPr="0092047B">
        <w:t xml:space="preserve"> je uvažován o velikosti 100/360, tedy jakožto 100 dní čistého ročního dovozu kapalných paliv, koeficient </w:t>
      </w:r>
      <w:r w:rsidRPr="0092047B">
        <w:rPr>
          <w:i/>
        </w:rPr>
        <w:t>k</w:t>
      </w:r>
      <w:r w:rsidRPr="0092047B">
        <w:rPr>
          <w:i/>
          <w:vertAlign w:val="subscript"/>
        </w:rPr>
        <w:t>ZP</w:t>
      </w:r>
      <w:r w:rsidRPr="0092047B">
        <w:t xml:space="preserve"> má hodnotu 0,35, tedy jakožto 35 % roční tuzemské spotřeby zemního plynu, koeficient </w:t>
      </w:r>
      <w:r w:rsidRPr="0092047B">
        <w:rPr>
          <w:i/>
        </w:rPr>
        <w:t>k</w:t>
      </w:r>
      <w:r w:rsidRPr="0092047B">
        <w:rPr>
          <w:i/>
          <w:vertAlign w:val="subscript"/>
        </w:rPr>
        <w:t>TP</w:t>
      </w:r>
      <w:r w:rsidRPr="0092047B">
        <w:t xml:space="preserve"> je uvažován o velikosti 1,25, což zohledňuje množství uhlí a uhelných derivátů na skládkách těžebních společností a výrobců v předpokládané výši 1,25 násobku roční tuzemské spotřeby, koeficient </w:t>
      </w:r>
      <w:r w:rsidRPr="0092047B">
        <w:rPr>
          <w:i/>
        </w:rPr>
        <w:t>k</w:t>
      </w:r>
      <w:r w:rsidRPr="0092047B">
        <w:rPr>
          <w:i/>
          <w:vertAlign w:val="subscript"/>
        </w:rPr>
        <w:t>JP</w:t>
      </w:r>
      <w:r w:rsidRPr="0092047B">
        <w:t xml:space="preserve"> má </w:t>
      </w:r>
      <w:r w:rsidR="00526DB6">
        <w:t xml:space="preserve">historicky hodnotu 2 a do budoucna (po roce 2020) v návaznosti na realizaci všech potřebných opatření na </w:t>
      </w:r>
      <w:r w:rsidRPr="0092047B">
        <w:t xml:space="preserve">hodnotu 4, což </w:t>
      </w:r>
      <w:r w:rsidR="00526DB6">
        <w:t xml:space="preserve">bude </w:t>
      </w:r>
      <w:r w:rsidR="00526DB6" w:rsidRPr="0092047B">
        <w:t>předsta</w:t>
      </w:r>
      <w:r w:rsidR="00526DB6">
        <w:t>vovat</w:t>
      </w:r>
      <w:r w:rsidR="00526DB6" w:rsidRPr="0092047B">
        <w:t xml:space="preserve"> </w:t>
      </w:r>
      <w:r w:rsidRPr="0092047B">
        <w:t xml:space="preserve">zásobu na pokrytí jednoho čtyřletého palivového cyklu jaderných zdrojů, koeficient </w:t>
      </w:r>
      <w:r w:rsidRPr="0092047B">
        <w:rPr>
          <w:i/>
        </w:rPr>
        <w:t>k</w:t>
      </w:r>
      <w:r w:rsidRPr="0092047B">
        <w:rPr>
          <w:i/>
          <w:vertAlign w:val="subscript"/>
        </w:rPr>
        <w:t>iOZE</w:t>
      </w:r>
      <w:r w:rsidRPr="0092047B">
        <w:t xml:space="preserve"> je uvažován o velikosti 1 a koeficient</w:t>
      </w:r>
      <w:r w:rsidRPr="0092047B">
        <w:rPr>
          <w:i/>
        </w:rPr>
        <w:t xml:space="preserve"> k</w:t>
      </w:r>
      <w:r w:rsidRPr="0092047B">
        <w:rPr>
          <w:i/>
          <w:vertAlign w:val="subscript"/>
        </w:rPr>
        <w:t>nOZE</w:t>
      </w:r>
      <w:r w:rsidRPr="0092047B">
        <w:t xml:space="preserve"> je o velikosti 1,5.</w:t>
      </w:r>
    </w:p>
    <w:p w:rsidR="003F472D" w:rsidRPr="0092047B" w:rsidRDefault="003F472D" w:rsidP="005218D2">
      <w:pPr>
        <w:spacing w:after="120"/>
      </w:pPr>
      <w:r w:rsidRPr="0092047B">
        <w:t xml:space="preserve">Pohotovostní zásoby primárních energetických zdrojů budou v závislosti na vývoji a struktuře využívání jednotlivých druhů energie do roku 2030 spíše stagnovat s následným nárůstem způsobeným zvýšeným využitím jaderného paliva, které lze </w:t>
      </w:r>
      <w:r w:rsidR="00526DB6">
        <w:t>při vynaložení relevantních nákladů</w:t>
      </w:r>
      <w:r w:rsidRPr="0092047B">
        <w:t xml:space="preserve"> s</w:t>
      </w:r>
      <w:r w:rsidR="00526DB6">
        <w:t xml:space="preserve"> ohledem na vysokou koncentraci paliva s</w:t>
      </w:r>
      <w:r w:rsidRPr="0092047B">
        <w:t>kladovat na území ČR v rozsahu minimálně jednoho palivového cyklu pro pokrytí potřeb domácích JE (délka palivového cyklu je uvažována na čtyři roky). V tomto případě je tedy možné provádět i případnou diverzifik</w:t>
      </w:r>
      <w:r w:rsidR="008813B5">
        <w:t>aci v delším časovém horizontu.</w:t>
      </w:r>
    </w:p>
    <w:p w:rsidR="00235C7B" w:rsidRDefault="00235C7B" w:rsidP="00184DC1">
      <w:pPr>
        <w:pStyle w:val="Titulek"/>
        <w:keepNext/>
        <w:spacing w:before="240" w:after="120"/>
        <w:jc w:val="left"/>
      </w:pPr>
      <w:bookmarkStart w:id="947" w:name="_Ref391888944"/>
      <w:bookmarkStart w:id="948" w:name="_Toc396923132"/>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16</w:t>
      </w:r>
      <w:r w:rsidRPr="00235C7B">
        <w:rPr>
          <w:b/>
        </w:rPr>
        <w:fldChar w:fldCharType="end"/>
      </w:r>
      <w:bookmarkEnd w:id="947"/>
      <w:r w:rsidRPr="00235C7B">
        <w:rPr>
          <w:b/>
        </w:rPr>
        <w:t>:</w:t>
      </w:r>
      <w:r>
        <w:t xml:space="preserve"> </w:t>
      </w:r>
      <w:r w:rsidRPr="0092047B">
        <w:t>Ukazatele diverzifikace</w:t>
      </w:r>
      <w:bookmarkEnd w:id="948"/>
    </w:p>
    <w:p w:rsidR="003F472D" w:rsidRPr="0092047B" w:rsidRDefault="0057114D" w:rsidP="00184DC1">
      <w:pPr>
        <w:spacing w:before="120"/>
        <w:jc w:val="center"/>
        <w:rPr>
          <w:rFonts w:cstheme="minorHAnsi"/>
        </w:rPr>
      </w:pPr>
      <w:r w:rsidRPr="0092047B">
        <w:rPr>
          <w:rFonts w:cstheme="minorHAnsi"/>
          <w:noProof/>
        </w:rPr>
        <w:drawing>
          <wp:inline distT="0" distB="0" distL="0" distR="0" wp14:anchorId="005ADE07" wp14:editId="39046AF7">
            <wp:extent cx="5760000" cy="3780000"/>
            <wp:effectExtent l="0" t="0" r="12700" b="1143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472D" w:rsidRPr="0092047B" w:rsidRDefault="003F472D" w:rsidP="005218D2">
      <w:pPr>
        <w:spacing w:after="120"/>
      </w:pPr>
      <w:r w:rsidRPr="0092047B">
        <w:t>Ukazatele diverzifikace primárních energetických zdrojů, hrubé výroby elektřiny a importu představují rovnoměrnost podílů jednotlivých druhů PEZ na jejich celkové spotřebě, domácí výrobě elektřiny a na celkovém dovozu. Obecně lze potom říct, že čím nižší je hodnota, které tento bezrozměrný ukazatel nabývá, tím vyšší je míra diverzifikace. V případě diverzifikace PEZ nabývá ukazatel hodnot v intervalu &lt;1/5</w:t>
      </w:r>
      <w:r w:rsidR="005275F9" w:rsidRPr="0092047B">
        <w:t>;</w:t>
      </w:r>
      <w:r w:rsidRPr="0092047B">
        <w:t xml:space="preserve">1&gt;, přičemž hodnota na úrovni jedné odpovídá zastoupení jediného druhu paliva v rámci energetického mixu a 1/5 označuje rovnoměrné rozdělení jednotlivých PEZ v mixu (číslo pět ve jmenovateli pak odpovídá pěti kategoriím, ze kterých byl ukazatel diverzifikace vypočten, jedná se o plynná, kapalná a tuhá paliva, jaderné palivo a OZE). </w:t>
      </w:r>
      <w:r w:rsidR="005876DC" w:rsidRPr="005876DC">
        <w:fldChar w:fldCharType="begin"/>
      </w:r>
      <w:r w:rsidR="005876DC" w:rsidRPr="005876DC">
        <w:instrText xml:space="preserve"> REF _Ref391888944 \h  \* MERGEFORMAT </w:instrText>
      </w:r>
      <w:r w:rsidR="005876DC" w:rsidRPr="005876DC">
        <w:fldChar w:fldCharType="separate"/>
      </w:r>
      <w:r w:rsidR="0096423F" w:rsidRPr="0096423F">
        <w:t xml:space="preserve">Graf č. </w:t>
      </w:r>
      <w:r w:rsidR="0096423F" w:rsidRPr="0096423F">
        <w:rPr>
          <w:noProof/>
        </w:rPr>
        <w:t>16</w:t>
      </w:r>
      <w:r w:rsidR="005876DC" w:rsidRPr="005876DC">
        <w:fldChar w:fldCharType="end"/>
      </w:r>
      <w:r w:rsidR="005876DC">
        <w:t xml:space="preserve"> </w:t>
      </w:r>
      <w:r w:rsidRPr="0092047B">
        <w:t>zobrazuje, že postupný úbytek majoritně zastoupeného paliva, tj. hnědého uhlí, bude postupně zlepšovat diverzifikaci palivového mixu, jejíž hodnota se bude cca od roku 2025 pohybovat již jen lehce nad svou minimální hodnotou 0,2</w:t>
      </w:r>
      <w:r w:rsidR="006477DA">
        <w:t>,</w:t>
      </w:r>
      <w:r w:rsidRPr="0092047B">
        <w:t xml:space="preserve"> a v cílovém roce 2040 dokonce této hodnoty, značící nejlepší možnou diverzifikaci, dosáhne.</w:t>
      </w:r>
    </w:p>
    <w:p w:rsidR="003F472D" w:rsidRPr="0092047B" w:rsidRDefault="003F472D" w:rsidP="005218D2">
      <w:pPr>
        <w:spacing w:after="120"/>
      </w:pPr>
      <w:r w:rsidRPr="0092047B">
        <w:t>Ukazatel diverzifikace importu nabývá hodnot v intervalu &lt;</w:t>
      </w:r>
      <w:r w:rsidR="005275F9" w:rsidRPr="0092047B">
        <w:t>1/4;</w:t>
      </w:r>
      <w:r w:rsidRPr="0092047B">
        <w:t>1&gt;, přičemž je zahrnut dovoz v rozdělení do čtyř kategorií, a to zemní plyn, ropa a ropné produkty, uhlí a uhelné deriváty, jaderné palivo. Od dovozu ostatních paliv je abstrahováno. Na diverzifikaci importu se podle předpokladů, stejně jako na diverzifikaci PEZ, také nejvýrazněji projevuje klesající poptávka po hnědém uhlí, přičemž její velikost klesne do roku 2025 na hodnotu jen mírně převyšující její teoretické minimum ve výši 0,25 a následně vlivem posilujícího využití jaderného paliva roste na úroveň, která je stále výrazně nižší, a tedy příznivější, než ve výchozím roce 2010.</w:t>
      </w:r>
    </w:p>
    <w:p w:rsidR="003F472D" w:rsidRPr="0092047B" w:rsidRDefault="003F472D" w:rsidP="005218D2">
      <w:pPr>
        <w:spacing w:after="120"/>
      </w:pPr>
      <w:bookmarkStart w:id="949" w:name="_Toc367279710"/>
      <w:bookmarkStart w:id="950" w:name="_Toc367280259"/>
      <w:bookmarkStart w:id="951" w:name="_Toc370121896"/>
      <w:r w:rsidRPr="0092047B">
        <w:t>Diverzifikace hrubé výroby elektřiny je stanovena ze sedmi kategorií PEZ</w:t>
      </w:r>
      <w:r w:rsidR="006477DA">
        <w:t>,</w:t>
      </w:r>
      <w:r w:rsidRPr="0092047B">
        <w:t xml:space="preserve"> rozdělenými na černé uhlí, hnědé uhlí, zemní plyn, ostatní plyny, obnovitelné a druhotné zdroje, jaderné palivo a ostatní paliva, a nabývá tedy hodnot v intervalu &lt;1/7</w:t>
      </w:r>
      <w:r w:rsidR="005275F9" w:rsidRPr="0092047B">
        <w:t>;</w:t>
      </w:r>
      <w:r w:rsidRPr="0092047B">
        <w:t>1&gt;. Z uvedené prognózy vývoje diverzifikace hrubé výroby elektřiny, kterou zobrazuje </w:t>
      </w:r>
      <w:r w:rsidR="005876DC" w:rsidRPr="005876DC">
        <w:fldChar w:fldCharType="begin"/>
      </w:r>
      <w:r w:rsidR="005876DC" w:rsidRPr="005876DC">
        <w:instrText xml:space="preserve"> REF _Ref391888944 \h  \* MERGEFORMAT </w:instrText>
      </w:r>
      <w:r w:rsidR="005876DC" w:rsidRPr="005876DC">
        <w:fldChar w:fldCharType="separate"/>
      </w:r>
      <w:r w:rsidR="0096423F" w:rsidRPr="0096423F">
        <w:t xml:space="preserve">Graf č. </w:t>
      </w:r>
      <w:r w:rsidR="0096423F" w:rsidRPr="0096423F">
        <w:rPr>
          <w:noProof/>
        </w:rPr>
        <w:t>16</w:t>
      </w:r>
      <w:r w:rsidR="005876DC" w:rsidRPr="005876DC">
        <w:fldChar w:fldCharType="end"/>
      </w:r>
      <w:r w:rsidRPr="0092047B">
        <w:t xml:space="preserve">, je pak vidět, že na její velikost má největší vliv podíl zastoupení stabilních zdrojů, tedy uhelných a jaderných elektráren. V tomto smyslu tak dojde nejprve k postupnému zlepšování hodnoty ukazatele, vlivem ztráty dominantní úlohy tuzemského uhlí, a po roce 2030 pak k jeho opětovnému zhoršení v důsledku převzetí tohoto dominantního postavení jaderným palivem. Díky vyššímu využití obnovitelných a druhotných zdrojů energie však bude i přesto rozložení výroby elektřiny mezi jednotlivá paliva, a tedy i hodnota diverzifikace hrubé výroby elektřiny, v cílovém roce 2040 oproti výchozímu stavu v roce 2010 příznivější. </w:t>
      </w:r>
    </w:p>
    <w:p w:rsidR="00235C7B" w:rsidRDefault="00235C7B" w:rsidP="00184DC1">
      <w:pPr>
        <w:pStyle w:val="Titulek"/>
        <w:keepNext/>
        <w:spacing w:before="240" w:after="120"/>
        <w:jc w:val="left"/>
      </w:pPr>
      <w:bookmarkStart w:id="952" w:name="_Toc396923133"/>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17</w:t>
      </w:r>
      <w:r w:rsidRPr="00235C7B">
        <w:rPr>
          <w:b/>
        </w:rPr>
        <w:fldChar w:fldCharType="end"/>
      </w:r>
      <w:r w:rsidRPr="00235C7B">
        <w:rPr>
          <w:b/>
        </w:rPr>
        <w:t>:</w:t>
      </w:r>
      <w:r>
        <w:t xml:space="preserve"> </w:t>
      </w:r>
      <w:r w:rsidRPr="0092047B">
        <w:t>Podíl dovozu jednotlivých primárních paliv</w:t>
      </w:r>
      <w:bookmarkEnd w:id="952"/>
    </w:p>
    <w:p w:rsidR="001756D8" w:rsidRPr="001756D8" w:rsidRDefault="001756D8" w:rsidP="00184DC1">
      <w:pPr>
        <w:spacing w:before="120"/>
      </w:pPr>
      <w:r w:rsidRPr="009912BD">
        <w:rPr>
          <w:b/>
          <w:i/>
          <w:noProof/>
        </w:rPr>
        <w:drawing>
          <wp:inline distT="0" distB="0" distL="0" distR="0" wp14:anchorId="798856F3" wp14:editId="7E7CB2F7">
            <wp:extent cx="5760000" cy="3780000"/>
            <wp:effectExtent l="0" t="0" r="12700" b="11430"/>
            <wp:docPr id="8217" name="Graf 8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472D" w:rsidRPr="0092047B" w:rsidRDefault="003F472D" w:rsidP="00184DC1">
      <w:pPr>
        <w:spacing w:before="240"/>
        <w:rPr>
          <w:rFonts w:cstheme="minorHAnsi"/>
        </w:rPr>
      </w:pPr>
      <w:r w:rsidRPr="0092047B">
        <w:rPr>
          <w:rFonts w:cstheme="minorHAnsi"/>
        </w:rPr>
        <w:t>Podíl dovozu primárních paliv je vypočten jako poměr dovozu primární energie z daného paliva vzhledem k celkovému dovozu na úrovni primárních energetických zdrojů. Mezi roky 2030 a 2035 je zřetelný nárůst dovozu primární energie obsažené v importovaném jaderném palivu, a to řádově na úroveň 3</w:t>
      </w:r>
      <w:r w:rsidR="001756D8">
        <w:rPr>
          <w:rFonts w:cstheme="minorHAnsi"/>
        </w:rPr>
        <w:t>6</w:t>
      </w:r>
      <w:r w:rsidRPr="0092047B">
        <w:rPr>
          <w:rFonts w:cstheme="minorHAnsi"/>
        </w:rPr>
        <w:t> % s následnou stagnací daného podílu do roku 2040. Podíl dovozu zemního plynu na úrovni primárních energetických zdrojů se bude nadále pohybovat kolem hodnoty 30 %, přičemž v absolutním vyjádření se bude dovoz zemního plynu během celého období postupně zvyšovat. Spotřeba ropných produktů bude v závislosti především na změnách v sektoru dopravy trvale klesat, a to jak v absolutním vyjádření, tak jako podíl na celkovém dovozu primárních paliv. Česká republika se také postupně stane čistým dovozcem černého uhlí, a to jak uhlí energetického, tak koksovatelného. Nejvyšší dovozy uhlí nastanou podle odhadů kolem roku 2025 s postupným mírným snížením zpříčiněným odstavením některých tuzemských černouhelných zdrojů. Složení dovozu zejména po roce 2025 bude přispívat k jistému zhoršení diverzifikace importu, viz</w:t>
      </w:r>
      <w:r w:rsidR="005876DC">
        <w:rPr>
          <w:rFonts w:cstheme="minorHAnsi"/>
        </w:rPr>
        <w:t xml:space="preserve"> </w:t>
      </w:r>
      <w:r w:rsidR="005876DC" w:rsidRPr="005876DC">
        <w:rPr>
          <w:rFonts w:cstheme="minorHAnsi"/>
        </w:rPr>
        <w:fldChar w:fldCharType="begin"/>
      </w:r>
      <w:r w:rsidR="005876DC" w:rsidRPr="005876DC">
        <w:rPr>
          <w:rFonts w:cstheme="minorHAnsi"/>
        </w:rPr>
        <w:instrText xml:space="preserve"> REF _Ref391888944 \h  \* MERGEFORMAT </w:instrText>
      </w:r>
      <w:r w:rsidR="005876DC" w:rsidRPr="005876DC">
        <w:rPr>
          <w:rFonts w:cstheme="minorHAnsi"/>
        </w:rPr>
      </w:r>
      <w:r w:rsidR="005876DC" w:rsidRPr="005876DC">
        <w:rPr>
          <w:rFonts w:cstheme="minorHAnsi"/>
        </w:rPr>
        <w:fldChar w:fldCharType="separate"/>
      </w:r>
      <w:r w:rsidR="0096423F" w:rsidRPr="0096423F">
        <w:t xml:space="preserve">Graf č. </w:t>
      </w:r>
      <w:r w:rsidR="0096423F" w:rsidRPr="0096423F">
        <w:rPr>
          <w:noProof/>
        </w:rPr>
        <w:t>16</w:t>
      </w:r>
      <w:r w:rsidR="005876DC" w:rsidRPr="005876DC">
        <w:rPr>
          <w:rFonts w:cstheme="minorHAnsi"/>
        </w:rPr>
        <w:fldChar w:fldCharType="end"/>
      </w:r>
      <w:r w:rsidRPr="005876DC">
        <w:rPr>
          <w:rFonts w:cstheme="minorHAnsi"/>
        </w:rPr>
        <w:t>.</w:t>
      </w:r>
    </w:p>
    <w:p w:rsidR="00235C7B" w:rsidRDefault="00235C7B" w:rsidP="00184DC1">
      <w:pPr>
        <w:pStyle w:val="Titulek"/>
        <w:keepNext/>
        <w:spacing w:before="240" w:after="120"/>
      </w:pPr>
      <w:bookmarkStart w:id="953" w:name="_Ref391889158"/>
      <w:bookmarkStart w:id="954" w:name="_Toc396923134"/>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18</w:t>
      </w:r>
      <w:r w:rsidRPr="00235C7B">
        <w:rPr>
          <w:b/>
        </w:rPr>
        <w:fldChar w:fldCharType="end"/>
      </w:r>
      <w:bookmarkEnd w:id="953"/>
      <w:r w:rsidRPr="00235C7B">
        <w:rPr>
          <w:b/>
        </w:rPr>
        <w:t xml:space="preserve">: </w:t>
      </w:r>
      <w:r w:rsidRPr="0092047B">
        <w:t xml:space="preserve">Struktura </w:t>
      </w:r>
      <w:r w:rsidR="007937FE">
        <w:t xml:space="preserve">čistého </w:t>
      </w:r>
      <w:r w:rsidRPr="0092047B">
        <w:t>dovozu primárních paliv</w:t>
      </w:r>
      <w:bookmarkEnd w:id="954"/>
    </w:p>
    <w:p w:rsidR="003F472D" w:rsidRPr="0092047B" w:rsidRDefault="003F472D" w:rsidP="00184DC1">
      <w:pPr>
        <w:spacing w:before="120"/>
        <w:rPr>
          <w:rFonts w:cstheme="minorHAnsi"/>
        </w:rPr>
      </w:pPr>
      <w:r w:rsidRPr="0092047B">
        <w:rPr>
          <w:rFonts w:cstheme="minorHAnsi"/>
          <w:noProof/>
        </w:rPr>
        <w:drawing>
          <wp:inline distT="0" distB="0" distL="0" distR="0" wp14:anchorId="10EAB654" wp14:editId="17616D17">
            <wp:extent cx="5760000" cy="3780000"/>
            <wp:effectExtent l="0" t="0" r="12700" b="1143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5C7B" w:rsidRDefault="00235C7B" w:rsidP="00184DC1">
      <w:pPr>
        <w:pStyle w:val="Titulek"/>
        <w:keepNext/>
        <w:spacing w:before="240" w:after="120"/>
        <w:jc w:val="left"/>
      </w:pPr>
      <w:bookmarkStart w:id="955" w:name="_Toc396923135"/>
      <w:bookmarkEnd w:id="949"/>
      <w:bookmarkEnd w:id="950"/>
      <w:bookmarkEnd w:id="951"/>
      <w:r w:rsidRPr="00235C7B">
        <w:rPr>
          <w:b/>
        </w:rPr>
        <w:t xml:space="preserve">Graf č. </w:t>
      </w:r>
      <w:r w:rsidRPr="00235C7B">
        <w:rPr>
          <w:b/>
        </w:rPr>
        <w:fldChar w:fldCharType="begin"/>
      </w:r>
      <w:r w:rsidRPr="00235C7B">
        <w:rPr>
          <w:b/>
        </w:rPr>
        <w:instrText xml:space="preserve"> SEQ Graf_č. \* ARABIC </w:instrText>
      </w:r>
      <w:r w:rsidRPr="00235C7B">
        <w:rPr>
          <w:b/>
        </w:rPr>
        <w:fldChar w:fldCharType="separate"/>
      </w:r>
      <w:r w:rsidR="0096423F">
        <w:rPr>
          <w:b/>
          <w:noProof/>
        </w:rPr>
        <w:t>19</w:t>
      </w:r>
      <w:r w:rsidRPr="00235C7B">
        <w:rPr>
          <w:b/>
        </w:rPr>
        <w:fldChar w:fldCharType="end"/>
      </w:r>
      <w:r w:rsidRPr="00235C7B">
        <w:rPr>
          <w:b/>
        </w:rPr>
        <w:t>:</w:t>
      </w:r>
      <w:r>
        <w:t xml:space="preserve"> </w:t>
      </w:r>
      <w:r w:rsidRPr="0092047B">
        <w:t>Dovozní závislost</w:t>
      </w:r>
      <w:bookmarkEnd w:id="955"/>
    </w:p>
    <w:p w:rsidR="003F472D" w:rsidRPr="0092047B" w:rsidRDefault="003F472D" w:rsidP="00184DC1">
      <w:pPr>
        <w:spacing w:before="120"/>
        <w:jc w:val="center"/>
        <w:rPr>
          <w:b/>
        </w:rPr>
      </w:pPr>
      <w:r w:rsidRPr="0092047B">
        <w:rPr>
          <w:b/>
          <w:noProof/>
        </w:rPr>
        <w:drawing>
          <wp:inline distT="0" distB="0" distL="0" distR="0" wp14:anchorId="0FA2C428" wp14:editId="724BD9DE">
            <wp:extent cx="5760000" cy="3780000"/>
            <wp:effectExtent l="0" t="0" r="12700" b="11430"/>
            <wp:docPr id="290" name="Graf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472D" w:rsidRPr="0092047B" w:rsidRDefault="003F472D" w:rsidP="00184DC1">
      <w:pPr>
        <w:rPr>
          <w:rFonts w:cstheme="minorHAnsi"/>
        </w:rPr>
      </w:pPr>
      <w:r w:rsidRPr="0092047B">
        <w:rPr>
          <w:rFonts w:cstheme="minorHAnsi"/>
        </w:rPr>
        <w:t>I přes významný důraz na využívání tuzemských zdrojů energie je možné očekávat postupné zvyšování dovozu energie a s tím spojený růst ukazatele dovozní závislosti vyjádřeného jako poměr mezi dováženými a celkovými primárními energetickými zdroji. Tato skutečnost je pak dána především předpokladem zvyšujícího se dovozu uhelných produktů, díky postupnému nedostatku tuzemskéh</w:t>
      </w:r>
      <w:r w:rsidR="006477DA">
        <w:rPr>
          <w:rFonts w:cstheme="minorHAnsi"/>
        </w:rPr>
        <w:t>o uhlí, a také jaderného paliva</w:t>
      </w:r>
      <w:r w:rsidRPr="0092047B">
        <w:rPr>
          <w:rFonts w:cstheme="minorHAnsi"/>
        </w:rPr>
        <w:t xml:space="preserve"> jakožto zdroje, kterým Česká republika na svém území nedisponuje. Vývoj dovozní závislosti bez zahrnutí hodnot primárního tepla z jaderných elektráren, která indikuje podíl dovozu fosilních paliv, je dán hlavně kombinací klesajícího trendu spotřeby ropných produktů, především v dopravě, protichůdný trend dovozu uhelných produktů a v neposlední řadě také velikostí celkové spotřeby primárních energetických zdrojů v daném roce. Výsledkem je tedy pokles dovozní závislosti </w:t>
      </w:r>
      <w:r w:rsidR="006477DA">
        <w:rPr>
          <w:rFonts w:cstheme="minorHAnsi"/>
        </w:rPr>
        <w:t>u</w:t>
      </w:r>
      <w:r w:rsidRPr="0092047B">
        <w:rPr>
          <w:rFonts w:cstheme="minorHAnsi"/>
        </w:rPr>
        <w:t> fosilních paliv v období mezi roky 2025 a 2035 s růstem v ostatních letech, jak demonstruje</w:t>
      </w:r>
      <w:r w:rsidR="005876DC">
        <w:rPr>
          <w:rFonts w:cstheme="minorHAnsi"/>
        </w:rPr>
        <w:t xml:space="preserve"> </w:t>
      </w:r>
      <w:r w:rsidR="005876DC" w:rsidRPr="005876DC">
        <w:rPr>
          <w:rFonts w:cstheme="minorHAnsi"/>
        </w:rPr>
        <w:fldChar w:fldCharType="begin"/>
      </w:r>
      <w:r w:rsidR="005876DC" w:rsidRPr="005876DC">
        <w:rPr>
          <w:rFonts w:cstheme="minorHAnsi"/>
        </w:rPr>
        <w:instrText xml:space="preserve"> REF _Ref391889158 \h  \* MERGEFORMAT </w:instrText>
      </w:r>
      <w:r w:rsidR="005876DC" w:rsidRPr="005876DC">
        <w:rPr>
          <w:rFonts w:cstheme="minorHAnsi"/>
        </w:rPr>
      </w:r>
      <w:r w:rsidR="005876DC" w:rsidRPr="005876DC">
        <w:rPr>
          <w:rFonts w:cstheme="minorHAnsi"/>
        </w:rPr>
        <w:fldChar w:fldCharType="separate"/>
      </w:r>
      <w:r w:rsidR="0096423F" w:rsidRPr="0096423F">
        <w:t xml:space="preserve">Graf č. </w:t>
      </w:r>
      <w:r w:rsidR="0096423F" w:rsidRPr="0096423F">
        <w:rPr>
          <w:noProof/>
        </w:rPr>
        <w:t>18</w:t>
      </w:r>
      <w:r w:rsidR="005876DC" w:rsidRPr="005876DC">
        <w:rPr>
          <w:rFonts w:cstheme="minorHAnsi"/>
        </w:rPr>
        <w:fldChar w:fldCharType="end"/>
      </w:r>
      <w:r w:rsidRPr="0092047B">
        <w:rPr>
          <w:rFonts w:cstheme="minorHAnsi"/>
        </w:rPr>
        <w:t>.</w:t>
      </w:r>
    </w:p>
    <w:p w:rsidR="00EF5D91" w:rsidRDefault="00EF5D91" w:rsidP="00184DC1">
      <w:pPr>
        <w:pStyle w:val="Titulek"/>
        <w:keepNext/>
        <w:spacing w:before="240" w:after="120"/>
      </w:pPr>
      <w:bookmarkStart w:id="956" w:name="_Toc396923136"/>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20</w:t>
      </w:r>
      <w:r w:rsidRPr="00EF5D91">
        <w:rPr>
          <w:b/>
        </w:rPr>
        <w:fldChar w:fldCharType="end"/>
      </w:r>
      <w:r w:rsidRPr="00EF5D91">
        <w:rPr>
          <w:b/>
        </w:rPr>
        <w:t xml:space="preserve">: </w:t>
      </w:r>
      <w:r w:rsidRPr="0092047B">
        <w:t>Soběstačnost v dodávkách elektřiny</w:t>
      </w:r>
      <w:bookmarkEnd w:id="956"/>
    </w:p>
    <w:p w:rsidR="003F472D" w:rsidRPr="0092047B" w:rsidRDefault="003F472D" w:rsidP="00184DC1">
      <w:pPr>
        <w:spacing w:before="120"/>
      </w:pPr>
      <w:r w:rsidRPr="0092047B">
        <w:rPr>
          <w:noProof/>
        </w:rPr>
        <w:drawing>
          <wp:inline distT="0" distB="0" distL="0" distR="0" wp14:anchorId="62F20159" wp14:editId="792A9C27">
            <wp:extent cx="5760000" cy="3780000"/>
            <wp:effectExtent l="0" t="0" r="0" b="0"/>
            <wp:docPr id="90" name="Graf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472D" w:rsidRPr="0092047B" w:rsidRDefault="003F472D" w:rsidP="005218D2">
      <w:pPr>
        <w:spacing w:after="120"/>
      </w:pPr>
      <w:r w:rsidRPr="0092047B">
        <w:t>Vlivem postupně rostoucí konečné spotřeby elektřiny, zejména na straně velkoodběru, se bude velikost přebytku výroby snižovat až na prakticky vyrovnanou bilanci kolem roku 2030 a poté bude jeho vývoj v podstatě kopírovat vývoj tuzemské výroby elektřiny, kdy se bude hodnota míry soběstačnosti v zajištění dodávek elektřiny domácí výrobou pohybovat kolem 100 %, přičemž krátkodobě může poklesnout i pod tuto hodnotu. Při předpokládaném mixu zdrojů a vývoji spotřeby elektřiny je predikován mírný dovoz elektřiny v cílovém roce daného horizontu Státní energetické koncepce.</w:t>
      </w:r>
    </w:p>
    <w:p w:rsidR="003F472D" w:rsidRPr="0092047B" w:rsidRDefault="003F472D" w:rsidP="005218D2">
      <w:pPr>
        <w:spacing w:after="120"/>
        <w:rPr>
          <w:rFonts w:cstheme="minorHAnsi"/>
        </w:rPr>
      </w:pPr>
      <w:r w:rsidRPr="0092047B">
        <w:rPr>
          <w:rFonts w:cstheme="minorHAnsi"/>
        </w:rPr>
        <w:t>S ohledem na zajištění energetické bezpečnosti státu za všech okolností je klíčové, aby zdrojová základna odpovídala bezpečnostním požadavkům představovaným mezinárodními standardy ENTSO-E systémové a výkonové přiměřenosti.</w:t>
      </w:r>
    </w:p>
    <w:p w:rsidR="00EF5D91" w:rsidRDefault="00EF5D91" w:rsidP="00184DC1">
      <w:pPr>
        <w:pStyle w:val="Titulek"/>
        <w:keepNext/>
        <w:spacing w:before="240" w:after="120"/>
      </w:pPr>
      <w:bookmarkStart w:id="957" w:name="_Ref391889190"/>
      <w:bookmarkStart w:id="958" w:name="_Toc396923137"/>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21</w:t>
      </w:r>
      <w:r w:rsidRPr="00EF5D91">
        <w:rPr>
          <w:b/>
        </w:rPr>
        <w:fldChar w:fldCharType="end"/>
      </w:r>
      <w:bookmarkEnd w:id="957"/>
      <w:r w:rsidRPr="00EF5D91">
        <w:rPr>
          <w:b/>
        </w:rPr>
        <w:t xml:space="preserve">: </w:t>
      </w:r>
      <w:r w:rsidRPr="0092047B">
        <w:t>Vývoj očekávané výkonové rezervy</w:t>
      </w:r>
      <w:bookmarkEnd w:id="958"/>
    </w:p>
    <w:p w:rsidR="00E22F74" w:rsidRPr="00E22F74" w:rsidRDefault="00C8326E" w:rsidP="00184DC1">
      <w:pPr>
        <w:spacing w:before="120" w:after="120"/>
      </w:pPr>
      <w:r>
        <w:rPr>
          <w:noProof/>
        </w:rPr>
        <w:drawing>
          <wp:inline distT="0" distB="0" distL="0" distR="0" wp14:anchorId="72B588CA" wp14:editId="394D9A8E">
            <wp:extent cx="5972810" cy="3862705"/>
            <wp:effectExtent l="0" t="0" r="27940" b="2349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2567" w:rsidRPr="0010323D" w:rsidRDefault="00132567" w:rsidP="00184DC1">
      <w:pPr>
        <w:spacing w:before="120" w:after="120"/>
        <w:rPr>
          <w:rFonts w:cstheme="minorHAnsi"/>
          <w:i/>
          <w:sz w:val="18"/>
          <w:szCs w:val="18"/>
        </w:rPr>
      </w:pPr>
      <w:r w:rsidRPr="0010323D">
        <w:rPr>
          <w:rFonts w:cstheme="minorHAnsi"/>
          <w:i/>
          <w:sz w:val="18"/>
          <w:szCs w:val="18"/>
        </w:rPr>
        <w:t>Pozn.: Při výpočtu ukazatele výkonové přiměřenosti nebyl zohledněn potenciál pro snížení zatížení systémy řízení strany spotřeby</w:t>
      </w:r>
      <w:r w:rsidR="00144767" w:rsidRPr="0010323D">
        <w:rPr>
          <w:rFonts w:cstheme="minorHAnsi"/>
          <w:i/>
          <w:sz w:val="18"/>
          <w:szCs w:val="18"/>
        </w:rPr>
        <w:t>, a to</w:t>
      </w:r>
      <w:r w:rsidRPr="0010323D">
        <w:rPr>
          <w:rFonts w:cstheme="minorHAnsi"/>
          <w:i/>
          <w:sz w:val="18"/>
          <w:szCs w:val="18"/>
        </w:rPr>
        <w:t xml:space="preserve"> s ohledem </w:t>
      </w:r>
      <w:r w:rsidR="003171E9" w:rsidRPr="0010323D">
        <w:rPr>
          <w:rFonts w:cstheme="minorHAnsi"/>
          <w:i/>
          <w:sz w:val="18"/>
          <w:szCs w:val="18"/>
        </w:rPr>
        <w:t>na vysokou míru nejistoty v oblasti rozvoje a využití technologií smart grids.</w:t>
      </w:r>
    </w:p>
    <w:p w:rsidR="003F472D" w:rsidRPr="0092047B" w:rsidRDefault="003F472D" w:rsidP="00184DC1">
      <w:pPr>
        <w:spacing w:before="120"/>
        <w:jc w:val="right"/>
        <w:rPr>
          <w:rFonts w:cstheme="minorHAnsi"/>
          <w:i/>
        </w:rPr>
      </w:pPr>
      <w:r w:rsidRPr="0092047B">
        <w:rPr>
          <w:rFonts w:cstheme="minorHAnsi"/>
          <w:i/>
        </w:rPr>
        <w:t>Zdroj: Podkladová data (MPO); ČEPS a.s.</w:t>
      </w:r>
    </w:p>
    <w:p w:rsidR="003F472D" w:rsidRPr="0092047B" w:rsidRDefault="005876DC" w:rsidP="005218D2">
      <w:pPr>
        <w:spacing w:after="120"/>
        <w:rPr>
          <w:rFonts w:cstheme="minorHAnsi"/>
        </w:rPr>
      </w:pPr>
      <w:r w:rsidRPr="005876DC">
        <w:rPr>
          <w:rFonts w:cstheme="minorHAnsi"/>
        </w:rPr>
        <w:fldChar w:fldCharType="begin"/>
      </w:r>
      <w:r w:rsidRPr="005876DC">
        <w:rPr>
          <w:rFonts w:cstheme="minorHAnsi"/>
        </w:rPr>
        <w:instrText xml:space="preserve"> REF _Ref391889190 \h  \* MERGEFORMAT </w:instrText>
      </w:r>
      <w:r w:rsidRPr="005876DC">
        <w:rPr>
          <w:rFonts w:cstheme="minorHAnsi"/>
        </w:rPr>
      </w:r>
      <w:r w:rsidRPr="005876DC">
        <w:rPr>
          <w:rFonts w:cstheme="minorHAnsi"/>
        </w:rPr>
        <w:fldChar w:fldCharType="separate"/>
      </w:r>
      <w:r w:rsidR="0096423F" w:rsidRPr="0096423F">
        <w:t xml:space="preserve">Graf č. </w:t>
      </w:r>
      <w:r w:rsidR="0096423F" w:rsidRPr="0096423F">
        <w:rPr>
          <w:noProof/>
        </w:rPr>
        <w:t>21</w:t>
      </w:r>
      <w:r w:rsidRPr="005876DC">
        <w:rPr>
          <w:rFonts w:cstheme="minorHAnsi"/>
        </w:rPr>
        <w:fldChar w:fldCharType="end"/>
      </w:r>
      <w:r>
        <w:rPr>
          <w:rFonts w:cstheme="minorHAnsi"/>
        </w:rPr>
        <w:t xml:space="preserve"> </w:t>
      </w:r>
      <w:r w:rsidR="002D1A94" w:rsidRPr="0092047B">
        <w:rPr>
          <w:rFonts w:cstheme="minorHAnsi"/>
        </w:rPr>
        <w:t>demonstruje</w:t>
      </w:r>
      <w:r w:rsidR="003F472D" w:rsidRPr="0092047B">
        <w:rPr>
          <w:rFonts w:cstheme="minorHAnsi"/>
        </w:rPr>
        <w:t xml:space="preserve"> výrazné omezení volné dostupné spolehlivé kapacity, která by mohla být využita pro vyrovnávání neočekávaných výpadků v soustavě na úrovni ČR kolem roku 20</w:t>
      </w:r>
      <w:r w:rsidR="002D1A94" w:rsidRPr="0092047B">
        <w:rPr>
          <w:rFonts w:cstheme="minorHAnsi"/>
        </w:rPr>
        <w:t>30</w:t>
      </w:r>
      <w:r w:rsidR="003F472D" w:rsidRPr="0092047B">
        <w:rPr>
          <w:rFonts w:cstheme="minorHAnsi"/>
        </w:rPr>
        <w:t>. Nedostatek zdrojů základního zatížení je dán odstavováním starých vysoce emisních zdrojů a nedostatkem HU</w:t>
      </w:r>
      <w:r w:rsidR="006477DA">
        <w:rPr>
          <w:rFonts w:cstheme="minorHAnsi"/>
        </w:rPr>
        <w:t>,</w:t>
      </w:r>
      <w:r w:rsidR="003F472D" w:rsidRPr="0092047B">
        <w:rPr>
          <w:rFonts w:cstheme="minorHAnsi"/>
        </w:rPr>
        <w:t xml:space="preserve"> zejména vlivem ukončení těžby na lomu ČSA v kombinaci s</w:t>
      </w:r>
      <w:r w:rsidR="002D1A94" w:rsidRPr="0092047B">
        <w:rPr>
          <w:rFonts w:cstheme="minorHAnsi"/>
        </w:rPr>
        <w:t> </w:t>
      </w:r>
      <w:r w:rsidR="003F472D" w:rsidRPr="0092047B">
        <w:rPr>
          <w:rFonts w:cstheme="minorHAnsi"/>
        </w:rPr>
        <w:t>pozdější výstavbou nových nízko emisních zdrojů základního zatížení (nové jaderné zdroje).</w:t>
      </w:r>
      <w:r w:rsidR="0071542A" w:rsidRPr="0092047B">
        <w:rPr>
          <w:rFonts w:cstheme="minorHAnsi"/>
        </w:rPr>
        <w:t xml:space="preserve"> </w:t>
      </w:r>
      <w:r w:rsidRPr="005876DC">
        <w:rPr>
          <w:rFonts w:cstheme="minorHAnsi"/>
        </w:rPr>
        <w:fldChar w:fldCharType="begin"/>
      </w:r>
      <w:r w:rsidRPr="005876DC">
        <w:rPr>
          <w:rFonts w:cstheme="minorHAnsi"/>
        </w:rPr>
        <w:instrText xml:space="preserve"> REF _Ref391889190 \h  \* MERGEFORMAT </w:instrText>
      </w:r>
      <w:r w:rsidRPr="005876DC">
        <w:rPr>
          <w:rFonts w:cstheme="minorHAnsi"/>
        </w:rPr>
      </w:r>
      <w:r w:rsidRPr="005876DC">
        <w:rPr>
          <w:rFonts w:cstheme="minorHAnsi"/>
        </w:rPr>
        <w:fldChar w:fldCharType="separate"/>
      </w:r>
      <w:r w:rsidR="0096423F" w:rsidRPr="0096423F">
        <w:t xml:space="preserve">Graf č. </w:t>
      </w:r>
      <w:r w:rsidR="0096423F" w:rsidRPr="0096423F">
        <w:rPr>
          <w:noProof/>
        </w:rPr>
        <w:t>21</w:t>
      </w:r>
      <w:r w:rsidRPr="005876DC">
        <w:rPr>
          <w:rFonts w:cstheme="minorHAnsi"/>
        </w:rPr>
        <w:fldChar w:fldCharType="end"/>
      </w:r>
      <w:r>
        <w:rPr>
          <w:rFonts w:cstheme="minorHAnsi"/>
        </w:rPr>
        <w:t xml:space="preserve"> </w:t>
      </w:r>
      <w:r w:rsidR="0071542A" w:rsidRPr="0092047B">
        <w:rPr>
          <w:rFonts w:cstheme="minorHAnsi"/>
        </w:rPr>
        <w:t xml:space="preserve">též indikuje, že na konci sledovaného horizontu by již spolehlivá volná kapacita především na začátku roku nemusela dostačovat </w:t>
      </w:r>
      <w:r>
        <w:rPr>
          <w:rFonts w:cstheme="minorHAnsi"/>
        </w:rPr>
        <w:t>k pokrytí systémového zatížení.</w:t>
      </w:r>
    </w:p>
    <w:p w:rsidR="003F472D" w:rsidRPr="0092047B" w:rsidRDefault="003F472D" w:rsidP="005218D2">
      <w:pPr>
        <w:spacing w:after="120"/>
      </w:pPr>
      <w:r w:rsidRPr="0092047B">
        <w:rPr>
          <w:rFonts w:cstheme="minorHAnsi"/>
        </w:rPr>
        <w:t>Z krátkodobého hlediska se tento problém dá vyřešit dovozem elektrické energie ze zahraničí. Problém může ovšem nastat, jak upozorňuje i ENTSO-E</w:t>
      </w:r>
      <w:r w:rsidRPr="0092047B">
        <w:rPr>
          <w:rStyle w:val="Znakapoznpodarou"/>
          <w:rFonts w:cstheme="minorHAnsi"/>
        </w:rPr>
        <w:footnoteReference w:id="23"/>
      </w:r>
      <w:r w:rsidRPr="0092047B">
        <w:rPr>
          <w:rFonts w:cstheme="minorHAnsi"/>
        </w:rPr>
        <w:t xml:space="preserve"> ve svém výhledu přiměřenosti </w:t>
      </w:r>
      <w:r w:rsidR="002C1D30">
        <w:rPr>
          <w:rFonts w:cstheme="minorHAnsi"/>
        </w:rPr>
        <w:t xml:space="preserve">výrobních kapacit </w:t>
      </w:r>
      <w:r w:rsidRPr="0092047B">
        <w:rPr>
          <w:rFonts w:cstheme="minorHAnsi"/>
        </w:rPr>
        <w:t>na roky 2013-2030 v případě realizace scénáře EU2020</w:t>
      </w:r>
      <w:r w:rsidRPr="0092047B">
        <w:rPr>
          <w:rStyle w:val="Znakapoznpodarou"/>
          <w:rFonts w:cstheme="minorHAnsi"/>
        </w:rPr>
        <w:footnoteReference w:id="24"/>
      </w:r>
      <w:r w:rsidRPr="0092047B">
        <w:rPr>
          <w:rFonts w:cstheme="minorHAnsi"/>
        </w:rPr>
        <w:t xml:space="preserve">, kdy v zimním období vychází celý středoevropský region simultánně jako deficitní, tj. mohla by nastat situace, že dodatečný výkon nebude odkud dovést. Zpráva ENTSO-E upozorňuje, že jedině </w:t>
      </w:r>
      <w:r w:rsidRPr="0092047B">
        <w:t>ve scénáři, který reflektuje narovnání energetického trhu a ekonomickou smysluplnost výstavby nových zdrojů, je dosaženo přebytkové výkonové bilance v souladu s požadavky na S</w:t>
      </w:r>
      <w:r w:rsidR="0071542A" w:rsidRPr="0092047B">
        <w:t>O</w:t>
      </w:r>
      <w:r w:rsidRPr="0092047B">
        <w:t>AF.</w:t>
      </w:r>
    </w:p>
    <w:p w:rsidR="003F472D" w:rsidRPr="0092047B" w:rsidRDefault="003F472D" w:rsidP="005218D2">
      <w:pPr>
        <w:spacing w:after="120"/>
        <w:rPr>
          <w:rFonts w:cstheme="minorHAnsi"/>
        </w:rPr>
      </w:pPr>
      <w:r w:rsidRPr="0092047B">
        <w:rPr>
          <w:rFonts w:cstheme="minorHAnsi"/>
        </w:rPr>
        <w:t>V případě, že by nedošlo k výstavbě žádných nových systémových zdrojů základního zatížení nad rámec těch, které jsou již nyní ve výstavbě, došlo by po roce 20</w:t>
      </w:r>
      <w:r w:rsidR="00EB1565" w:rsidRPr="0092047B">
        <w:rPr>
          <w:rFonts w:cstheme="minorHAnsi"/>
        </w:rPr>
        <w:t>30</w:t>
      </w:r>
      <w:r w:rsidRPr="0092047B">
        <w:rPr>
          <w:rFonts w:cstheme="minorHAnsi"/>
        </w:rPr>
        <w:t xml:space="preserve"> ke ztrátě schopnosti tuzemské výroby pokrýt domácí spotřebu. Pro výši spotřeby použit</w:t>
      </w:r>
      <w:r w:rsidR="006477DA">
        <w:rPr>
          <w:rFonts w:cstheme="minorHAnsi"/>
        </w:rPr>
        <w:t>ou</w:t>
      </w:r>
      <w:r w:rsidRPr="0092047B">
        <w:rPr>
          <w:rFonts w:cstheme="minorHAnsi"/>
        </w:rPr>
        <w:t xml:space="preserve"> v optimalizovaném scénáři by bylo dovozní saldo cca </w:t>
      </w:r>
      <w:r w:rsidR="00EB1565" w:rsidRPr="0092047B">
        <w:rPr>
          <w:rFonts w:cstheme="minorHAnsi"/>
        </w:rPr>
        <w:t>6</w:t>
      </w:r>
      <w:r w:rsidRPr="0092047B">
        <w:rPr>
          <w:rFonts w:cstheme="minorHAnsi"/>
        </w:rPr>
        <w:t> %</w:t>
      </w:r>
      <w:r w:rsidR="00EB1565" w:rsidRPr="0092047B">
        <w:rPr>
          <w:rFonts w:cstheme="minorHAnsi"/>
        </w:rPr>
        <w:t xml:space="preserve"> </w:t>
      </w:r>
      <w:r w:rsidR="00640884" w:rsidRPr="0092047B">
        <w:rPr>
          <w:rFonts w:cstheme="minorHAnsi"/>
        </w:rPr>
        <w:t xml:space="preserve">(jako procento z očekávané </w:t>
      </w:r>
      <w:r w:rsidR="001210CE" w:rsidRPr="0092047B">
        <w:rPr>
          <w:rFonts w:cstheme="minorHAnsi"/>
        </w:rPr>
        <w:t>tuzemské</w:t>
      </w:r>
      <w:r w:rsidR="00EB1565" w:rsidRPr="0092047B">
        <w:rPr>
          <w:rFonts w:cstheme="minorHAnsi"/>
        </w:rPr>
        <w:t xml:space="preserve"> spotřeby</w:t>
      </w:r>
      <w:r w:rsidR="00640884" w:rsidRPr="0092047B">
        <w:rPr>
          <w:rFonts w:cstheme="minorHAnsi"/>
        </w:rPr>
        <w:t xml:space="preserve"> v daném roce)</w:t>
      </w:r>
      <w:r w:rsidRPr="0092047B">
        <w:rPr>
          <w:rFonts w:cstheme="minorHAnsi"/>
        </w:rPr>
        <w:t xml:space="preserve"> v roce 203</w:t>
      </w:r>
      <w:r w:rsidR="00EB1565" w:rsidRPr="0092047B">
        <w:rPr>
          <w:rFonts w:cstheme="minorHAnsi"/>
        </w:rPr>
        <w:t>3</w:t>
      </w:r>
      <w:r w:rsidRPr="0092047B">
        <w:rPr>
          <w:rFonts w:cstheme="minorHAnsi"/>
        </w:rPr>
        <w:t xml:space="preserve"> s postupným nárůstem na cca 17 % v roce 2040. V</w:t>
      </w:r>
      <w:r w:rsidR="00EB1565" w:rsidRPr="0092047B">
        <w:rPr>
          <w:rFonts w:cstheme="minorHAnsi"/>
        </w:rPr>
        <w:t> </w:t>
      </w:r>
      <w:r w:rsidRPr="0092047B">
        <w:rPr>
          <w:rFonts w:cstheme="minorHAnsi"/>
        </w:rPr>
        <w:t>případě</w:t>
      </w:r>
      <w:r w:rsidR="00EB1565" w:rsidRPr="0092047B">
        <w:rPr>
          <w:rFonts w:cstheme="minorHAnsi"/>
        </w:rPr>
        <w:t>, že</w:t>
      </w:r>
      <w:r w:rsidRPr="0092047B">
        <w:rPr>
          <w:rFonts w:cstheme="minorHAnsi"/>
        </w:rPr>
        <w:t xml:space="preserve"> by se spotřeba elektrické energie vyvíjela podle vysokého scénáře OTE, by bylo dovozní saldo ČR již v roce 2025 </w:t>
      </w:r>
      <w:r w:rsidR="00640884" w:rsidRPr="0092047B">
        <w:rPr>
          <w:rFonts w:cstheme="minorHAnsi"/>
        </w:rPr>
        <w:t>na úrovni kolem</w:t>
      </w:r>
      <w:r w:rsidRPr="0092047B">
        <w:rPr>
          <w:rFonts w:cstheme="minorHAnsi"/>
        </w:rPr>
        <w:t xml:space="preserve"> 5 % s postupným nárůstem do roku 2040 na cca 2</w:t>
      </w:r>
      <w:r w:rsidR="00640884" w:rsidRPr="0092047B">
        <w:rPr>
          <w:rFonts w:cstheme="minorHAnsi"/>
        </w:rPr>
        <w:t>5</w:t>
      </w:r>
      <w:r w:rsidRPr="0092047B">
        <w:rPr>
          <w:rFonts w:cstheme="minorHAnsi"/>
        </w:rPr>
        <w:t> %.</w:t>
      </w:r>
    </w:p>
    <w:p w:rsidR="003F472D" w:rsidRPr="0092047B" w:rsidRDefault="003F472D" w:rsidP="005218D2">
      <w:pPr>
        <w:spacing w:before="240" w:after="120"/>
      </w:pPr>
      <w:r w:rsidRPr="0092047B">
        <w:t>Obdobný problém by, s ohledem na zajištění spolehlivosti a vysoké kvality dodávek elektřiny, mohl nastat</w:t>
      </w:r>
      <w:r w:rsidR="0079134D" w:rsidRPr="0092047B">
        <w:t>,</w:t>
      </w:r>
      <w:r w:rsidRPr="0092047B">
        <w:t xml:space="preserve"> i pokud by z jakéhokoliv důvodu musely být před dosažením své technické životnosti odstaveny bloky JEDU. V takovém případě je potřeba zajistit jejich nahrazení novým jaderným zdrojem odpovídajícího výkonu.</w:t>
      </w:r>
    </w:p>
    <w:p w:rsidR="003F472D" w:rsidRPr="0092047B" w:rsidRDefault="00FD1A76" w:rsidP="00184DC1">
      <w:pPr>
        <w:pStyle w:val="Nadpis3"/>
      </w:pPr>
      <w:bookmarkStart w:id="959" w:name="_Toc396923425"/>
      <w:r w:rsidRPr="0092047B">
        <w:t>Ukazatele konkurenceschopnosti</w:t>
      </w:r>
      <w:bookmarkEnd w:id="959"/>
    </w:p>
    <w:p w:rsidR="00EF5D91" w:rsidRDefault="00EF5D91" w:rsidP="00184DC1">
      <w:pPr>
        <w:pStyle w:val="Titulek"/>
        <w:keepNext/>
        <w:spacing w:before="240" w:after="120"/>
      </w:pPr>
      <w:bookmarkStart w:id="960" w:name="_Toc396923138"/>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22</w:t>
      </w:r>
      <w:r w:rsidRPr="00EF5D91">
        <w:rPr>
          <w:b/>
        </w:rPr>
        <w:fldChar w:fldCharType="end"/>
      </w:r>
      <w:r w:rsidRPr="00EF5D91">
        <w:rPr>
          <w:b/>
        </w:rPr>
        <w:t xml:space="preserve">: </w:t>
      </w:r>
      <w:r w:rsidRPr="0092047B">
        <w:rPr>
          <w:szCs w:val="22"/>
        </w:rPr>
        <w:t>Diskontované náklady na zajištění energie</w:t>
      </w:r>
      <w:bookmarkEnd w:id="960"/>
    </w:p>
    <w:p w:rsidR="003F472D" w:rsidRPr="0092047B" w:rsidRDefault="003F472D" w:rsidP="00184DC1">
      <w:pPr>
        <w:spacing w:before="120"/>
        <w:rPr>
          <w:szCs w:val="22"/>
        </w:rPr>
      </w:pPr>
      <w:r w:rsidRPr="0092047B">
        <w:rPr>
          <w:noProof/>
        </w:rPr>
        <w:drawing>
          <wp:inline distT="0" distB="0" distL="0" distR="0" wp14:anchorId="712F0616" wp14:editId="3409654A">
            <wp:extent cx="5760000" cy="3780000"/>
            <wp:effectExtent l="0" t="0" r="12700" b="11430"/>
            <wp:docPr id="91" name="Graf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472D" w:rsidRPr="0092047B" w:rsidRDefault="003F472D" w:rsidP="00184DC1">
      <w:pPr>
        <w:rPr>
          <w:szCs w:val="22"/>
        </w:rPr>
      </w:pPr>
      <w:r w:rsidRPr="0092047B">
        <w:rPr>
          <w:szCs w:val="22"/>
        </w:rPr>
        <w:t>Diskontované náklady zahrnují náklady na provoz palivového mixu, a to jak variabilní náklady (zejména palivové a ostatní provozní), tak fixní provozní náklady a investiční náklady. Dále jsou zahrnuty investice do infrastruktury přenosových a distribučních sítí, náklady na energetické úspory</w:t>
      </w:r>
      <w:r w:rsidR="00CF418C">
        <w:rPr>
          <w:szCs w:val="22"/>
        </w:rPr>
        <w:t xml:space="preserve">, </w:t>
      </w:r>
      <w:r w:rsidR="00CF418C" w:rsidRPr="00CF418C">
        <w:rPr>
          <w:szCs w:val="22"/>
        </w:rPr>
        <w:t>náklady spojené s recertifikací jaderné elektrárny Dukovany</w:t>
      </w:r>
      <w:r w:rsidRPr="0092047B">
        <w:rPr>
          <w:szCs w:val="22"/>
        </w:rPr>
        <w:t xml:space="preserve"> a</w:t>
      </w:r>
      <w:r w:rsidR="002623DC">
        <w:rPr>
          <w:szCs w:val="22"/>
        </w:rPr>
        <w:t> </w:t>
      </w:r>
      <w:r w:rsidRPr="0092047B">
        <w:rPr>
          <w:szCs w:val="22"/>
        </w:rPr>
        <w:t>v neposlední řadě náklady na dovoz PEZ. Z důvodu velké citlivosti na použitý diskontní faktor byly zvoleny tři scénáře vývoje diskontovaných nákladů v závislosti na zvoleném diskontním faktoru. Náklady jsou vztaženy (diskontovány) k referenčnímu roku 2010.</w:t>
      </w:r>
    </w:p>
    <w:p w:rsidR="00EF5D91" w:rsidRDefault="00EF5D91" w:rsidP="00184DC1">
      <w:pPr>
        <w:pStyle w:val="Titulek"/>
        <w:keepNext/>
        <w:spacing w:before="240" w:after="120"/>
        <w:jc w:val="left"/>
      </w:pPr>
      <w:bookmarkStart w:id="961" w:name="_Ref391889276"/>
      <w:bookmarkStart w:id="962" w:name="_Toc396923139"/>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23</w:t>
      </w:r>
      <w:r w:rsidRPr="00EF5D91">
        <w:rPr>
          <w:b/>
        </w:rPr>
        <w:fldChar w:fldCharType="end"/>
      </w:r>
      <w:bookmarkEnd w:id="961"/>
      <w:r w:rsidRPr="00EF5D91">
        <w:rPr>
          <w:b/>
        </w:rPr>
        <w:t xml:space="preserve">: </w:t>
      </w:r>
      <w:r w:rsidRPr="0092047B">
        <w:t>Ceny vybraných energetických komodit</w:t>
      </w:r>
      <w:bookmarkEnd w:id="962"/>
    </w:p>
    <w:p w:rsidR="003F472D" w:rsidRPr="0092047B" w:rsidRDefault="003F472D" w:rsidP="00184DC1">
      <w:pPr>
        <w:spacing w:before="120" w:after="120"/>
        <w:jc w:val="center"/>
      </w:pPr>
      <w:r w:rsidRPr="0092047B">
        <w:rPr>
          <w:noProof/>
        </w:rPr>
        <w:drawing>
          <wp:inline distT="0" distB="0" distL="0" distR="0" wp14:anchorId="677FA5EA" wp14:editId="270D00A3">
            <wp:extent cx="5760000" cy="3780000"/>
            <wp:effectExtent l="0" t="0" r="12700" b="1143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472D" w:rsidRPr="0010323D" w:rsidRDefault="001210CE" w:rsidP="00184DC1">
      <w:pPr>
        <w:spacing w:before="120"/>
        <w:rPr>
          <w:i/>
          <w:sz w:val="18"/>
          <w:szCs w:val="18"/>
        </w:rPr>
      </w:pPr>
      <w:r w:rsidRPr="0010323D">
        <w:rPr>
          <w:i/>
          <w:sz w:val="18"/>
          <w:szCs w:val="18"/>
        </w:rPr>
        <w:t>Pozn.</w:t>
      </w:r>
      <w:r w:rsidR="003F472D" w:rsidRPr="0010323D">
        <w:rPr>
          <w:i/>
          <w:sz w:val="18"/>
          <w:szCs w:val="18"/>
        </w:rPr>
        <w:t>: Jedná se o nominální ceny snížené o míru inflace s referenčním rokem 2011</w:t>
      </w:r>
    </w:p>
    <w:p w:rsidR="003F472D" w:rsidRPr="0092047B" w:rsidRDefault="003F472D" w:rsidP="00184DC1">
      <w:pPr>
        <w:rPr>
          <w:rFonts w:cstheme="minorHAnsi"/>
        </w:rPr>
      </w:pPr>
      <w:r w:rsidRPr="0092047B">
        <w:rPr>
          <w:rFonts w:cstheme="minorHAnsi"/>
        </w:rPr>
        <w:t>Vývoj cen ropy a plynu vychází z analýz IEA (New Policies Scenario)/OECD s podporou analýz v rámci IEF. Tento vývoj je však zatížen určitou mírou nejistoty. Do budoucna lze očekávat trend oddělení ceny zemního plynu od ceny ropy, resp. ropných produktů. I přes efekt přílivu nových zdrojů plynu na světový trh nakonec převáží vliv nárůstu potřeb obyvatel i vliv nárůstu průmyslu velkých rozvíjejících se ekonomik. Růst ceny bude působit jako jistý stabilizátor. V případě černého uhlí se předpokládá pozvolnější nárůst, může však dojít i k pokračování těsného cenového spojení s cenou zemního plynu. Cena hnědého uhlí je spíše cena nákladová, do značné míry ovlivněná státní legislativou a nepřímou regulací. Důvodem je, že tato komodita není významně obchodována na světovém ani evropském trhu. Ceny, které uvádí</w:t>
      </w:r>
      <w:r w:rsidR="00F419EA">
        <w:rPr>
          <w:rFonts w:cstheme="minorHAnsi"/>
        </w:rPr>
        <w:t xml:space="preserve"> </w:t>
      </w:r>
      <w:r w:rsidR="00F419EA" w:rsidRPr="00F419EA">
        <w:rPr>
          <w:rFonts w:cstheme="minorHAnsi"/>
        </w:rPr>
        <w:fldChar w:fldCharType="begin"/>
      </w:r>
      <w:r w:rsidR="00F419EA" w:rsidRPr="00F419EA">
        <w:rPr>
          <w:rFonts w:cstheme="minorHAnsi"/>
        </w:rPr>
        <w:instrText xml:space="preserve"> REF _Ref391889276 \h  \* MERGEFORMAT </w:instrText>
      </w:r>
      <w:r w:rsidR="00F419EA" w:rsidRPr="00F419EA">
        <w:rPr>
          <w:rFonts w:cstheme="minorHAnsi"/>
        </w:rPr>
      </w:r>
      <w:r w:rsidR="00F419EA" w:rsidRPr="00F419EA">
        <w:rPr>
          <w:rFonts w:cstheme="minorHAnsi"/>
        </w:rPr>
        <w:fldChar w:fldCharType="separate"/>
      </w:r>
      <w:r w:rsidR="0096423F" w:rsidRPr="0096423F">
        <w:t xml:space="preserve">Graf č. </w:t>
      </w:r>
      <w:r w:rsidR="0096423F" w:rsidRPr="0096423F">
        <w:rPr>
          <w:noProof/>
        </w:rPr>
        <w:t>23</w:t>
      </w:r>
      <w:r w:rsidR="00F419EA" w:rsidRPr="00F419EA">
        <w:rPr>
          <w:rFonts w:cstheme="minorHAnsi"/>
        </w:rPr>
        <w:fldChar w:fldCharType="end"/>
      </w:r>
      <w:r w:rsidRPr="00F419EA">
        <w:rPr>
          <w:rFonts w:cstheme="minorHAnsi"/>
        </w:rPr>
        <w:t>,</w:t>
      </w:r>
      <w:r w:rsidRPr="0092047B">
        <w:rPr>
          <w:rFonts w:cstheme="minorHAnsi"/>
        </w:rPr>
        <w:t xml:space="preserve"> jsou kvantifikovány na bázi reálných cen; jedná se konkrétně o stálé ceny roku 2011.</w:t>
      </w:r>
      <w:r w:rsidRPr="0092047B">
        <w:rPr>
          <w:szCs w:val="22"/>
        </w:rPr>
        <w:br w:type="page"/>
      </w:r>
    </w:p>
    <w:p w:rsidR="00EF5D91" w:rsidRDefault="00EF5D91" w:rsidP="00184DC1">
      <w:pPr>
        <w:pStyle w:val="Titulek"/>
        <w:keepNext/>
        <w:spacing w:before="240" w:after="120"/>
      </w:pPr>
      <w:bookmarkStart w:id="963" w:name="_Toc396923140"/>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24</w:t>
      </w:r>
      <w:r w:rsidRPr="00EF5D91">
        <w:rPr>
          <w:b/>
        </w:rPr>
        <w:fldChar w:fldCharType="end"/>
      </w:r>
      <w:r w:rsidRPr="00EF5D91">
        <w:rPr>
          <w:b/>
        </w:rPr>
        <w:t>:</w:t>
      </w:r>
      <w:r>
        <w:t xml:space="preserve"> </w:t>
      </w:r>
      <w:r w:rsidRPr="0092047B">
        <w:t>Konečné ceny elektřiny</w:t>
      </w:r>
      <w:bookmarkEnd w:id="963"/>
    </w:p>
    <w:p w:rsidR="003F472D" w:rsidRPr="0092047B" w:rsidRDefault="003F472D" w:rsidP="00184DC1">
      <w:pPr>
        <w:spacing w:before="120"/>
      </w:pPr>
      <w:r w:rsidRPr="0092047B">
        <w:rPr>
          <w:b/>
          <w:noProof/>
        </w:rPr>
        <w:drawing>
          <wp:inline distT="0" distB="0" distL="0" distR="0" wp14:anchorId="38DE4601" wp14:editId="42307792">
            <wp:extent cx="5760000" cy="3780000"/>
            <wp:effectExtent l="0" t="0" r="12700" b="1143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F5D91" w:rsidRDefault="00EF5D91" w:rsidP="00184DC1">
      <w:pPr>
        <w:pStyle w:val="Titulek"/>
        <w:keepNext/>
        <w:spacing w:before="240" w:after="120"/>
      </w:pPr>
      <w:bookmarkStart w:id="964" w:name="_Toc396923141"/>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25</w:t>
      </w:r>
      <w:r w:rsidRPr="00EF5D91">
        <w:rPr>
          <w:b/>
        </w:rPr>
        <w:fldChar w:fldCharType="end"/>
      </w:r>
      <w:r w:rsidRPr="00EF5D91">
        <w:rPr>
          <w:b/>
        </w:rPr>
        <w:t xml:space="preserve">: </w:t>
      </w:r>
      <w:r w:rsidRPr="0092047B">
        <w:t>Vývoj a struktura konečné ceny elektřiny na hladině nn</w:t>
      </w:r>
      <w:bookmarkEnd w:id="964"/>
    </w:p>
    <w:p w:rsidR="003F472D" w:rsidRPr="0092047B" w:rsidRDefault="003F472D" w:rsidP="00184DC1">
      <w:pPr>
        <w:spacing w:before="120"/>
      </w:pPr>
      <w:r w:rsidRPr="0092047B">
        <w:rPr>
          <w:noProof/>
        </w:rPr>
        <w:drawing>
          <wp:inline distT="0" distB="0" distL="0" distR="0" wp14:anchorId="5867E265" wp14:editId="24652C09">
            <wp:extent cx="5760000" cy="3780000"/>
            <wp:effectExtent l="0" t="0" r="12700" b="1143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7197" w:rsidRPr="00D57197" w:rsidRDefault="00D57197" w:rsidP="00184DC1">
      <w:r w:rsidRPr="00D57197">
        <w:t xml:space="preserve">Vývoj konečných cen elektřiny pro spotřebitele bude do roku 2030 ovlivněn zejména způsobem, jakým bude vyřešeno pokrytí obligatorních nákladů na podporu OZE. Po roce 2030 se bude vliv poplatků za OZE výrazně snižovat. Dalším faktorem, který se do cen promítá, je obnova a rozvoj přenosové soustavy a současně </w:t>
      </w:r>
      <w:r w:rsidR="006477DA" w:rsidRPr="00D57197">
        <w:t>snižování a následn</w:t>
      </w:r>
      <w:r w:rsidR="006477DA">
        <w:t>á</w:t>
      </w:r>
      <w:r w:rsidR="006477DA" w:rsidRPr="00D57197">
        <w:t xml:space="preserve"> stabilizac</w:t>
      </w:r>
      <w:r w:rsidR="006477DA">
        <w:t>e</w:t>
      </w:r>
      <w:r w:rsidR="006477DA" w:rsidRPr="00D57197">
        <w:t xml:space="preserve"> nákladů </w:t>
      </w:r>
      <w:r w:rsidRPr="00D57197">
        <w:t>na zajišťování systémových služeb</w:t>
      </w:r>
      <w:r w:rsidR="006477DA">
        <w:t xml:space="preserve"> (SyS)</w:t>
      </w:r>
      <w:r w:rsidRPr="00D57197">
        <w:t xml:space="preserve"> v návaznosti na integraci řízení soustav</w:t>
      </w:r>
      <w:r w:rsidR="008766FF">
        <w:t xml:space="preserve"> a </w:t>
      </w:r>
      <w:r w:rsidRPr="00D57197">
        <w:t>přibližování se ČR úrovni nákladů na SyS zemím s obdobným charakterem elektrizační soustavy. V období po roce 2020 dojde k nárůstu regulované složky ceny elektřiny z důvodu implementace inteligentních sítí, rozvojem distribučních sítí a akumulace. U komoditní složky ceny jsou klíčovými faktory do budoucna otázka vývoje cen emisních povolenek, kdy optimalizovaný scénář počítá s efektem backloadingu i se zavedením stabilizační rezervy po roce 2020. Dalším důležitým faktorem je rychlost odbourání tržních distorzí, které v současné době působí vysoký tlak na pokles ceny silové elektřiny. Ten se bude projevovat minimálně do poloviny této dekády. Následný dlouhodobý mírný růst je způsoben jednak vlivem dražších emisních povolenek, a jednak vlivem nutné obnovy výrobního portfolia v celé Evropě. To se projeví buď přímo v ceně silové elektřiny (tj. komoditní složce), nebo v rámci zavádění různých forem kapacitních mechanismů v rámci EU. Pozvolný růst ceny tak může být doprovázen krátkodobými (několikaletými) odchylkami v návaznosti na míru tržních deformací a nepravidelnému vývoji odvětví ve vazbě na stabilitu legislativy a širšího regulačního rámce.</w:t>
      </w:r>
    </w:p>
    <w:p w:rsidR="00EF5D91" w:rsidRDefault="00EF5D91" w:rsidP="00184DC1">
      <w:pPr>
        <w:pStyle w:val="Titulek"/>
        <w:keepNext/>
        <w:spacing w:before="240" w:after="120"/>
      </w:pPr>
      <w:bookmarkStart w:id="965" w:name="_Toc396923142"/>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26</w:t>
      </w:r>
      <w:r w:rsidRPr="00EF5D91">
        <w:rPr>
          <w:b/>
        </w:rPr>
        <w:fldChar w:fldCharType="end"/>
      </w:r>
      <w:r w:rsidRPr="00EF5D91">
        <w:rPr>
          <w:b/>
        </w:rPr>
        <w:t>:</w:t>
      </w:r>
      <w:r>
        <w:t xml:space="preserve"> </w:t>
      </w:r>
      <w:r w:rsidRPr="0092047B">
        <w:rPr>
          <w:szCs w:val="22"/>
        </w:rPr>
        <w:t>Podíl výdajů domácností na energie</w:t>
      </w:r>
      <w:bookmarkEnd w:id="965"/>
    </w:p>
    <w:p w:rsidR="003F472D" w:rsidRPr="0092047B" w:rsidRDefault="003F472D" w:rsidP="00184DC1">
      <w:pPr>
        <w:spacing w:before="120"/>
      </w:pPr>
      <w:r w:rsidRPr="0092047B">
        <w:rPr>
          <w:noProof/>
        </w:rPr>
        <w:drawing>
          <wp:inline distT="0" distB="0" distL="0" distR="0" wp14:anchorId="58572BF6" wp14:editId="233E5C47">
            <wp:extent cx="5760000" cy="3780000"/>
            <wp:effectExtent l="0" t="0" r="12700" b="1143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5D91" w:rsidRDefault="00EF5D91" w:rsidP="00184DC1">
      <w:pPr>
        <w:pStyle w:val="Titulek"/>
        <w:keepNext/>
        <w:spacing w:before="240" w:after="120"/>
      </w:pPr>
      <w:bookmarkStart w:id="966" w:name="_Toc396923143"/>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27</w:t>
      </w:r>
      <w:r w:rsidRPr="00EF5D91">
        <w:rPr>
          <w:b/>
        </w:rPr>
        <w:fldChar w:fldCharType="end"/>
      </w:r>
      <w:r w:rsidRPr="00EF5D91">
        <w:rPr>
          <w:b/>
        </w:rPr>
        <w:t>:</w:t>
      </w:r>
      <w:r>
        <w:t xml:space="preserve"> </w:t>
      </w:r>
      <w:r w:rsidRPr="0092047B">
        <w:rPr>
          <w:szCs w:val="22"/>
        </w:rPr>
        <w:t xml:space="preserve">Podíl </w:t>
      </w:r>
      <w:r w:rsidR="00486243">
        <w:rPr>
          <w:szCs w:val="22"/>
        </w:rPr>
        <w:t xml:space="preserve">sektoru energetiky </w:t>
      </w:r>
      <w:r w:rsidRPr="0092047B">
        <w:rPr>
          <w:szCs w:val="22"/>
        </w:rPr>
        <w:t>na HPH</w:t>
      </w:r>
      <w:r w:rsidR="00486243">
        <w:rPr>
          <w:szCs w:val="22"/>
        </w:rPr>
        <w:t xml:space="preserve"> ve stálých cenách roku 2005</w:t>
      </w:r>
      <w:bookmarkEnd w:id="966"/>
    </w:p>
    <w:p w:rsidR="003F472D" w:rsidRPr="0092047B" w:rsidRDefault="00486243" w:rsidP="00184DC1">
      <w:r w:rsidRPr="0092047B">
        <w:rPr>
          <w:b/>
          <w:noProof/>
        </w:rPr>
        <w:drawing>
          <wp:inline distT="0" distB="0" distL="0" distR="0" wp14:anchorId="2A66D674" wp14:editId="463DDEA1">
            <wp:extent cx="5760000" cy="3780000"/>
            <wp:effectExtent l="0" t="0" r="12700" b="1143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86243" w:rsidRDefault="00486243" w:rsidP="00184DC1">
      <w:pPr>
        <w:pStyle w:val="Titulek"/>
        <w:keepNext/>
        <w:spacing w:before="240" w:after="120"/>
      </w:pPr>
      <w:bookmarkStart w:id="967" w:name="_Toc396923144"/>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28</w:t>
      </w:r>
      <w:r w:rsidRPr="00EF5D91">
        <w:rPr>
          <w:b/>
        </w:rPr>
        <w:fldChar w:fldCharType="end"/>
      </w:r>
      <w:r w:rsidRPr="00EF5D91">
        <w:rPr>
          <w:b/>
        </w:rPr>
        <w:t>:</w:t>
      </w:r>
      <w:r>
        <w:t xml:space="preserve"> </w:t>
      </w:r>
      <w:r w:rsidRPr="0092047B">
        <w:rPr>
          <w:szCs w:val="22"/>
        </w:rPr>
        <w:t xml:space="preserve">Podíl </w:t>
      </w:r>
      <w:r>
        <w:rPr>
          <w:szCs w:val="22"/>
        </w:rPr>
        <w:t>dovozu energie na HPH v běžných cenách</w:t>
      </w:r>
      <w:bookmarkEnd w:id="967"/>
    </w:p>
    <w:p w:rsidR="00486243" w:rsidRDefault="00486243" w:rsidP="00184DC1">
      <w:pPr>
        <w:spacing w:before="120"/>
        <w:rPr>
          <w:rFonts w:cstheme="minorHAnsi"/>
        </w:rPr>
      </w:pPr>
      <w:r w:rsidRPr="0092047B">
        <w:rPr>
          <w:b/>
          <w:noProof/>
        </w:rPr>
        <w:drawing>
          <wp:inline distT="0" distB="0" distL="0" distR="0" wp14:anchorId="4E92B30F" wp14:editId="6CEC27DB">
            <wp:extent cx="5760000" cy="3780000"/>
            <wp:effectExtent l="0" t="0" r="12700" b="1143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472D" w:rsidRPr="0092047B" w:rsidRDefault="003F472D" w:rsidP="00184DC1">
      <w:pPr>
        <w:spacing w:after="120"/>
        <w:rPr>
          <w:rFonts w:cstheme="minorHAnsi"/>
        </w:rPr>
      </w:pPr>
      <w:r w:rsidRPr="0092047B">
        <w:rPr>
          <w:rFonts w:cstheme="minorHAnsi"/>
        </w:rPr>
        <w:t>Podíl dovozu energie na HPH prudce roste přibližně do roku 2015, a to především díky větší dynamice cen uhlovodíkových paliv oproti dynamice tvorby H</w:t>
      </w:r>
      <w:r w:rsidR="001D0BC2">
        <w:rPr>
          <w:rFonts w:cstheme="minorHAnsi"/>
        </w:rPr>
        <w:t>DP</w:t>
      </w:r>
      <w:r w:rsidRPr="0092047B">
        <w:rPr>
          <w:rFonts w:cstheme="minorHAnsi"/>
        </w:rPr>
        <w:t>. Následně se bude podle předpokladů podíl dovozu energie snižovat řádově na úroveň roku 2010 v roce 2040.</w:t>
      </w:r>
      <w:r w:rsidR="001D0BC2">
        <w:rPr>
          <w:rFonts w:cstheme="minorHAnsi"/>
        </w:rPr>
        <w:t xml:space="preserve"> Podíl sektoru energetiky na tvorbě HPH do roku 2015 významně klesá, což je naopak způsobeno vyšší dynamikou vývoje HDP oproti dynamice vývoje v tomto sektoru. Do roku 2040 se potom tento podíl bude podle předpokladů jen mírně snižovat.</w:t>
      </w:r>
    </w:p>
    <w:p w:rsidR="00EF5D91" w:rsidRDefault="00EF5D91" w:rsidP="00184DC1">
      <w:pPr>
        <w:pStyle w:val="Titulek"/>
        <w:keepNext/>
        <w:spacing w:before="240" w:after="120"/>
        <w:jc w:val="left"/>
      </w:pPr>
      <w:bookmarkStart w:id="968" w:name="_Ref391889325"/>
      <w:bookmarkStart w:id="969" w:name="_Toc396923145"/>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29</w:t>
      </w:r>
      <w:r w:rsidRPr="00EF5D91">
        <w:rPr>
          <w:b/>
        </w:rPr>
        <w:fldChar w:fldCharType="end"/>
      </w:r>
      <w:bookmarkEnd w:id="968"/>
      <w:r w:rsidRPr="00EF5D91">
        <w:rPr>
          <w:b/>
        </w:rPr>
        <w:t>:</w:t>
      </w:r>
      <w:r>
        <w:t xml:space="preserve"> </w:t>
      </w:r>
      <w:r w:rsidR="006F48CC">
        <w:t>Obchodní</w:t>
      </w:r>
      <w:r w:rsidR="006F48CC" w:rsidRPr="0092047B">
        <w:t xml:space="preserve"> </w:t>
      </w:r>
      <w:r w:rsidRPr="0092047B">
        <w:t>bilance čistého dovozu PEZ</w:t>
      </w:r>
      <w:bookmarkEnd w:id="969"/>
    </w:p>
    <w:p w:rsidR="003F472D" w:rsidRPr="0092047B" w:rsidRDefault="003F472D" w:rsidP="00184DC1">
      <w:pPr>
        <w:spacing w:before="120"/>
        <w:jc w:val="center"/>
      </w:pPr>
      <w:r w:rsidRPr="0092047B">
        <w:rPr>
          <w:noProof/>
        </w:rPr>
        <w:drawing>
          <wp:inline distT="0" distB="0" distL="0" distR="0" wp14:anchorId="3AC1DB7E" wp14:editId="3A0E5002">
            <wp:extent cx="5760000" cy="3781425"/>
            <wp:effectExtent l="0" t="0" r="12700" b="9525"/>
            <wp:docPr id="93" name="Graf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472D" w:rsidRPr="0092047B" w:rsidRDefault="003F472D" w:rsidP="00184DC1">
      <w:pPr>
        <w:spacing w:before="240"/>
        <w:rPr>
          <w:b/>
          <w:bCs/>
          <w:color w:val="000000"/>
          <w:sz w:val="28"/>
          <w:szCs w:val="22"/>
        </w:rPr>
      </w:pPr>
      <w:r w:rsidRPr="0092047B">
        <w:rPr>
          <w:rFonts w:cstheme="minorHAnsi"/>
        </w:rPr>
        <w:t>Očekávané náklady na čistý dovoz primárních energetických zdrojů v peněžním vyjádření demonstruje</w:t>
      </w:r>
      <w:r w:rsidR="00F419EA">
        <w:rPr>
          <w:rFonts w:cstheme="minorHAnsi"/>
        </w:rPr>
        <w:t xml:space="preserve"> </w:t>
      </w:r>
      <w:r w:rsidR="00F419EA" w:rsidRPr="00F419EA">
        <w:rPr>
          <w:rFonts w:cstheme="minorHAnsi"/>
        </w:rPr>
        <w:fldChar w:fldCharType="begin"/>
      </w:r>
      <w:r w:rsidR="00F419EA" w:rsidRPr="00F419EA">
        <w:rPr>
          <w:rFonts w:cstheme="minorHAnsi"/>
        </w:rPr>
        <w:instrText xml:space="preserve"> REF _Ref391889325 \h  \* MERGEFORMAT </w:instrText>
      </w:r>
      <w:r w:rsidR="00F419EA" w:rsidRPr="00F419EA">
        <w:rPr>
          <w:rFonts w:cstheme="minorHAnsi"/>
        </w:rPr>
      </w:r>
      <w:r w:rsidR="00F419EA" w:rsidRPr="00F419EA">
        <w:rPr>
          <w:rFonts w:cstheme="minorHAnsi"/>
        </w:rPr>
        <w:fldChar w:fldCharType="separate"/>
      </w:r>
      <w:r w:rsidR="0096423F" w:rsidRPr="0096423F">
        <w:t xml:space="preserve">Graf č. </w:t>
      </w:r>
      <w:r w:rsidR="0096423F" w:rsidRPr="0096423F">
        <w:rPr>
          <w:noProof/>
        </w:rPr>
        <w:t>29</w:t>
      </w:r>
      <w:r w:rsidR="00F419EA" w:rsidRPr="00F419EA">
        <w:rPr>
          <w:rFonts w:cstheme="minorHAnsi"/>
        </w:rPr>
        <w:fldChar w:fldCharType="end"/>
      </w:r>
      <w:r w:rsidRPr="0092047B">
        <w:rPr>
          <w:rFonts w:cstheme="minorHAnsi"/>
        </w:rPr>
        <w:t>. V kontextu České republiky se jedná především o dovoz ropy, zemního plynu a jaderného paliva. U všech zmíněných paliv je ČR dovozně závislá téměř ze 100</w:t>
      </w:r>
      <w:r w:rsidR="00C61FA2" w:rsidRPr="0092047B">
        <w:rPr>
          <w:rFonts w:cstheme="minorHAnsi"/>
        </w:rPr>
        <w:t> </w:t>
      </w:r>
      <w:r w:rsidRPr="0092047B">
        <w:rPr>
          <w:rFonts w:cstheme="minorHAnsi"/>
        </w:rPr>
        <w:t>%. Náklady na dovoz jsou pak vypočteny jako součin čistého dovozu primárních zdrojů v naturálním vyjádření (konkrétně GJ) a ceny daného paliva (komodity) v Kč/GJ. Zvyšující se náklady na dovoz jsou pak výsledkem zvyšující se dovozní závislosti (s výjimkou ropných produktů, u kterých se předpokládá snížení dovozů v horizontu do roku 2040)</w:t>
      </w:r>
      <w:r w:rsidR="006477DA">
        <w:rPr>
          <w:rFonts w:cstheme="minorHAnsi"/>
        </w:rPr>
        <w:t>,</w:t>
      </w:r>
      <w:r w:rsidRPr="0092047B">
        <w:rPr>
          <w:rFonts w:cstheme="minorHAnsi"/>
        </w:rPr>
        <w:t xml:space="preserve"> související se změnou palivového mixu a vývoje cen daných paliv (komodit), u kterých je v dlouhodobém horizontu předpokládán postupný nárůst. U ropných produktů je pak možné předpokládat zvýšení nákladů na jejich čistý dovoz vyplývající ze zvýšené ceny, i když naturálně bude docházet k nižším importům. Pozitivní vliv na hodnotu tohoto ukazatele má saldo elektřiny, které bude hrát významnou roli zejména do roku 2020 a poté kolem roku 2035, v závislosti na vývoji výroby elektřiny ve vztahu ke spotřebě. Na základě předpokladů je následně možné očekávat </w:t>
      </w:r>
      <w:r w:rsidR="008020B5">
        <w:rPr>
          <w:rFonts w:cstheme="minorHAnsi"/>
        </w:rPr>
        <w:t>téměř</w:t>
      </w:r>
      <w:r w:rsidRPr="0092047B">
        <w:rPr>
          <w:rFonts w:cstheme="minorHAnsi"/>
        </w:rPr>
        <w:t xml:space="preserve"> dvojnásobné zvýšení nákladů na čistý dovoz primárních zdrojů ze zahraničí, což odpovídá nárůstu plateb za čistý </w:t>
      </w:r>
      <w:r w:rsidR="008020B5">
        <w:rPr>
          <w:rFonts w:cstheme="minorHAnsi"/>
        </w:rPr>
        <w:t>dovoz energie</w:t>
      </w:r>
      <w:r w:rsidR="00060108">
        <w:rPr>
          <w:rFonts w:cstheme="minorHAnsi"/>
        </w:rPr>
        <w:t xml:space="preserve"> na</w:t>
      </w:r>
      <w:r w:rsidR="008020B5">
        <w:rPr>
          <w:rFonts w:cstheme="minorHAnsi"/>
        </w:rPr>
        <w:t xml:space="preserve"> úrovni necelých </w:t>
      </w:r>
      <w:r w:rsidRPr="0092047B">
        <w:rPr>
          <w:rFonts w:cstheme="minorHAnsi"/>
        </w:rPr>
        <w:t>2</w:t>
      </w:r>
      <w:r w:rsidR="00270C7B" w:rsidRPr="0092047B">
        <w:rPr>
          <w:rFonts w:cstheme="minorHAnsi"/>
        </w:rPr>
        <w:t>5</w:t>
      </w:r>
      <w:r w:rsidRPr="0092047B">
        <w:rPr>
          <w:rFonts w:cstheme="minorHAnsi"/>
        </w:rPr>
        <w:t>0 mld. Kč.</w:t>
      </w:r>
      <w:r w:rsidRPr="0092047B">
        <w:rPr>
          <w:szCs w:val="22"/>
        </w:rPr>
        <w:br w:type="page"/>
      </w:r>
    </w:p>
    <w:p w:rsidR="003F472D" w:rsidRPr="0092047B" w:rsidRDefault="003F472D" w:rsidP="00184DC1">
      <w:pPr>
        <w:pStyle w:val="Nadpis3"/>
      </w:pPr>
      <w:bookmarkStart w:id="970" w:name="_Toc387757726"/>
      <w:r w:rsidRPr="0092047B">
        <w:t xml:space="preserve"> </w:t>
      </w:r>
      <w:bookmarkStart w:id="971" w:name="_Toc396923426"/>
      <w:bookmarkEnd w:id="970"/>
      <w:r w:rsidR="001C2C2B" w:rsidRPr="0092047B">
        <w:t>Ukazatele udržitelnosti</w:t>
      </w:r>
      <w:bookmarkEnd w:id="971"/>
    </w:p>
    <w:p w:rsidR="00EF5D91" w:rsidRDefault="00EF5D91" w:rsidP="00184DC1">
      <w:pPr>
        <w:pStyle w:val="Titulek"/>
        <w:keepNext/>
        <w:spacing w:before="240" w:after="120"/>
      </w:pPr>
      <w:bookmarkStart w:id="972" w:name="_Toc396923146"/>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30</w:t>
      </w:r>
      <w:r w:rsidRPr="00EF5D91">
        <w:rPr>
          <w:b/>
        </w:rPr>
        <w:fldChar w:fldCharType="end"/>
      </w:r>
      <w:r w:rsidRPr="00EF5D91">
        <w:rPr>
          <w:b/>
        </w:rPr>
        <w:t xml:space="preserve">: </w:t>
      </w:r>
      <w:r w:rsidRPr="0092047B">
        <w:t>Energetická náročnost</w:t>
      </w:r>
      <w:r w:rsidR="00820754">
        <w:t xml:space="preserve"> tvorby HDP</w:t>
      </w:r>
      <w:r w:rsidR="00D56B60">
        <w:t xml:space="preserve"> v EU v roce 2011</w:t>
      </w:r>
      <w:bookmarkEnd w:id="972"/>
    </w:p>
    <w:p w:rsidR="00D47A1D" w:rsidRDefault="00820754" w:rsidP="00184DC1">
      <w:pPr>
        <w:spacing w:before="120" w:after="120"/>
      </w:pPr>
      <w:r>
        <w:rPr>
          <w:noProof/>
        </w:rPr>
        <w:drawing>
          <wp:inline distT="0" distB="0" distL="0" distR="0" wp14:anchorId="52203165" wp14:editId="3813D346">
            <wp:extent cx="5760000" cy="3780000"/>
            <wp:effectExtent l="0" t="0" r="12700" b="11430"/>
            <wp:docPr id="102" name="Graf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56B60" w:rsidRPr="00D56B60" w:rsidRDefault="00D56B60" w:rsidP="00184DC1">
      <w:pPr>
        <w:spacing w:before="120"/>
        <w:jc w:val="right"/>
        <w:rPr>
          <w:i/>
        </w:rPr>
      </w:pPr>
      <w:r w:rsidRPr="00D56B60">
        <w:rPr>
          <w:i/>
        </w:rPr>
        <w:t>Zdroj</w:t>
      </w:r>
      <w:r>
        <w:rPr>
          <w:i/>
        </w:rPr>
        <w:t>:</w:t>
      </w:r>
      <w:r w:rsidRPr="00D56B60">
        <w:rPr>
          <w:i/>
        </w:rPr>
        <w:t xml:space="preserve"> Statistika </w:t>
      </w:r>
      <w:r w:rsidR="006D2655">
        <w:rPr>
          <w:i/>
        </w:rPr>
        <w:t xml:space="preserve">US </w:t>
      </w:r>
      <w:r w:rsidRPr="00D56B60">
        <w:rPr>
          <w:i/>
        </w:rPr>
        <w:t>EIA (2011)</w:t>
      </w:r>
    </w:p>
    <w:p w:rsidR="0031683D" w:rsidRDefault="0031683D" w:rsidP="00184DC1">
      <w:r>
        <w:t>Legislativní rámec současné evropské politiky snižování energetické náročnosti určuje směrnice 2006/32/EC o konečné spotřebě energie a energetických službách, která byla přijata v souvislosti se strategií Evropa 2020, a směrnice o energetické účinnosti 2012/27/EU. Na jejich základě si pak jednotlivé státy určily národní indikativní cíle úspor energie na průměrné konečné spotřebě nebo spotřebě primárních energetických zdrojů. Směrnice také vyžadují implementaci v podobě Národních akčních plánů, které obsahují konkrétní nástroje k dosažení stanovených (národních) cílů. Obecně lze říci, že stupeň zvolených nástrojů se ve státech EU liší podle geografické polohy daného státu a jeho ekonomické vyspělosti. V podstatě všechny evropské státy se ale při snižování energetické náročnosti soustředí hlavně na energetický management budov (v průmyslu, službách, státním sektoru i sídlech), dopravy, zvyšování efektivity samotného sektoru energetiky (výroba a přenos energie) a v neposlední řadě na snížení energetické náročnosti domácích spotřebičů. Do budoucna lze předpokládat ještě zvýšený důraz EU na snižování energetické náročnosti ve formě stanovení dalších střednědobých cílů.</w:t>
      </w:r>
    </w:p>
    <w:p w:rsidR="00EF5D91" w:rsidRDefault="00EF5D91" w:rsidP="00184DC1">
      <w:pPr>
        <w:pStyle w:val="Titulek"/>
        <w:keepNext/>
        <w:spacing w:before="240" w:after="120"/>
      </w:pPr>
      <w:bookmarkStart w:id="973" w:name="_Toc396923147"/>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31</w:t>
      </w:r>
      <w:r w:rsidRPr="00EF5D91">
        <w:rPr>
          <w:b/>
        </w:rPr>
        <w:fldChar w:fldCharType="end"/>
      </w:r>
      <w:r w:rsidRPr="00EF5D91">
        <w:rPr>
          <w:b/>
        </w:rPr>
        <w:t xml:space="preserve">: </w:t>
      </w:r>
      <w:r w:rsidRPr="0092047B">
        <w:t>Elektroenergetická náročnost</w:t>
      </w:r>
      <w:r w:rsidR="00820754">
        <w:t xml:space="preserve"> tvorby HPH</w:t>
      </w:r>
      <w:r w:rsidRPr="0092047B">
        <w:t xml:space="preserve"> sektoru průmyslu</w:t>
      </w:r>
      <w:r w:rsidR="0054288D">
        <w:t xml:space="preserve"> v EU v roce 2011</w:t>
      </w:r>
      <w:bookmarkEnd w:id="973"/>
    </w:p>
    <w:p w:rsidR="00BA7E36" w:rsidRDefault="00BA7E36" w:rsidP="00184DC1">
      <w:pPr>
        <w:spacing w:before="120" w:after="120"/>
      </w:pPr>
      <w:r w:rsidRPr="0092047B">
        <w:rPr>
          <w:noProof/>
        </w:rPr>
        <w:drawing>
          <wp:inline distT="0" distB="0" distL="0" distR="0" wp14:anchorId="6B9CE743" wp14:editId="7D60F670">
            <wp:extent cx="5760000" cy="3780000"/>
            <wp:effectExtent l="0" t="0" r="12700" b="1143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4288D" w:rsidRPr="00D56B60" w:rsidRDefault="0054288D" w:rsidP="00184DC1">
      <w:pPr>
        <w:spacing w:before="120"/>
        <w:jc w:val="right"/>
        <w:rPr>
          <w:i/>
        </w:rPr>
      </w:pPr>
      <w:r w:rsidRPr="00D56B60">
        <w:rPr>
          <w:i/>
        </w:rPr>
        <w:t>Zdroj</w:t>
      </w:r>
      <w:r>
        <w:rPr>
          <w:i/>
        </w:rPr>
        <w:t>:</w:t>
      </w:r>
      <w:r w:rsidR="006D2655">
        <w:rPr>
          <w:i/>
        </w:rPr>
        <w:t xml:space="preserve"> Statistika IE</w:t>
      </w:r>
      <w:r w:rsidRPr="00D56B60">
        <w:rPr>
          <w:i/>
        </w:rPr>
        <w:t>A (2011)</w:t>
      </w:r>
    </w:p>
    <w:p w:rsidR="0054288D" w:rsidRPr="0092047B" w:rsidRDefault="0054288D" w:rsidP="00184DC1">
      <w:pPr>
        <w:spacing w:before="120"/>
      </w:pPr>
    </w:p>
    <w:p w:rsidR="00EF5D91" w:rsidRDefault="00EF5D91" w:rsidP="00184DC1">
      <w:pPr>
        <w:pStyle w:val="Titulek"/>
        <w:keepNext/>
        <w:spacing w:before="240" w:after="120"/>
      </w:pPr>
      <w:bookmarkStart w:id="974" w:name="_Toc396923148"/>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32</w:t>
      </w:r>
      <w:r w:rsidRPr="00EF5D91">
        <w:rPr>
          <w:b/>
        </w:rPr>
        <w:fldChar w:fldCharType="end"/>
      </w:r>
      <w:r w:rsidRPr="00EF5D91">
        <w:rPr>
          <w:b/>
        </w:rPr>
        <w:t xml:space="preserve">: </w:t>
      </w:r>
      <w:r w:rsidRPr="0092047B">
        <w:rPr>
          <w:szCs w:val="22"/>
        </w:rPr>
        <w:t>Energetická a elektroenergetická náročnost tvorby HPH</w:t>
      </w:r>
      <w:r w:rsidR="00B22FF4">
        <w:rPr>
          <w:szCs w:val="22"/>
        </w:rPr>
        <w:t xml:space="preserve"> ve stálých cenách</w:t>
      </w:r>
      <w:bookmarkEnd w:id="974"/>
    </w:p>
    <w:p w:rsidR="003F472D" w:rsidRPr="0092047B" w:rsidRDefault="003F472D" w:rsidP="00184DC1">
      <w:pPr>
        <w:spacing w:before="120"/>
      </w:pPr>
      <w:r w:rsidRPr="0092047B">
        <w:rPr>
          <w:b/>
          <w:noProof/>
        </w:rPr>
        <w:drawing>
          <wp:inline distT="0" distB="0" distL="0" distR="0" wp14:anchorId="0BDB25B2" wp14:editId="7141CCA4">
            <wp:extent cx="5760000" cy="3780000"/>
            <wp:effectExtent l="0" t="0" r="12700" b="11430"/>
            <wp:docPr id="94" name="Graf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F472D" w:rsidRPr="0092047B" w:rsidRDefault="003F472D" w:rsidP="00184DC1">
      <w:pPr>
        <w:rPr>
          <w:rFonts w:cstheme="minorHAnsi"/>
        </w:rPr>
      </w:pPr>
      <w:r w:rsidRPr="0092047B">
        <w:rPr>
          <w:rFonts w:cstheme="minorHAnsi"/>
        </w:rPr>
        <w:t xml:space="preserve">Z prognóz vývoje spotřeby energie a spotřeby elektřiny a na základě odhadu vývoje hrubé přidané hodnoty je vidět, že energetická náročnost tvorby HPH do roku 2040 postupně klesá až na cca </w:t>
      </w:r>
      <w:r w:rsidR="000010E0">
        <w:rPr>
          <w:rFonts w:cstheme="minorHAnsi"/>
        </w:rPr>
        <w:t>55</w:t>
      </w:r>
      <w:r w:rsidR="00AE673B" w:rsidRPr="0092047B">
        <w:rPr>
          <w:rFonts w:cstheme="minorHAnsi"/>
        </w:rPr>
        <w:t> </w:t>
      </w:r>
      <w:r w:rsidRPr="0092047B">
        <w:rPr>
          <w:rFonts w:cstheme="minorHAnsi"/>
        </w:rPr>
        <w:t>% stavu výchozího roku 2010, zatímco elektroenergetická náročnost tvorby HPH vykazuje, díky strukturálním změnám v mixu spotřeby energie, poněku</w:t>
      </w:r>
      <w:r w:rsidR="00C61FA2" w:rsidRPr="0092047B">
        <w:rPr>
          <w:rFonts w:cstheme="minorHAnsi"/>
        </w:rPr>
        <w:t xml:space="preserve">d pomalejší pokles jen na cca </w:t>
      </w:r>
      <w:r w:rsidR="000010E0">
        <w:rPr>
          <w:rFonts w:cstheme="minorHAnsi"/>
        </w:rPr>
        <w:t>7</w:t>
      </w:r>
      <w:r w:rsidR="00F40DEC">
        <w:rPr>
          <w:rFonts w:cstheme="minorHAnsi"/>
        </w:rPr>
        <w:t>5</w:t>
      </w:r>
      <w:r w:rsidR="00AE673B" w:rsidRPr="0092047B">
        <w:rPr>
          <w:rFonts w:cstheme="minorHAnsi"/>
        </w:rPr>
        <w:t> </w:t>
      </w:r>
      <w:r w:rsidRPr="0092047B">
        <w:rPr>
          <w:rFonts w:cstheme="minorHAnsi"/>
        </w:rPr>
        <w:t>% stavu výchozího roku.</w:t>
      </w:r>
    </w:p>
    <w:p w:rsidR="00EF5D91" w:rsidRDefault="00EF5D91" w:rsidP="00184DC1">
      <w:pPr>
        <w:pStyle w:val="Titulek"/>
        <w:keepNext/>
        <w:spacing w:before="240" w:after="120"/>
      </w:pPr>
      <w:bookmarkStart w:id="975" w:name="_Ref391889415"/>
      <w:bookmarkStart w:id="976" w:name="_Toc396923149"/>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33</w:t>
      </w:r>
      <w:r w:rsidRPr="00EF5D91">
        <w:rPr>
          <w:b/>
        </w:rPr>
        <w:fldChar w:fldCharType="end"/>
      </w:r>
      <w:bookmarkEnd w:id="975"/>
      <w:r w:rsidRPr="00EF5D91">
        <w:rPr>
          <w:b/>
        </w:rPr>
        <w:t>:</w:t>
      </w:r>
      <w:r>
        <w:t xml:space="preserve"> </w:t>
      </w:r>
      <w:r w:rsidRPr="0092047B">
        <w:t>Emise CO</w:t>
      </w:r>
      <w:r w:rsidRPr="0092047B">
        <w:rPr>
          <w:vertAlign w:val="subscript"/>
        </w:rPr>
        <w:t>2</w:t>
      </w:r>
      <w:r w:rsidRPr="0092047B">
        <w:t xml:space="preserve"> ze spalovacích procesů</w:t>
      </w:r>
      <w:bookmarkEnd w:id="976"/>
    </w:p>
    <w:p w:rsidR="00170F7B" w:rsidRPr="00170F7B" w:rsidRDefault="00170F7B" w:rsidP="00184DC1">
      <w:pPr>
        <w:spacing w:before="120" w:after="120"/>
      </w:pPr>
      <w:r>
        <w:rPr>
          <w:noProof/>
        </w:rPr>
        <w:drawing>
          <wp:inline distT="0" distB="0" distL="0" distR="0" wp14:anchorId="0454AB83" wp14:editId="3F4484B3">
            <wp:extent cx="5760000" cy="3726000"/>
            <wp:effectExtent l="0" t="0" r="12700" b="27305"/>
            <wp:docPr id="7169" name="Graf 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75CE3" w:rsidRPr="00820754" w:rsidRDefault="00231533" w:rsidP="00184DC1">
      <w:pPr>
        <w:spacing w:before="120"/>
        <w:rPr>
          <w:rFonts w:cstheme="minorHAnsi"/>
          <w:sz w:val="18"/>
          <w:szCs w:val="18"/>
        </w:rPr>
      </w:pPr>
      <w:r w:rsidRPr="00820754">
        <w:rPr>
          <w:rFonts w:cstheme="minorHAnsi"/>
          <w:i/>
          <w:sz w:val="18"/>
          <w:szCs w:val="18"/>
        </w:rPr>
        <w:t xml:space="preserve">Pozn.: </w:t>
      </w:r>
      <w:r w:rsidR="00F34678" w:rsidRPr="00820754">
        <w:rPr>
          <w:i/>
          <w:sz w:val="18"/>
          <w:szCs w:val="18"/>
        </w:rPr>
        <w:t>Pro emise CO</w:t>
      </w:r>
      <w:r w:rsidR="00F34678" w:rsidRPr="00820754">
        <w:rPr>
          <w:i/>
          <w:sz w:val="18"/>
          <w:szCs w:val="18"/>
          <w:vertAlign w:val="subscript"/>
        </w:rPr>
        <w:t>2</w:t>
      </w:r>
      <w:r w:rsidR="00F34678" w:rsidRPr="00820754">
        <w:rPr>
          <w:i/>
          <w:sz w:val="18"/>
          <w:szCs w:val="18"/>
        </w:rPr>
        <w:t xml:space="preserve"> nejsou stanoveny cíle pro jednotlivé země</w:t>
      </w:r>
      <w:r w:rsidR="00231EB7" w:rsidRPr="00820754">
        <w:rPr>
          <w:i/>
          <w:sz w:val="18"/>
          <w:szCs w:val="18"/>
        </w:rPr>
        <w:t xml:space="preserve"> EU</w:t>
      </w:r>
      <w:r w:rsidR="00F34678" w:rsidRPr="00820754">
        <w:rPr>
          <w:i/>
          <w:sz w:val="18"/>
          <w:szCs w:val="18"/>
        </w:rPr>
        <w:t xml:space="preserve">, ale pouze cíl pro EU jako celek. Uvedené linie jsou tedy vypočteny z hodnot cíle EU </w:t>
      </w:r>
      <w:r w:rsidR="00DC6DC1" w:rsidRPr="00820754">
        <w:rPr>
          <w:i/>
          <w:sz w:val="18"/>
          <w:szCs w:val="18"/>
        </w:rPr>
        <w:t xml:space="preserve">snížení emisí </w:t>
      </w:r>
      <w:r w:rsidR="00F34678" w:rsidRPr="00820754">
        <w:rPr>
          <w:i/>
          <w:sz w:val="18"/>
          <w:szCs w:val="18"/>
        </w:rPr>
        <w:t>do roku 2020</w:t>
      </w:r>
      <w:r w:rsidR="00DC6DC1" w:rsidRPr="00820754">
        <w:rPr>
          <w:i/>
          <w:sz w:val="18"/>
          <w:szCs w:val="18"/>
        </w:rPr>
        <w:t xml:space="preserve"> o 20 % oproti roku 1990 </w:t>
      </w:r>
      <w:r w:rsidR="00F34678" w:rsidRPr="00820754">
        <w:rPr>
          <w:i/>
          <w:sz w:val="18"/>
          <w:szCs w:val="18"/>
        </w:rPr>
        <w:t xml:space="preserve">a cíle EU </w:t>
      </w:r>
      <w:r w:rsidR="00DC6DC1" w:rsidRPr="00820754">
        <w:rPr>
          <w:i/>
          <w:sz w:val="18"/>
          <w:szCs w:val="18"/>
        </w:rPr>
        <w:t xml:space="preserve">snížení emisí </w:t>
      </w:r>
      <w:r w:rsidR="00F34678" w:rsidRPr="00820754">
        <w:rPr>
          <w:i/>
          <w:sz w:val="18"/>
          <w:szCs w:val="18"/>
        </w:rPr>
        <w:t>do roku 2030</w:t>
      </w:r>
      <w:r w:rsidR="00DC6DC1" w:rsidRPr="00820754">
        <w:rPr>
          <w:i/>
          <w:sz w:val="18"/>
          <w:szCs w:val="18"/>
        </w:rPr>
        <w:t xml:space="preserve"> o 40 % oproti roku 1990</w:t>
      </w:r>
      <w:r w:rsidR="00F34678" w:rsidRPr="00820754">
        <w:rPr>
          <w:i/>
          <w:sz w:val="18"/>
          <w:szCs w:val="18"/>
        </w:rPr>
        <w:t xml:space="preserve"> vztažených k hodnotě emisí ze spalovacích procesů na území </w:t>
      </w:r>
      <w:r w:rsidR="00DC6DC1" w:rsidRPr="00820754">
        <w:rPr>
          <w:i/>
          <w:sz w:val="18"/>
          <w:szCs w:val="18"/>
        </w:rPr>
        <w:t>České republiky.</w:t>
      </w:r>
    </w:p>
    <w:p w:rsidR="003F472D" w:rsidRDefault="003F472D" w:rsidP="005218D2">
      <w:pPr>
        <w:spacing w:after="120"/>
        <w:rPr>
          <w:rFonts w:cstheme="minorHAnsi"/>
        </w:rPr>
      </w:pPr>
      <w:r w:rsidRPr="0092047B">
        <w:rPr>
          <w:rFonts w:cstheme="minorHAnsi"/>
        </w:rPr>
        <w:t>Emise CO</w:t>
      </w:r>
      <w:r w:rsidRPr="0092047B">
        <w:rPr>
          <w:rFonts w:cstheme="minorHAnsi"/>
          <w:vertAlign w:val="subscript"/>
        </w:rPr>
        <w:t xml:space="preserve">2 </w:t>
      </w:r>
      <w:r w:rsidRPr="0092047B">
        <w:rPr>
          <w:rFonts w:cstheme="minorHAnsi"/>
        </w:rPr>
        <w:t>ve spalovacích procesech klesají ve sled</w:t>
      </w:r>
      <w:r w:rsidR="0088168F" w:rsidRPr="0092047B">
        <w:rPr>
          <w:rFonts w:cstheme="minorHAnsi"/>
        </w:rPr>
        <w:t>ovaném období do roku 2040 na 6</w:t>
      </w:r>
      <w:r w:rsidR="00E82E52">
        <w:rPr>
          <w:rFonts w:cstheme="minorHAnsi"/>
        </w:rPr>
        <w:t>2</w:t>
      </w:r>
      <w:r w:rsidRPr="0092047B">
        <w:rPr>
          <w:rFonts w:cstheme="minorHAnsi"/>
        </w:rPr>
        <w:t> % emisí v poro</w:t>
      </w:r>
      <w:r w:rsidR="0088168F" w:rsidRPr="0092047B">
        <w:rPr>
          <w:rFonts w:cstheme="minorHAnsi"/>
        </w:rPr>
        <w:t>vnání s rokem 2010 (potažmo 5</w:t>
      </w:r>
      <w:r w:rsidR="00E82E52">
        <w:rPr>
          <w:rFonts w:cstheme="minorHAnsi"/>
        </w:rPr>
        <w:t>7</w:t>
      </w:r>
      <w:r w:rsidRPr="0092047B">
        <w:rPr>
          <w:rFonts w:cstheme="minorHAnsi"/>
        </w:rPr>
        <w:t> % emisí roku 2000), což je dáno účinností směrnice o průmyslových emisích, snížením výroby elektrické energie z uhlí a jeho náhrad</w:t>
      </w:r>
      <w:r w:rsidR="006477DA">
        <w:rPr>
          <w:rFonts w:cstheme="minorHAnsi"/>
        </w:rPr>
        <w:t>ou</w:t>
      </w:r>
      <w:r w:rsidRPr="0092047B">
        <w:rPr>
          <w:rFonts w:cstheme="minorHAnsi"/>
        </w:rPr>
        <w:t xml:space="preserve"> dalšími zdroji - zemním plynem, biomasou, větrnými a fotovoltaickými zdroji. V návaznosti na mezinárodní závazky EU v ochraně klimatu může po roce 2040 dojít k razantnímu snižování emisí z důvodu útlumu využívání uhlí, zaváděním technologií CCS a rozsáhlejším přechodem na elektromobilitu doplněnou z části o pohon motorových vozidel s využitím CNG. Rychlejší přechod, než je naznačuje</w:t>
      </w:r>
      <w:r w:rsidR="00F419EA">
        <w:rPr>
          <w:rFonts w:cstheme="minorHAnsi"/>
        </w:rPr>
        <w:t xml:space="preserve"> </w:t>
      </w:r>
      <w:r w:rsidR="00F419EA" w:rsidRPr="00F419EA">
        <w:rPr>
          <w:rFonts w:cstheme="minorHAnsi"/>
        </w:rPr>
        <w:fldChar w:fldCharType="begin"/>
      </w:r>
      <w:r w:rsidR="00F419EA" w:rsidRPr="00F419EA">
        <w:rPr>
          <w:rFonts w:cstheme="minorHAnsi"/>
        </w:rPr>
        <w:instrText xml:space="preserve"> REF _Ref391889415 \h  \* MERGEFORMAT </w:instrText>
      </w:r>
      <w:r w:rsidR="00F419EA" w:rsidRPr="00F419EA">
        <w:rPr>
          <w:rFonts w:cstheme="minorHAnsi"/>
        </w:rPr>
      </w:r>
      <w:r w:rsidR="00F419EA" w:rsidRPr="00F419EA">
        <w:rPr>
          <w:rFonts w:cstheme="minorHAnsi"/>
        </w:rPr>
        <w:fldChar w:fldCharType="separate"/>
      </w:r>
      <w:r w:rsidR="0096423F" w:rsidRPr="0096423F">
        <w:t xml:space="preserve">Graf č. </w:t>
      </w:r>
      <w:r w:rsidR="0096423F" w:rsidRPr="0096423F">
        <w:rPr>
          <w:noProof/>
        </w:rPr>
        <w:t>33</w:t>
      </w:r>
      <w:r w:rsidR="00F419EA" w:rsidRPr="00F419EA">
        <w:rPr>
          <w:rFonts w:cstheme="minorHAnsi"/>
        </w:rPr>
        <w:fldChar w:fldCharType="end"/>
      </w:r>
      <w:r w:rsidRPr="0092047B">
        <w:rPr>
          <w:rFonts w:cstheme="minorHAnsi"/>
        </w:rPr>
        <w:t>, je ale možný pouze za cenu výrazně vyšších nákladů a dopadů na HDP.</w:t>
      </w:r>
    </w:p>
    <w:p w:rsidR="00B64895" w:rsidRDefault="00D57197" w:rsidP="00B64895">
      <w:pPr>
        <w:spacing w:after="120"/>
        <w:rPr>
          <w:rFonts w:cstheme="minorHAnsi"/>
        </w:rPr>
      </w:pPr>
      <w:r w:rsidRPr="00D57197">
        <w:rPr>
          <w:rFonts w:cstheme="minorHAnsi"/>
        </w:rPr>
        <w:t>Následující grafy zachycují vývoj emisí SO</w:t>
      </w:r>
      <w:r w:rsidRPr="00D57197">
        <w:rPr>
          <w:rFonts w:cstheme="minorHAnsi"/>
          <w:vertAlign w:val="subscript"/>
        </w:rPr>
        <w:t>2</w:t>
      </w:r>
      <w:r w:rsidRPr="00D57197">
        <w:rPr>
          <w:rFonts w:cstheme="minorHAnsi"/>
        </w:rPr>
        <w:t>, NO</w:t>
      </w:r>
      <w:r w:rsidRPr="00D57197">
        <w:rPr>
          <w:rFonts w:cstheme="minorHAnsi"/>
          <w:vertAlign w:val="subscript"/>
        </w:rPr>
        <w:t>x</w:t>
      </w:r>
      <w:r w:rsidRPr="00D57197">
        <w:rPr>
          <w:rFonts w:cstheme="minorHAnsi"/>
        </w:rPr>
        <w:t>, NH</w:t>
      </w:r>
      <w:r w:rsidRPr="00D57197">
        <w:rPr>
          <w:rFonts w:cstheme="minorHAnsi"/>
          <w:vertAlign w:val="subscript"/>
        </w:rPr>
        <w:t>3</w:t>
      </w:r>
      <w:r w:rsidRPr="00D57197">
        <w:rPr>
          <w:rFonts w:cstheme="minorHAnsi"/>
        </w:rPr>
        <w:t>, PM 2,5 a VOC na základě modelu GAINS, kterým disponuje ČHMÚ a který byl vypočten na základě vstupních dat ze strany MPO. Emise jsou vypočteny pouze do roku 2030 a odpovídají vývoji energetického sektoru a</w:t>
      </w:r>
      <w:r w:rsidR="00F40DEC">
        <w:rPr>
          <w:rFonts w:cstheme="minorHAnsi"/>
        </w:rPr>
        <w:t> </w:t>
      </w:r>
      <w:r w:rsidRPr="00D57197">
        <w:rPr>
          <w:rFonts w:cstheme="minorHAnsi"/>
        </w:rPr>
        <w:t>průmyslu podle optimalizovaného scénáře uvedeného v tomto dokumentu.</w:t>
      </w:r>
      <w:r w:rsidR="00262E2B">
        <w:rPr>
          <w:rFonts w:cstheme="minorHAnsi"/>
        </w:rPr>
        <w:t xml:space="preserve"> Cíle pro rok 2030 znázorněné v jednotlivých grafech představují relativní hodnoty emisních stropů, platné k srpnu 2014, navržené na základě aktuálních hodnot přepočtu emisí pro rok 2005, které ještě mohou podléhat rekalkulacím v důsledku zvyšování znalostí emisní inventury.</w:t>
      </w:r>
    </w:p>
    <w:p w:rsidR="00EF5D91" w:rsidRDefault="00EF5D91" w:rsidP="00184DC1">
      <w:pPr>
        <w:pStyle w:val="Titulek"/>
        <w:keepNext/>
        <w:spacing w:before="240" w:after="120"/>
      </w:pPr>
      <w:bookmarkStart w:id="977" w:name="_Toc396923150"/>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34</w:t>
      </w:r>
      <w:r w:rsidRPr="00EF5D91">
        <w:rPr>
          <w:b/>
        </w:rPr>
        <w:fldChar w:fldCharType="end"/>
      </w:r>
      <w:r w:rsidRPr="00EF5D91">
        <w:rPr>
          <w:b/>
        </w:rPr>
        <w:t>:</w:t>
      </w:r>
      <w:r>
        <w:t xml:space="preserve"> </w:t>
      </w:r>
      <w:r w:rsidRPr="0001751A">
        <w:rPr>
          <w:szCs w:val="22"/>
        </w:rPr>
        <w:t>Vývoj emisí SO</w:t>
      </w:r>
      <w:r w:rsidRPr="0001751A">
        <w:rPr>
          <w:szCs w:val="22"/>
          <w:vertAlign w:val="subscript"/>
        </w:rPr>
        <w:t>2</w:t>
      </w:r>
      <w:bookmarkEnd w:id="977"/>
    </w:p>
    <w:p w:rsidR="002400C2" w:rsidRPr="008A47CD" w:rsidRDefault="002400C2" w:rsidP="00184DC1">
      <w:pPr>
        <w:spacing w:before="120" w:after="0"/>
      </w:pPr>
      <w:r>
        <w:rPr>
          <w:noProof/>
        </w:rPr>
        <w:drawing>
          <wp:inline distT="0" distB="0" distL="0" distR="0" wp14:anchorId="42A3A523" wp14:editId="1B030EF4">
            <wp:extent cx="5760000" cy="3600000"/>
            <wp:effectExtent l="0" t="0" r="12700" b="19685"/>
            <wp:docPr id="7198" name="Graf 7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400C2" w:rsidRDefault="002400C2" w:rsidP="00184DC1">
      <w:pPr>
        <w:spacing w:before="120"/>
        <w:jc w:val="right"/>
        <w:rPr>
          <w:i/>
        </w:rPr>
      </w:pPr>
      <w:r w:rsidRPr="008A47CD">
        <w:rPr>
          <w:i/>
        </w:rPr>
        <w:t xml:space="preserve">Zdroj: </w:t>
      </w:r>
      <w:r>
        <w:rPr>
          <w:i/>
        </w:rPr>
        <w:t>Model GAINS (ČHMÚ)</w:t>
      </w:r>
      <w:r w:rsidR="00060108">
        <w:rPr>
          <w:i/>
        </w:rPr>
        <w:t xml:space="preserve"> </w:t>
      </w:r>
      <w:r>
        <w:rPr>
          <w:i/>
        </w:rPr>
        <w:t>na základě dat</w:t>
      </w:r>
      <w:r w:rsidRPr="008A47CD">
        <w:rPr>
          <w:i/>
        </w:rPr>
        <w:t xml:space="preserve"> MPO</w:t>
      </w:r>
    </w:p>
    <w:p w:rsidR="00EF5D91" w:rsidRDefault="00EF5D91" w:rsidP="00184DC1">
      <w:pPr>
        <w:pStyle w:val="Titulek"/>
        <w:keepNext/>
        <w:spacing w:after="120"/>
      </w:pPr>
      <w:bookmarkStart w:id="978" w:name="_Toc396923151"/>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35</w:t>
      </w:r>
      <w:r w:rsidRPr="00EF5D91">
        <w:rPr>
          <w:b/>
        </w:rPr>
        <w:fldChar w:fldCharType="end"/>
      </w:r>
      <w:r w:rsidRPr="00EF5D91">
        <w:rPr>
          <w:b/>
        </w:rPr>
        <w:t xml:space="preserve">: </w:t>
      </w:r>
      <w:r w:rsidRPr="0001751A">
        <w:rPr>
          <w:szCs w:val="22"/>
        </w:rPr>
        <w:t>Vývoj emisí NO</w:t>
      </w:r>
      <w:r w:rsidRPr="0001751A">
        <w:rPr>
          <w:szCs w:val="22"/>
          <w:vertAlign w:val="subscript"/>
        </w:rPr>
        <w:t>X</w:t>
      </w:r>
      <w:bookmarkEnd w:id="978"/>
    </w:p>
    <w:p w:rsidR="002400C2" w:rsidRPr="008A47CD" w:rsidRDefault="00C14D4C" w:rsidP="00184DC1">
      <w:pPr>
        <w:spacing w:before="120" w:after="120"/>
      </w:pPr>
      <w:r>
        <w:rPr>
          <w:noProof/>
        </w:rPr>
        <w:drawing>
          <wp:inline distT="0" distB="0" distL="0" distR="0" wp14:anchorId="5F6154F2" wp14:editId="3404AB7F">
            <wp:extent cx="5760000" cy="3600000"/>
            <wp:effectExtent l="0" t="0" r="12700" b="19685"/>
            <wp:docPr id="289" name="Graf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400C2" w:rsidRDefault="002400C2" w:rsidP="00184DC1">
      <w:pPr>
        <w:spacing w:before="120" w:after="120"/>
        <w:jc w:val="right"/>
        <w:rPr>
          <w:i/>
        </w:rPr>
      </w:pPr>
      <w:r w:rsidRPr="008A47CD">
        <w:rPr>
          <w:i/>
        </w:rPr>
        <w:t xml:space="preserve">Zdroj: </w:t>
      </w:r>
      <w:r>
        <w:rPr>
          <w:i/>
        </w:rPr>
        <w:t>Model GAINS (ČHMÚ)</w:t>
      </w:r>
      <w:r w:rsidR="00A410D2">
        <w:rPr>
          <w:i/>
        </w:rPr>
        <w:t xml:space="preserve"> </w:t>
      </w:r>
      <w:r>
        <w:rPr>
          <w:i/>
        </w:rPr>
        <w:t>na základě dat</w:t>
      </w:r>
      <w:r w:rsidRPr="008A47CD">
        <w:rPr>
          <w:i/>
        </w:rPr>
        <w:t xml:space="preserve"> MPO</w:t>
      </w:r>
    </w:p>
    <w:p w:rsidR="00C14D4C" w:rsidRDefault="00C14D4C" w:rsidP="00184DC1">
      <w:pPr>
        <w:pStyle w:val="Titulek"/>
        <w:keepNext/>
        <w:spacing w:before="240" w:after="120"/>
      </w:pPr>
      <w:bookmarkStart w:id="979" w:name="_Toc396923152"/>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36</w:t>
      </w:r>
      <w:r w:rsidRPr="00EF5D91">
        <w:rPr>
          <w:b/>
        </w:rPr>
        <w:fldChar w:fldCharType="end"/>
      </w:r>
      <w:r w:rsidRPr="00EF5D91">
        <w:rPr>
          <w:b/>
        </w:rPr>
        <w:t xml:space="preserve">: </w:t>
      </w:r>
      <w:r w:rsidRPr="0001751A">
        <w:rPr>
          <w:szCs w:val="22"/>
        </w:rPr>
        <w:t>Vývoj emisí VOC</w:t>
      </w:r>
      <w:bookmarkEnd w:id="979"/>
    </w:p>
    <w:p w:rsidR="00C14D4C" w:rsidRPr="008A47CD" w:rsidRDefault="00C14D4C" w:rsidP="00184DC1">
      <w:pPr>
        <w:spacing w:before="120" w:after="120"/>
      </w:pPr>
      <w:r>
        <w:rPr>
          <w:noProof/>
        </w:rPr>
        <w:drawing>
          <wp:inline distT="0" distB="0" distL="0" distR="0" wp14:anchorId="3233E9F9" wp14:editId="0CA3D033">
            <wp:extent cx="5760000" cy="3600000"/>
            <wp:effectExtent l="0" t="0" r="12700" b="19685"/>
            <wp:docPr id="317" name="Graf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14D4C" w:rsidRPr="008A47CD" w:rsidRDefault="00C14D4C" w:rsidP="00184DC1">
      <w:pPr>
        <w:spacing w:before="120"/>
        <w:jc w:val="right"/>
        <w:rPr>
          <w:i/>
        </w:rPr>
      </w:pPr>
      <w:r w:rsidRPr="008A47CD">
        <w:rPr>
          <w:i/>
        </w:rPr>
        <w:t xml:space="preserve">Zdroj: </w:t>
      </w:r>
      <w:r>
        <w:rPr>
          <w:i/>
        </w:rPr>
        <w:t>Model GAINS (ČHMÚ)na základě dat</w:t>
      </w:r>
      <w:r w:rsidRPr="008A47CD">
        <w:rPr>
          <w:i/>
        </w:rPr>
        <w:t xml:space="preserve"> MPO</w:t>
      </w:r>
    </w:p>
    <w:p w:rsidR="00EF5D91" w:rsidRDefault="00EF5D91" w:rsidP="00184DC1">
      <w:pPr>
        <w:pStyle w:val="Titulek"/>
        <w:keepNext/>
        <w:spacing w:before="240" w:after="120"/>
      </w:pPr>
      <w:bookmarkStart w:id="980" w:name="_Toc396923153"/>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37</w:t>
      </w:r>
      <w:r w:rsidRPr="00EF5D91">
        <w:rPr>
          <w:b/>
        </w:rPr>
        <w:fldChar w:fldCharType="end"/>
      </w:r>
      <w:r w:rsidRPr="00EF5D91">
        <w:rPr>
          <w:b/>
        </w:rPr>
        <w:t xml:space="preserve">: </w:t>
      </w:r>
      <w:r w:rsidRPr="0001751A">
        <w:rPr>
          <w:szCs w:val="22"/>
        </w:rPr>
        <w:t>Vývoj emisí NH</w:t>
      </w:r>
      <w:r w:rsidRPr="0001751A">
        <w:rPr>
          <w:szCs w:val="22"/>
          <w:vertAlign w:val="subscript"/>
        </w:rPr>
        <w:t>3</w:t>
      </w:r>
      <w:bookmarkEnd w:id="980"/>
    </w:p>
    <w:p w:rsidR="002400C2" w:rsidRPr="008A47CD" w:rsidRDefault="00C14D4C" w:rsidP="00184DC1">
      <w:pPr>
        <w:spacing w:before="120" w:after="120"/>
      </w:pPr>
      <w:r>
        <w:rPr>
          <w:noProof/>
        </w:rPr>
        <w:drawing>
          <wp:inline distT="0" distB="0" distL="0" distR="0" wp14:anchorId="0376E6BC" wp14:editId="037E623D">
            <wp:extent cx="5760000" cy="3600000"/>
            <wp:effectExtent l="0" t="0" r="12700" b="19685"/>
            <wp:docPr id="313" name="Graf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400C2" w:rsidRPr="008A47CD" w:rsidRDefault="002400C2" w:rsidP="00184DC1">
      <w:pPr>
        <w:spacing w:before="120" w:after="120"/>
        <w:jc w:val="right"/>
        <w:rPr>
          <w:i/>
        </w:rPr>
      </w:pPr>
      <w:r w:rsidRPr="008A47CD">
        <w:rPr>
          <w:i/>
        </w:rPr>
        <w:t xml:space="preserve">Zdroj: </w:t>
      </w:r>
      <w:r>
        <w:rPr>
          <w:i/>
        </w:rPr>
        <w:t>Model GAINS (ČHMÚ)na základě dat</w:t>
      </w:r>
      <w:r w:rsidRPr="008A47CD">
        <w:rPr>
          <w:i/>
        </w:rPr>
        <w:t xml:space="preserve"> MPO</w:t>
      </w:r>
    </w:p>
    <w:p w:rsidR="00EF5D91" w:rsidRDefault="00EF5D91" w:rsidP="00184DC1">
      <w:pPr>
        <w:pStyle w:val="Titulek"/>
        <w:keepNext/>
        <w:spacing w:before="240" w:after="120"/>
      </w:pPr>
      <w:bookmarkStart w:id="981" w:name="_Toc396923154"/>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38</w:t>
      </w:r>
      <w:r w:rsidRPr="00EF5D91">
        <w:rPr>
          <w:b/>
        </w:rPr>
        <w:fldChar w:fldCharType="end"/>
      </w:r>
      <w:r w:rsidRPr="00EF5D91">
        <w:rPr>
          <w:b/>
        </w:rPr>
        <w:t xml:space="preserve">: </w:t>
      </w:r>
      <w:r w:rsidRPr="0001751A">
        <w:rPr>
          <w:szCs w:val="22"/>
        </w:rPr>
        <w:t>Vývoj emisí PM</w:t>
      </w:r>
      <w:r w:rsidR="00C4280D" w:rsidRPr="0001751A">
        <w:rPr>
          <w:szCs w:val="22"/>
        </w:rPr>
        <w:t xml:space="preserve"> </w:t>
      </w:r>
      <w:r w:rsidRPr="0001751A">
        <w:rPr>
          <w:szCs w:val="22"/>
        </w:rPr>
        <w:t>2,5</w:t>
      </w:r>
      <w:bookmarkEnd w:id="981"/>
    </w:p>
    <w:p w:rsidR="002400C2" w:rsidRPr="008A47CD" w:rsidRDefault="00C14D4C" w:rsidP="00184DC1">
      <w:pPr>
        <w:spacing w:before="120" w:after="120"/>
      </w:pPr>
      <w:r>
        <w:rPr>
          <w:noProof/>
        </w:rPr>
        <w:drawing>
          <wp:inline distT="0" distB="0" distL="0" distR="0" wp14:anchorId="228B6A85" wp14:editId="5982382C">
            <wp:extent cx="5760000" cy="3600000"/>
            <wp:effectExtent l="0" t="0" r="12700" b="19685"/>
            <wp:docPr id="314" name="Graf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400C2" w:rsidRDefault="002400C2" w:rsidP="00184DC1">
      <w:pPr>
        <w:spacing w:before="120"/>
        <w:jc w:val="right"/>
        <w:rPr>
          <w:i/>
        </w:rPr>
      </w:pPr>
      <w:r w:rsidRPr="008A47CD">
        <w:rPr>
          <w:i/>
        </w:rPr>
        <w:t xml:space="preserve">Zdroj: </w:t>
      </w:r>
      <w:r>
        <w:rPr>
          <w:i/>
        </w:rPr>
        <w:t>Model GAINS (ČHMÚ)na základě dat</w:t>
      </w:r>
      <w:r w:rsidRPr="008A47CD">
        <w:rPr>
          <w:i/>
        </w:rPr>
        <w:t xml:space="preserve"> MPO</w:t>
      </w:r>
    </w:p>
    <w:p w:rsidR="00EF5D91" w:rsidRDefault="00EF5D91" w:rsidP="00184DC1">
      <w:pPr>
        <w:pStyle w:val="Titulek"/>
        <w:keepNext/>
        <w:spacing w:before="240" w:after="120"/>
      </w:pPr>
      <w:bookmarkStart w:id="982" w:name="_Toc396923155"/>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39</w:t>
      </w:r>
      <w:r w:rsidRPr="00EF5D91">
        <w:rPr>
          <w:b/>
        </w:rPr>
        <w:fldChar w:fldCharType="end"/>
      </w:r>
      <w:r w:rsidRPr="00EF5D91">
        <w:rPr>
          <w:b/>
        </w:rPr>
        <w:t xml:space="preserve">: </w:t>
      </w:r>
      <w:r w:rsidRPr="0092047B">
        <w:t>Závislost na fosilních palivech</w:t>
      </w:r>
      <w:bookmarkEnd w:id="982"/>
    </w:p>
    <w:p w:rsidR="003F472D" w:rsidRPr="0092047B" w:rsidRDefault="003F472D" w:rsidP="00184DC1">
      <w:pPr>
        <w:spacing w:before="120"/>
      </w:pPr>
      <w:r w:rsidRPr="0092047B">
        <w:rPr>
          <w:noProof/>
        </w:rPr>
        <w:drawing>
          <wp:inline distT="0" distB="0" distL="0" distR="0" wp14:anchorId="73B1D13D" wp14:editId="07B50886">
            <wp:extent cx="5760000" cy="3780000"/>
            <wp:effectExtent l="0" t="0" r="12700" b="11430"/>
            <wp:docPr id="97" name="Graf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F472D" w:rsidRPr="0092047B" w:rsidRDefault="003F472D" w:rsidP="00184DC1">
      <w:pPr>
        <w:rPr>
          <w:szCs w:val="22"/>
        </w:rPr>
      </w:pPr>
      <w:r w:rsidRPr="0092047B">
        <w:rPr>
          <w:rFonts w:cstheme="minorHAnsi"/>
        </w:rPr>
        <w:t>Ukazatel závislosti na fosilních palivech, který je vyjádřen podílem celkových (tuzemských i</w:t>
      </w:r>
      <w:r w:rsidR="008813B5">
        <w:rPr>
          <w:rFonts w:cstheme="minorHAnsi"/>
        </w:rPr>
        <w:t> </w:t>
      </w:r>
      <w:r w:rsidRPr="0092047B">
        <w:rPr>
          <w:rFonts w:cstheme="minorHAnsi"/>
        </w:rPr>
        <w:t>dovážených) fosilních paliv na primárních zdrojích energie, bude dle předpokladů postupně klesat řádově na úroveň 5</w:t>
      </w:r>
      <w:r w:rsidR="00E713AA">
        <w:rPr>
          <w:rFonts w:cstheme="minorHAnsi"/>
        </w:rPr>
        <w:t>6</w:t>
      </w:r>
      <w:r w:rsidRPr="0092047B">
        <w:rPr>
          <w:rFonts w:cstheme="minorHAnsi"/>
        </w:rPr>
        <w:t> % v roce 2040. Tento trend je jednoznačně dán klesajícím využitím hnědého a černého uhlí pro výrobu elektřiny a tepla.</w:t>
      </w:r>
    </w:p>
    <w:p w:rsidR="00EF5D91" w:rsidRDefault="00EF5D91" w:rsidP="00184DC1">
      <w:pPr>
        <w:pStyle w:val="Titulek"/>
        <w:keepNext/>
        <w:spacing w:before="240" w:after="120"/>
      </w:pPr>
      <w:bookmarkStart w:id="983" w:name="_Toc396923156"/>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40</w:t>
      </w:r>
      <w:r w:rsidRPr="00EF5D91">
        <w:rPr>
          <w:b/>
        </w:rPr>
        <w:fldChar w:fldCharType="end"/>
      </w:r>
      <w:r w:rsidRPr="00EF5D91">
        <w:rPr>
          <w:b/>
        </w:rPr>
        <w:t>:</w:t>
      </w:r>
      <w:r>
        <w:t xml:space="preserve"> </w:t>
      </w:r>
      <w:r w:rsidRPr="0092047B">
        <w:t>Podíl OZE na hrubé konečné spotřebě</w:t>
      </w:r>
      <w:bookmarkEnd w:id="983"/>
    </w:p>
    <w:p w:rsidR="003F472D" w:rsidRPr="0092047B" w:rsidRDefault="003F472D" w:rsidP="00184DC1">
      <w:pPr>
        <w:spacing w:before="120"/>
      </w:pPr>
      <w:r w:rsidRPr="0092047B">
        <w:rPr>
          <w:noProof/>
        </w:rPr>
        <w:drawing>
          <wp:inline distT="0" distB="0" distL="0" distR="0" wp14:anchorId="4714BDCB" wp14:editId="01C1E8AB">
            <wp:extent cx="5760000" cy="3780000"/>
            <wp:effectExtent l="0" t="0" r="12700" b="11430"/>
            <wp:docPr id="98" name="Graf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F472D" w:rsidRPr="0092047B" w:rsidRDefault="003F472D" w:rsidP="00184DC1">
      <w:pPr>
        <w:rPr>
          <w:szCs w:val="22"/>
        </w:rPr>
      </w:pPr>
      <w:r w:rsidRPr="0092047B">
        <w:rPr>
          <w:rFonts w:cstheme="minorHAnsi"/>
        </w:rPr>
        <w:t>Fosilní zdroje energie budou v konečné spotřebě energie částečně nahrazeny obnovitelnými zdroji, jejichž podíl se tak bude postupně zvyšovat až na hodnotu přesahující 21 % hrubé konečné spotřeby.</w:t>
      </w:r>
    </w:p>
    <w:p w:rsidR="00EF5D91" w:rsidRDefault="00EF5D91" w:rsidP="00184DC1">
      <w:pPr>
        <w:pStyle w:val="Titulek"/>
        <w:keepNext/>
        <w:spacing w:before="240" w:after="120"/>
        <w:rPr>
          <w:szCs w:val="22"/>
        </w:rPr>
      </w:pPr>
      <w:bookmarkStart w:id="984" w:name="_Toc396923157"/>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41</w:t>
      </w:r>
      <w:r w:rsidRPr="00EF5D91">
        <w:rPr>
          <w:b/>
        </w:rPr>
        <w:fldChar w:fldCharType="end"/>
      </w:r>
      <w:r w:rsidRPr="00EF5D91">
        <w:rPr>
          <w:b/>
        </w:rPr>
        <w:t>:</w:t>
      </w:r>
      <w:r>
        <w:t xml:space="preserve"> </w:t>
      </w:r>
      <w:r w:rsidRPr="0092047B">
        <w:rPr>
          <w:szCs w:val="22"/>
        </w:rPr>
        <w:t>Spotřeba elektřiny na obyvatele</w:t>
      </w:r>
      <w:r w:rsidR="00A410D2">
        <w:rPr>
          <w:szCs w:val="22"/>
        </w:rPr>
        <w:t xml:space="preserve"> v EU v roce 2011</w:t>
      </w:r>
      <w:bookmarkEnd w:id="984"/>
    </w:p>
    <w:p w:rsidR="003F472D" w:rsidRDefault="00BC253A" w:rsidP="00184DC1">
      <w:pPr>
        <w:spacing w:before="120" w:after="120"/>
      </w:pPr>
      <w:r w:rsidRPr="0092047B">
        <w:rPr>
          <w:noProof/>
        </w:rPr>
        <w:drawing>
          <wp:inline distT="0" distB="0" distL="0" distR="0" wp14:anchorId="0707AC62" wp14:editId="4C6CF149">
            <wp:extent cx="5760000" cy="3780000"/>
            <wp:effectExtent l="0" t="0" r="12700" b="1143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410D2" w:rsidRPr="00A410D2" w:rsidRDefault="00A410D2" w:rsidP="00184DC1">
      <w:pPr>
        <w:spacing w:before="120"/>
        <w:jc w:val="right"/>
        <w:rPr>
          <w:i/>
        </w:rPr>
      </w:pPr>
      <w:r>
        <w:rPr>
          <w:i/>
        </w:rPr>
        <w:t>Zdroj: Statistika IEA (2011)</w:t>
      </w:r>
    </w:p>
    <w:p w:rsidR="008813B5" w:rsidRDefault="008813B5" w:rsidP="005218D2">
      <w:pPr>
        <w:spacing w:after="120"/>
      </w:pPr>
      <w:r>
        <w:t>Všechny členské</w:t>
      </w:r>
      <w:r w:rsidRPr="008813B5">
        <w:t xml:space="preserve"> země EU </w:t>
      </w:r>
      <w:r>
        <w:t>s</w:t>
      </w:r>
      <w:r w:rsidRPr="008813B5">
        <w:t xml:space="preserve"> výjimkou Německa předpokládávají nárůst spotřeby elektrické energie </w:t>
      </w:r>
      <w:r>
        <w:t>v souvislosti s</w:t>
      </w:r>
      <w:r w:rsidRPr="008813B5">
        <w:t xml:space="preserve"> náročný</w:t>
      </w:r>
      <w:r>
        <w:t>mi</w:t>
      </w:r>
      <w:r w:rsidRPr="008813B5">
        <w:t xml:space="preserve"> požadavk</w:t>
      </w:r>
      <w:r>
        <w:t>y</w:t>
      </w:r>
      <w:r w:rsidRPr="008813B5">
        <w:t xml:space="preserve"> na ekologizaci a dekarbonizaci svých </w:t>
      </w:r>
      <w:r w:rsidR="00BB09FE">
        <w:t>především energetických sektorů</w:t>
      </w:r>
      <w:r w:rsidRPr="008813B5">
        <w:t xml:space="preserve"> a také </w:t>
      </w:r>
      <w:r>
        <w:t xml:space="preserve">s ohledem na </w:t>
      </w:r>
      <w:r w:rsidR="00BB09FE">
        <w:t>pokračující</w:t>
      </w:r>
      <w:r w:rsidRPr="008813B5">
        <w:t xml:space="preserve"> hospodářský rozvoj. Konkrétně v Německu c</w:t>
      </w:r>
      <w:r>
        <w:t>elková spotřeba elektřiny rostla průměrným tempem 0,7% ročně v letech 2000-2011, i když vyšším tempem před recesí. Podle predikcí německé vlády by celková spotřeba elektrické energie mezi roky 2012-2030 měla klesnout celkem o 14,7</w:t>
      </w:r>
      <w:r w:rsidR="00BB09FE">
        <w:t> </w:t>
      </w:r>
      <w:r>
        <w:t>% (pokles spotřeby v sektoru průmyslu, služeb i domácností vlivem energetické účinnosti, naopak růst spotřeby v dopravě téměř o 100</w:t>
      </w:r>
      <w:r w:rsidR="00BB09FE">
        <w:t> </w:t>
      </w:r>
      <w:r>
        <w:t>%).</w:t>
      </w:r>
    </w:p>
    <w:p w:rsidR="008813B5" w:rsidRDefault="00695DED" w:rsidP="005218D2">
      <w:pPr>
        <w:spacing w:after="120"/>
      </w:pPr>
      <w:r>
        <w:t>V roce 2010 byla h</w:t>
      </w:r>
      <w:r w:rsidR="008813B5">
        <w:t xml:space="preserve">rubá výroba elektrické energie Itálie </w:t>
      </w:r>
      <w:r>
        <w:t>na úrovni</w:t>
      </w:r>
      <w:r w:rsidR="008813B5">
        <w:t xml:space="preserve"> 346 TWh</w:t>
      </w:r>
      <w:r w:rsidR="00BB09FE">
        <w:t>.</w:t>
      </w:r>
      <w:r w:rsidR="008813B5">
        <w:t xml:space="preserve"> </w:t>
      </w:r>
      <w:r w:rsidR="00BB09FE">
        <w:t>V</w:t>
      </w:r>
      <w:r w:rsidR="008813B5">
        <w:t xml:space="preserve"> roce 2020 by se </w:t>
      </w:r>
      <w:r w:rsidR="00BB09FE">
        <w:t>pak měla podle prognóz pohybovat</w:t>
      </w:r>
      <w:r w:rsidR="008813B5">
        <w:t xml:space="preserve"> mezi 345-360 TWh. </w:t>
      </w:r>
      <w:r>
        <w:t>V tomto ohledu se p</w:t>
      </w:r>
      <w:r w:rsidR="008813B5">
        <w:t xml:space="preserve">ředpokládá </w:t>
      </w:r>
      <w:r>
        <w:t xml:space="preserve">významně vyšší využití elektrické energie v </w:t>
      </w:r>
      <w:r w:rsidR="008813B5">
        <w:t>energetické</w:t>
      </w:r>
      <w:r>
        <w:t>m</w:t>
      </w:r>
      <w:r w:rsidR="008813B5">
        <w:t xml:space="preserve"> sektoru </w:t>
      </w:r>
      <w:r w:rsidR="00BB09FE">
        <w:t xml:space="preserve">a </w:t>
      </w:r>
      <w:r w:rsidR="008813B5">
        <w:t>zdvojnásobení dnešní spotřeby elektřiny do r</w:t>
      </w:r>
      <w:r>
        <w:t>oku</w:t>
      </w:r>
      <w:r w:rsidR="008813B5">
        <w:t xml:space="preserve"> 2050.</w:t>
      </w:r>
      <w:r w:rsidR="008813B5">
        <w:rPr>
          <w:rStyle w:val="Znakapoznpodarou"/>
        </w:rPr>
        <w:footnoteReference w:id="25"/>
      </w:r>
    </w:p>
    <w:p w:rsidR="008813B5" w:rsidRDefault="008813B5" w:rsidP="005218D2">
      <w:pPr>
        <w:spacing w:after="120"/>
      </w:pPr>
      <w:r w:rsidRPr="00BB09FE">
        <w:t>Slovenská republika ve své Státní energetické koncepci p</w:t>
      </w:r>
      <w:r>
        <w:t xml:space="preserve">odle referenčního scénáře předpokládá růst konečné energetické spotřeby do roku 2035. Spotřeba elektrické energie mezi roky 2014-2035 je zpracována ve 3 scénářích, kdy </w:t>
      </w:r>
      <w:r>
        <w:rPr>
          <w:i/>
        </w:rPr>
        <w:t xml:space="preserve">i) </w:t>
      </w:r>
      <w:r>
        <w:t xml:space="preserve">nízký scénář předpokládá značné zpomalení hospodářského rozvoje a růstu HDP + nízký meziroční růst spotřeby elektřiny ve výši 0,6%, </w:t>
      </w:r>
      <w:r>
        <w:rPr>
          <w:i/>
        </w:rPr>
        <w:t xml:space="preserve">ii) </w:t>
      </w:r>
      <w:r>
        <w:t xml:space="preserve">referenční scénář mírný růst dynamiky hospodářství a meziroční růst spotřeby na úrovni 1,2 % a </w:t>
      </w:r>
      <w:r>
        <w:rPr>
          <w:i/>
        </w:rPr>
        <w:t xml:space="preserve">iii) </w:t>
      </w:r>
      <w:r>
        <w:t>vysoký scénář zrychlení hospodářského růstu a meziroční růst spotřeby ve výši 1,4 %</w:t>
      </w:r>
      <w:r w:rsidRPr="005218D2">
        <w:t>.</w:t>
      </w:r>
    </w:p>
    <w:p w:rsidR="008813B5" w:rsidRDefault="008813B5" w:rsidP="00184DC1">
      <w:r>
        <w:t xml:space="preserve">Podle posledních analýz </w:t>
      </w:r>
      <w:r w:rsidRPr="00BB09FE">
        <w:rPr>
          <w:i/>
        </w:rPr>
        <w:t>Department of Energy &amp; Climate Change</w:t>
      </w:r>
      <w:r>
        <w:t xml:space="preserve"> by poptávka po elektrické energii ve Velké Británii měla vzrůst mezi 30 % až 100 % do roku 2050. </w:t>
      </w:r>
      <w:r>
        <w:rPr>
          <w:rStyle w:val="Znakapoznpodarou"/>
        </w:rPr>
        <w:footnoteReference w:id="26"/>
      </w:r>
    </w:p>
    <w:p w:rsidR="00EF5D91" w:rsidRDefault="00EF5D91" w:rsidP="00184DC1">
      <w:pPr>
        <w:pStyle w:val="Titulek"/>
        <w:keepNext/>
        <w:spacing w:before="240" w:after="120"/>
      </w:pPr>
      <w:bookmarkStart w:id="985" w:name="_Ref391889492"/>
      <w:bookmarkStart w:id="986" w:name="_Toc396923158"/>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42</w:t>
      </w:r>
      <w:r w:rsidRPr="00EF5D91">
        <w:rPr>
          <w:b/>
        </w:rPr>
        <w:fldChar w:fldCharType="end"/>
      </w:r>
      <w:bookmarkEnd w:id="985"/>
      <w:r w:rsidRPr="00EF5D91">
        <w:rPr>
          <w:b/>
        </w:rPr>
        <w:t xml:space="preserve">: </w:t>
      </w:r>
      <w:r w:rsidRPr="0092047B">
        <w:rPr>
          <w:szCs w:val="22"/>
        </w:rPr>
        <w:t>Spotřeba elektřiny na obyvatele a vývoj počtu obyvatel</w:t>
      </w:r>
      <w:bookmarkEnd w:id="986"/>
    </w:p>
    <w:p w:rsidR="003F472D" w:rsidRPr="0092047B" w:rsidRDefault="003F472D" w:rsidP="00184DC1">
      <w:pPr>
        <w:spacing w:before="120"/>
        <w:rPr>
          <w:rFonts w:cstheme="minorHAnsi"/>
        </w:rPr>
      </w:pPr>
      <w:r w:rsidRPr="0092047B">
        <w:rPr>
          <w:rFonts w:cstheme="minorHAnsi"/>
          <w:noProof/>
        </w:rPr>
        <w:drawing>
          <wp:inline distT="0" distB="0" distL="0" distR="0" wp14:anchorId="0A716B82" wp14:editId="3C36174B">
            <wp:extent cx="5760000" cy="3780000"/>
            <wp:effectExtent l="0" t="0" r="12700" b="1143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F472D" w:rsidRDefault="003F472D" w:rsidP="00184DC1">
      <w:r w:rsidRPr="0092047B">
        <w:t xml:space="preserve">Pro určení vývoje ukazatele spotřeby elektřiny na obyvatele byly převzaty historické hodnoty a údaje stanovené pro střední variantu prognózy vývoje počtu obyvatel v letech 2011, 2021, 2031 a 2041 z publikace </w:t>
      </w:r>
      <w:r w:rsidRPr="0092047B">
        <w:rPr>
          <w:i/>
        </w:rPr>
        <w:t>Projekce obyvatelstva České republiky do roku 2100</w:t>
      </w:r>
      <w:r w:rsidRPr="0092047B">
        <w:t xml:space="preserve"> zpracované Českým statistickým úřadem (ČSÚ). Na základě předpokladu, že se množství obyvatel mezi roky, pro které jsou dostupné odhady, bude vyvíjet proporcionálně (lineárně), byl následně určen extrapolovaný vývoj obyvatelstva. Podílem celkové spotřeby elektrické energie (bez vlastní spotřeby na výrobu, ztrát v sítích a spotřeby na akumulaci) a tohoto celkového počtu obyvatel </w:t>
      </w:r>
      <w:r w:rsidRPr="006F2313">
        <w:t>bylo dále možné kvantifikovat roční spotřebu elektřiny na jednoho obyvatele ČR v jednotlivých letech, viz</w:t>
      </w:r>
      <w:r w:rsidR="00F419EA" w:rsidRPr="006F2313">
        <w:t xml:space="preserve"> </w:t>
      </w:r>
      <w:r w:rsidR="00F419EA" w:rsidRPr="006F2313">
        <w:fldChar w:fldCharType="begin"/>
      </w:r>
      <w:r w:rsidR="00F419EA" w:rsidRPr="006F2313">
        <w:instrText xml:space="preserve"> REF _Ref391889492 \h  \* MERGEFORMAT </w:instrText>
      </w:r>
      <w:r w:rsidR="00F419EA" w:rsidRPr="006F2313">
        <w:fldChar w:fldCharType="separate"/>
      </w:r>
      <w:r w:rsidR="0096423F" w:rsidRPr="0096423F">
        <w:t xml:space="preserve">Graf č. </w:t>
      </w:r>
      <w:r w:rsidR="0096423F" w:rsidRPr="0096423F">
        <w:rPr>
          <w:noProof/>
        </w:rPr>
        <w:t>42</w:t>
      </w:r>
      <w:r w:rsidR="00F419EA" w:rsidRPr="006F2313">
        <w:fldChar w:fldCharType="end"/>
      </w:r>
      <w:r w:rsidRPr="006F2313">
        <w:t xml:space="preserve">. Z uvedeného vývoje pak vyplývá, že spotřeba elektřiny na obyvatele, navzdory předpokládané stagnující spotřebě domácností (MOO), viz </w:t>
      </w:r>
      <w:r w:rsidR="00A66844" w:rsidRPr="006F2313">
        <w:fldChar w:fldCharType="begin"/>
      </w:r>
      <w:r w:rsidR="00A66844" w:rsidRPr="006F2313">
        <w:instrText xml:space="preserve"> REF _Ref388083192 \h  \* MERGEFORMAT </w:instrText>
      </w:r>
      <w:r w:rsidR="00A66844" w:rsidRPr="006F2313">
        <w:fldChar w:fldCharType="separate"/>
      </w:r>
      <w:r w:rsidR="0096423F" w:rsidRPr="0096423F">
        <w:t xml:space="preserve">Tabulka č. </w:t>
      </w:r>
      <w:r w:rsidR="0096423F" w:rsidRPr="0096423F">
        <w:rPr>
          <w:noProof/>
        </w:rPr>
        <w:t>2</w:t>
      </w:r>
      <w:r w:rsidR="00A66844" w:rsidRPr="006F2313">
        <w:fldChar w:fldCharType="end"/>
      </w:r>
      <w:r w:rsidR="00A66844" w:rsidRPr="006F2313">
        <w:t xml:space="preserve"> </w:t>
      </w:r>
      <w:r w:rsidRPr="006F2313">
        <w:t xml:space="preserve">a </w:t>
      </w:r>
      <w:r w:rsidR="00BB09FE" w:rsidRPr="00BB09FE">
        <w:fldChar w:fldCharType="begin"/>
      </w:r>
      <w:r w:rsidR="00BB09FE" w:rsidRPr="00BB09FE">
        <w:instrText xml:space="preserve"> REF _Ref395078172 \h  \* MERGEFORMAT </w:instrText>
      </w:r>
      <w:r w:rsidR="00BB09FE" w:rsidRPr="00BB09FE">
        <w:fldChar w:fldCharType="separate"/>
      </w:r>
      <w:r w:rsidR="0096423F" w:rsidRPr="0096423F">
        <w:t xml:space="preserve">Graf č. </w:t>
      </w:r>
      <w:r w:rsidR="0096423F" w:rsidRPr="0096423F">
        <w:rPr>
          <w:noProof/>
        </w:rPr>
        <w:t>5</w:t>
      </w:r>
      <w:r w:rsidR="00BB09FE" w:rsidRPr="00BB09FE">
        <w:fldChar w:fldCharType="end"/>
      </w:r>
      <w:r w:rsidRPr="006F2313">
        <w:t>, a snižujícímu se počtu obyvatel, do roku 2040 poroste, a to především z důvodu vývoje spotřeby elektřiny na úrovni velkoodběru a maloodběru ze strany podnikatelů, které se budou podle aktuálně</w:t>
      </w:r>
      <w:r w:rsidRPr="0092047B">
        <w:t xml:space="preserve"> dostupných prognóz, viz </w:t>
      </w:r>
      <w:r w:rsidR="00A66844" w:rsidRPr="0092047B">
        <w:fldChar w:fldCharType="begin"/>
      </w:r>
      <w:r w:rsidR="00A66844" w:rsidRPr="0092047B">
        <w:instrText xml:space="preserve"> REF _Ref388083001 \h  \* MERGEFORMAT </w:instrText>
      </w:r>
      <w:r w:rsidR="00A66844" w:rsidRPr="0092047B">
        <w:fldChar w:fldCharType="separate"/>
      </w:r>
      <w:r w:rsidR="0096423F" w:rsidRPr="0096423F">
        <w:t xml:space="preserve">Tabulka č. </w:t>
      </w:r>
      <w:r w:rsidR="0096423F" w:rsidRPr="0096423F">
        <w:rPr>
          <w:noProof/>
        </w:rPr>
        <w:t>9</w:t>
      </w:r>
      <w:r w:rsidR="00A66844" w:rsidRPr="0092047B">
        <w:fldChar w:fldCharType="end"/>
      </w:r>
      <w:r w:rsidR="00A66844" w:rsidRPr="0092047B">
        <w:t xml:space="preserve"> </w:t>
      </w:r>
      <w:r w:rsidRPr="0092047B">
        <w:t>a</w:t>
      </w:r>
      <w:r w:rsidR="00F419EA">
        <w:t xml:space="preserve"> </w:t>
      </w:r>
      <w:r w:rsidR="00F419EA" w:rsidRPr="00F419EA">
        <w:fldChar w:fldCharType="begin"/>
      </w:r>
      <w:r w:rsidR="00F419EA" w:rsidRPr="00F419EA">
        <w:instrText xml:space="preserve"> REF _Ref391889526 \h  \* MERGEFORMAT </w:instrText>
      </w:r>
      <w:r w:rsidR="00F419EA" w:rsidRPr="00F419EA">
        <w:fldChar w:fldCharType="separate"/>
      </w:r>
      <w:r w:rsidR="0096423F" w:rsidRPr="0096423F">
        <w:t xml:space="preserve">Graf č. </w:t>
      </w:r>
      <w:r w:rsidR="0096423F" w:rsidRPr="0096423F">
        <w:rPr>
          <w:noProof/>
        </w:rPr>
        <w:t>13</w:t>
      </w:r>
      <w:r w:rsidR="00F419EA" w:rsidRPr="00F419EA">
        <w:fldChar w:fldCharType="end"/>
      </w:r>
      <w:r w:rsidRPr="0092047B">
        <w:t>, zvyšovat.</w:t>
      </w:r>
    </w:p>
    <w:p w:rsidR="00115F4A" w:rsidRDefault="00115F4A" w:rsidP="00184DC1">
      <w:pPr>
        <w:pStyle w:val="Titulek"/>
        <w:keepNext/>
        <w:spacing w:before="240" w:after="120"/>
      </w:pPr>
      <w:bookmarkStart w:id="987" w:name="_Toc396923159"/>
      <w:r w:rsidRPr="00EF5D91">
        <w:rPr>
          <w:b/>
        </w:rPr>
        <w:t xml:space="preserve">Graf č. </w:t>
      </w:r>
      <w:r w:rsidRPr="00EF5D91">
        <w:rPr>
          <w:b/>
        </w:rPr>
        <w:fldChar w:fldCharType="begin"/>
      </w:r>
      <w:r w:rsidRPr="00EF5D91">
        <w:rPr>
          <w:b/>
        </w:rPr>
        <w:instrText xml:space="preserve"> SEQ Graf_č. \* ARABIC </w:instrText>
      </w:r>
      <w:r w:rsidRPr="00EF5D91">
        <w:rPr>
          <w:b/>
        </w:rPr>
        <w:fldChar w:fldCharType="separate"/>
      </w:r>
      <w:r w:rsidR="0096423F">
        <w:rPr>
          <w:b/>
          <w:noProof/>
        </w:rPr>
        <w:t>43</w:t>
      </w:r>
      <w:r w:rsidRPr="00EF5D91">
        <w:rPr>
          <w:b/>
        </w:rPr>
        <w:fldChar w:fldCharType="end"/>
      </w:r>
      <w:r w:rsidRPr="00EF5D91">
        <w:rPr>
          <w:b/>
        </w:rPr>
        <w:t xml:space="preserve">: </w:t>
      </w:r>
      <w:r>
        <w:rPr>
          <w:szCs w:val="22"/>
        </w:rPr>
        <w:t>Podíl OZE na dodávkách tepla ze SZT</w:t>
      </w:r>
      <w:bookmarkEnd w:id="987"/>
    </w:p>
    <w:p w:rsidR="00115F4A" w:rsidRPr="0092047B" w:rsidRDefault="00C1340B" w:rsidP="00184DC1">
      <w:pPr>
        <w:spacing w:before="120"/>
      </w:pPr>
      <w:r w:rsidRPr="0092047B">
        <w:rPr>
          <w:noProof/>
        </w:rPr>
        <w:drawing>
          <wp:inline distT="0" distB="0" distL="0" distR="0" wp14:anchorId="02287383" wp14:editId="64E42534">
            <wp:extent cx="5760000" cy="3780000"/>
            <wp:effectExtent l="0" t="0" r="12700" b="1143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D2C62" w:rsidRPr="0092047B" w:rsidRDefault="007D2C62" w:rsidP="00184DC1">
      <w:pPr>
        <w:spacing w:after="0"/>
        <w:jc w:val="left"/>
      </w:pPr>
      <w:r w:rsidRPr="0092047B">
        <w:br w:type="page"/>
      </w:r>
    </w:p>
    <w:p w:rsidR="00BA3B99" w:rsidRPr="0092047B" w:rsidRDefault="00BA3B99" w:rsidP="001560D9">
      <w:pPr>
        <w:pStyle w:val="Nadpis1"/>
      </w:pPr>
      <w:bookmarkStart w:id="988" w:name="_Toc396923427"/>
      <w:r w:rsidRPr="0092047B">
        <w:t>S</w:t>
      </w:r>
      <w:r w:rsidR="005A61B0" w:rsidRPr="0092047B">
        <w:t xml:space="preserve">eznam </w:t>
      </w:r>
      <w:r w:rsidR="006B64F9">
        <w:t xml:space="preserve">značek a </w:t>
      </w:r>
      <w:r w:rsidR="005A61B0" w:rsidRPr="0092047B">
        <w:t>zkratek</w:t>
      </w:r>
      <w:bookmarkEnd w:id="847"/>
      <w:bookmarkEnd w:id="848"/>
      <w:bookmarkEnd w:id="988"/>
    </w:p>
    <w:p w:rsidR="0053147C" w:rsidRPr="0092047B" w:rsidRDefault="0053147C" w:rsidP="0053147C">
      <w:pPr>
        <w:spacing w:before="120" w:line="276" w:lineRule="auto"/>
        <w:contextualSpacing/>
        <w:rPr>
          <w:rFonts w:cstheme="minorHAnsi"/>
        </w:rPr>
      </w:pPr>
      <w:r w:rsidRPr="0092047B">
        <w:rPr>
          <w:rFonts w:cstheme="minorHAnsi"/>
        </w:rPr>
        <w:t xml:space="preserve">ASEK </w:t>
      </w:r>
      <w:r w:rsidRPr="0092047B">
        <w:rPr>
          <w:rFonts w:cstheme="minorHAnsi"/>
        </w:rPr>
        <w:tab/>
      </w:r>
      <w:r w:rsidRPr="0092047B">
        <w:rPr>
          <w:rFonts w:cstheme="minorHAnsi"/>
        </w:rPr>
        <w:tab/>
        <w:t>Aktualizace státní energetické koncepce</w:t>
      </w:r>
    </w:p>
    <w:p w:rsidR="0053147C" w:rsidRPr="0092047B" w:rsidRDefault="0053147C" w:rsidP="0053147C">
      <w:pPr>
        <w:spacing w:before="120" w:line="276" w:lineRule="auto"/>
        <w:contextualSpacing/>
        <w:rPr>
          <w:rFonts w:cstheme="minorHAnsi"/>
        </w:rPr>
      </w:pPr>
      <w:r w:rsidRPr="0092047B">
        <w:rPr>
          <w:rFonts w:cstheme="minorHAnsi"/>
        </w:rPr>
        <w:t xml:space="preserve">ATP </w:t>
      </w:r>
      <w:r w:rsidRPr="0092047B">
        <w:rPr>
          <w:rFonts w:cstheme="minorHAnsi"/>
        </w:rPr>
        <w:tab/>
      </w:r>
      <w:r w:rsidRPr="0092047B">
        <w:rPr>
          <w:rFonts w:cstheme="minorHAnsi"/>
        </w:rPr>
        <w:tab/>
        <w:t>alternativní paliva</w:t>
      </w:r>
    </w:p>
    <w:p w:rsidR="0053147C" w:rsidRDefault="0010323D" w:rsidP="0053147C">
      <w:pPr>
        <w:spacing w:before="120" w:line="276" w:lineRule="auto"/>
        <w:contextualSpacing/>
        <w:rPr>
          <w:rFonts w:cstheme="minorHAnsi"/>
        </w:rPr>
      </w:pPr>
      <w:r>
        <w:rPr>
          <w:rFonts w:cstheme="minorHAnsi"/>
        </w:rPr>
        <w:t xml:space="preserve">BAT  </w:t>
      </w:r>
      <w:r>
        <w:rPr>
          <w:rFonts w:cstheme="minorHAnsi"/>
        </w:rPr>
        <w:tab/>
      </w:r>
      <w:r>
        <w:rPr>
          <w:rFonts w:cstheme="minorHAnsi"/>
        </w:rPr>
        <w:tab/>
        <w:t xml:space="preserve">nejlepší dostupná </w:t>
      </w:r>
      <w:r w:rsidR="00CC5C3E">
        <w:rPr>
          <w:rFonts w:cstheme="minorHAnsi"/>
        </w:rPr>
        <w:t>techn</w:t>
      </w:r>
      <w:r w:rsidR="00720E2D">
        <w:rPr>
          <w:rFonts w:cstheme="minorHAnsi"/>
        </w:rPr>
        <w:t>ika</w:t>
      </w:r>
    </w:p>
    <w:p w:rsidR="0010323D" w:rsidRDefault="0010323D" w:rsidP="0053147C">
      <w:pPr>
        <w:spacing w:before="120" w:line="276" w:lineRule="auto"/>
        <w:contextualSpacing/>
        <w:rPr>
          <w:rFonts w:cstheme="minorHAnsi"/>
        </w:rPr>
      </w:pPr>
      <w:r>
        <w:rPr>
          <w:rFonts w:cstheme="minorHAnsi"/>
        </w:rPr>
        <w:t>Btu</w:t>
      </w:r>
      <w:r>
        <w:rPr>
          <w:rFonts w:cstheme="minorHAnsi"/>
        </w:rPr>
        <w:tab/>
      </w:r>
      <w:r>
        <w:rPr>
          <w:rFonts w:cstheme="minorHAnsi"/>
        </w:rPr>
        <w:tab/>
        <w:t>british thermal unit</w:t>
      </w:r>
    </w:p>
    <w:p w:rsidR="00720E2D" w:rsidRDefault="00720E2D" w:rsidP="00720E2D">
      <w:pPr>
        <w:spacing w:before="120" w:line="276" w:lineRule="auto"/>
        <w:contextualSpacing/>
        <w:rPr>
          <w:rFonts w:cstheme="minorHAnsi"/>
        </w:rPr>
      </w:pPr>
      <w:r w:rsidRPr="002E1BB6">
        <w:rPr>
          <w:rFonts w:cstheme="minorHAnsi"/>
        </w:rPr>
        <w:t>CCG</w:t>
      </w:r>
      <w:r>
        <w:rPr>
          <w:rFonts w:cstheme="minorHAnsi"/>
        </w:rPr>
        <w:t>T</w:t>
      </w:r>
      <w:r>
        <w:rPr>
          <w:rFonts w:cstheme="minorHAnsi"/>
        </w:rPr>
        <w:tab/>
      </w:r>
      <w:r>
        <w:rPr>
          <w:rFonts w:cstheme="minorHAnsi"/>
        </w:rPr>
        <w:tab/>
        <w:t>paroplynový cyklus</w:t>
      </w:r>
    </w:p>
    <w:p w:rsidR="00720E2D" w:rsidRPr="0092047B" w:rsidRDefault="00720E2D" w:rsidP="00720E2D">
      <w:pPr>
        <w:spacing w:before="120" w:line="276" w:lineRule="auto"/>
        <w:contextualSpacing/>
        <w:rPr>
          <w:rFonts w:cstheme="minorHAnsi"/>
        </w:rPr>
      </w:pPr>
      <w:r>
        <w:rPr>
          <w:rFonts w:cstheme="minorHAnsi"/>
        </w:rPr>
        <w:t>CCS</w:t>
      </w:r>
      <w:r>
        <w:rPr>
          <w:rFonts w:cstheme="minorHAnsi"/>
        </w:rPr>
        <w:tab/>
      </w:r>
      <w:r>
        <w:rPr>
          <w:rFonts w:cstheme="minorHAnsi"/>
        </w:rPr>
        <w:tab/>
        <w:t>s</w:t>
      </w:r>
      <w:r w:rsidRPr="002E1BB6">
        <w:rPr>
          <w:rFonts w:cstheme="minorHAnsi"/>
        </w:rPr>
        <w:t>ystém zachycování a ukládání uhlíku</w:t>
      </w:r>
    </w:p>
    <w:p w:rsidR="0053147C" w:rsidRPr="0092047B" w:rsidRDefault="0053147C" w:rsidP="0053147C">
      <w:pPr>
        <w:spacing w:before="120" w:line="276" w:lineRule="auto"/>
        <w:contextualSpacing/>
        <w:rPr>
          <w:rFonts w:cstheme="minorHAnsi"/>
        </w:rPr>
      </w:pPr>
      <w:r w:rsidRPr="0092047B">
        <w:rPr>
          <w:rFonts w:cstheme="minorHAnsi"/>
        </w:rPr>
        <w:t xml:space="preserve">CEE  </w:t>
      </w:r>
      <w:r w:rsidRPr="0092047B">
        <w:rPr>
          <w:rFonts w:cstheme="minorHAnsi"/>
        </w:rPr>
        <w:tab/>
      </w:r>
      <w:r w:rsidRPr="0092047B">
        <w:rPr>
          <w:rFonts w:cstheme="minorHAnsi"/>
        </w:rPr>
        <w:tab/>
        <w:t>střední a východní Evropa</w:t>
      </w:r>
    </w:p>
    <w:p w:rsidR="0053147C" w:rsidRPr="0092047B" w:rsidRDefault="0053147C" w:rsidP="0053147C">
      <w:pPr>
        <w:spacing w:before="120" w:line="276" w:lineRule="auto"/>
        <w:contextualSpacing/>
        <w:rPr>
          <w:rFonts w:cstheme="minorHAnsi"/>
        </w:rPr>
      </w:pPr>
      <w:r w:rsidRPr="0092047B">
        <w:rPr>
          <w:rFonts w:cstheme="minorHAnsi"/>
        </w:rPr>
        <w:t xml:space="preserve">CEF  </w:t>
      </w:r>
      <w:r w:rsidRPr="0092047B">
        <w:rPr>
          <w:rFonts w:cstheme="minorHAnsi"/>
        </w:rPr>
        <w:tab/>
      </w:r>
      <w:r w:rsidRPr="0092047B">
        <w:rPr>
          <w:rFonts w:cstheme="minorHAnsi"/>
        </w:rPr>
        <w:tab/>
        <w:t>Nástroj pro propojení Evropy</w:t>
      </w:r>
    </w:p>
    <w:p w:rsidR="0053147C" w:rsidRPr="0092047B" w:rsidRDefault="0053147C" w:rsidP="0053147C">
      <w:pPr>
        <w:spacing w:before="120" w:line="276" w:lineRule="auto"/>
        <w:contextualSpacing/>
        <w:rPr>
          <w:rFonts w:cstheme="minorHAnsi"/>
        </w:rPr>
      </w:pPr>
      <w:r w:rsidRPr="0092047B">
        <w:rPr>
          <w:rFonts w:cstheme="minorHAnsi"/>
        </w:rPr>
        <w:t xml:space="preserve">CEPS </w:t>
      </w:r>
      <w:r w:rsidRPr="0092047B">
        <w:rPr>
          <w:rFonts w:cstheme="minorHAnsi"/>
        </w:rPr>
        <w:tab/>
      </w:r>
      <w:r w:rsidRPr="0092047B">
        <w:rPr>
          <w:rFonts w:cstheme="minorHAnsi"/>
        </w:rPr>
        <w:tab/>
        <w:t>Central European Pipeline System</w:t>
      </w:r>
    </w:p>
    <w:p w:rsidR="0053147C" w:rsidRDefault="0053147C" w:rsidP="0053147C">
      <w:pPr>
        <w:spacing w:before="120" w:line="276" w:lineRule="auto"/>
        <w:contextualSpacing/>
        <w:rPr>
          <w:rFonts w:cstheme="minorHAnsi"/>
        </w:rPr>
      </w:pPr>
      <w:r w:rsidRPr="0092047B">
        <w:rPr>
          <w:rFonts w:cstheme="minorHAnsi"/>
        </w:rPr>
        <w:t xml:space="preserve">CNG  </w:t>
      </w:r>
      <w:r w:rsidRPr="0092047B">
        <w:rPr>
          <w:rFonts w:cstheme="minorHAnsi"/>
        </w:rPr>
        <w:tab/>
      </w:r>
      <w:r w:rsidRPr="0092047B">
        <w:rPr>
          <w:rFonts w:cstheme="minorHAnsi"/>
        </w:rPr>
        <w:tab/>
        <w:t>stlačený zemní plyn</w:t>
      </w:r>
    </w:p>
    <w:p w:rsidR="004955BA" w:rsidRPr="0092047B" w:rsidRDefault="004955BA" w:rsidP="0053147C">
      <w:pPr>
        <w:spacing w:before="120" w:line="276" w:lineRule="auto"/>
        <w:contextualSpacing/>
        <w:rPr>
          <w:rFonts w:cstheme="minorHAnsi"/>
        </w:rPr>
      </w:pPr>
      <w:r>
        <w:rPr>
          <w:rFonts w:cstheme="minorHAnsi"/>
        </w:rPr>
        <w:t>CZ-NACE</w:t>
      </w:r>
      <w:r>
        <w:rPr>
          <w:rFonts w:cstheme="minorHAnsi"/>
        </w:rPr>
        <w:tab/>
        <w:t>Klasifikace ekonomických činností</w:t>
      </w:r>
    </w:p>
    <w:p w:rsidR="0053147C" w:rsidRPr="0092047B" w:rsidRDefault="00543E99" w:rsidP="0053147C">
      <w:pPr>
        <w:spacing w:before="120" w:line="276" w:lineRule="auto"/>
        <w:contextualSpacing/>
        <w:rPr>
          <w:rFonts w:cstheme="minorHAnsi"/>
        </w:rPr>
      </w:pPr>
      <w:r w:rsidRPr="0092047B">
        <w:rPr>
          <w:rFonts w:cstheme="minorHAnsi"/>
        </w:rPr>
        <w:t>ČE</w:t>
      </w:r>
      <w:r>
        <w:rPr>
          <w:rFonts w:cstheme="minorHAnsi"/>
        </w:rPr>
        <w:t>P</w:t>
      </w:r>
      <w:r w:rsidRPr="0092047B">
        <w:rPr>
          <w:rFonts w:cstheme="minorHAnsi"/>
        </w:rPr>
        <w:t>P</w:t>
      </w:r>
      <w:r>
        <w:rPr>
          <w:rFonts w:cstheme="minorHAnsi"/>
        </w:rPr>
        <w:t>R</w:t>
      </w:r>
      <w:r w:rsidRPr="0092047B">
        <w:rPr>
          <w:rFonts w:cstheme="minorHAnsi"/>
        </w:rPr>
        <w:t>O</w:t>
      </w:r>
      <w:r w:rsidR="0053147C" w:rsidRPr="0092047B">
        <w:rPr>
          <w:rFonts w:cstheme="minorHAnsi"/>
        </w:rPr>
        <w:tab/>
        <w:t>České produktovody a ropovody</w:t>
      </w:r>
    </w:p>
    <w:p w:rsidR="008766FF" w:rsidRPr="0092047B" w:rsidRDefault="008766FF" w:rsidP="0053147C">
      <w:pPr>
        <w:spacing w:before="120" w:line="276" w:lineRule="auto"/>
        <w:contextualSpacing/>
        <w:rPr>
          <w:rFonts w:cstheme="minorHAnsi"/>
        </w:rPr>
      </w:pPr>
      <w:r>
        <w:rPr>
          <w:rFonts w:cstheme="minorHAnsi"/>
        </w:rPr>
        <w:t>ČSÚ</w:t>
      </w:r>
      <w:r>
        <w:rPr>
          <w:rFonts w:cstheme="minorHAnsi"/>
        </w:rPr>
        <w:tab/>
      </w:r>
      <w:r>
        <w:rPr>
          <w:rFonts w:cstheme="minorHAnsi"/>
        </w:rPr>
        <w:tab/>
        <w:t>Český statistický úřad</w:t>
      </w:r>
    </w:p>
    <w:p w:rsidR="0053147C" w:rsidRPr="0092047B" w:rsidRDefault="0053147C" w:rsidP="0053147C">
      <w:pPr>
        <w:spacing w:before="120" w:line="276" w:lineRule="auto"/>
        <w:contextualSpacing/>
        <w:rPr>
          <w:rFonts w:cstheme="minorHAnsi"/>
        </w:rPr>
      </w:pPr>
      <w:r w:rsidRPr="0092047B">
        <w:rPr>
          <w:rFonts w:cstheme="minorHAnsi"/>
        </w:rPr>
        <w:t xml:space="preserve">ČU  </w:t>
      </w:r>
      <w:r w:rsidRPr="0092047B">
        <w:rPr>
          <w:rFonts w:cstheme="minorHAnsi"/>
        </w:rPr>
        <w:tab/>
      </w:r>
      <w:r w:rsidRPr="0092047B">
        <w:rPr>
          <w:rFonts w:cstheme="minorHAnsi"/>
        </w:rPr>
        <w:tab/>
        <w:t>černé uhlí</w:t>
      </w:r>
    </w:p>
    <w:p w:rsidR="0053147C" w:rsidRPr="0092047B" w:rsidRDefault="0053147C" w:rsidP="0053147C">
      <w:pPr>
        <w:spacing w:before="120" w:line="276" w:lineRule="auto"/>
        <w:contextualSpacing/>
        <w:rPr>
          <w:rFonts w:cstheme="minorHAnsi"/>
        </w:rPr>
      </w:pPr>
      <w:r w:rsidRPr="0092047B">
        <w:rPr>
          <w:rFonts w:cstheme="minorHAnsi"/>
        </w:rPr>
        <w:t xml:space="preserve">DR  </w:t>
      </w:r>
      <w:r w:rsidRPr="0092047B">
        <w:rPr>
          <w:rFonts w:cstheme="minorHAnsi"/>
        </w:rPr>
        <w:tab/>
      </w:r>
      <w:r w:rsidRPr="0092047B">
        <w:rPr>
          <w:rFonts w:cstheme="minorHAnsi"/>
        </w:rPr>
        <w:tab/>
        <w:t>dozorčí rada</w:t>
      </w:r>
    </w:p>
    <w:p w:rsidR="0053147C" w:rsidRDefault="0053147C" w:rsidP="0053147C">
      <w:pPr>
        <w:spacing w:before="120" w:line="276" w:lineRule="auto"/>
        <w:contextualSpacing/>
        <w:rPr>
          <w:rFonts w:cstheme="minorHAnsi"/>
        </w:rPr>
      </w:pPr>
      <w:r w:rsidRPr="0092047B">
        <w:rPr>
          <w:rFonts w:cstheme="minorHAnsi"/>
        </w:rPr>
        <w:t xml:space="preserve">DS </w:t>
      </w:r>
      <w:r w:rsidRPr="0092047B">
        <w:rPr>
          <w:rFonts w:cstheme="minorHAnsi"/>
        </w:rPr>
        <w:tab/>
      </w:r>
      <w:r w:rsidRPr="0092047B">
        <w:rPr>
          <w:rFonts w:cstheme="minorHAnsi"/>
        </w:rPr>
        <w:tab/>
        <w:t>distribuční soustava</w:t>
      </w:r>
    </w:p>
    <w:p w:rsidR="00FA300F" w:rsidRPr="0092047B" w:rsidRDefault="00FA300F" w:rsidP="0053147C">
      <w:pPr>
        <w:spacing w:before="120" w:line="276" w:lineRule="auto"/>
        <w:contextualSpacing/>
        <w:rPr>
          <w:rFonts w:cstheme="minorHAnsi"/>
        </w:rPr>
      </w:pPr>
      <w:r>
        <w:rPr>
          <w:rFonts w:cstheme="minorHAnsi"/>
        </w:rPr>
        <w:t>DZT</w:t>
      </w:r>
      <w:r>
        <w:rPr>
          <w:rFonts w:cstheme="minorHAnsi"/>
        </w:rPr>
        <w:tab/>
      </w:r>
      <w:r>
        <w:rPr>
          <w:rFonts w:cstheme="minorHAnsi"/>
        </w:rPr>
        <w:tab/>
        <w:t>decentralizované zásobování teplem</w:t>
      </w:r>
    </w:p>
    <w:p w:rsidR="00FA300F" w:rsidRPr="0092047B" w:rsidRDefault="0053147C" w:rsidP="0053147C">
      <w:pPr>
        <w:spacing w:before="120" w:line="276" w:lineRule="auto"/>
        <w:contextualSpacing/>
        <w:rPr>
          <w:rFonts w:cstheme="minorHAnsi"/>
        </w:rPr>
      </w:pPr>
      <w:r w:rsidRPr="0092047B">
        <w:rPr>
          <w:rFonts w:cstheme="minorHAnsi"/>
        </w:rPr>
        <w:t xml:space="preserve">ECT  </w:t>
      </w:r>
      <w:r w:rsidRPr="0092047B">
        <w:rPr>
          <w:rFonts w:cstheme="minorHAnsi"/>
        </w:rPr>
        <w:tab/>
      </w:r>
      <w:r w:rsidRPr="0092047B">
        <w:rPr>
          <w:rFonts w:cstheme="minorHAnsi"/>
        </w:rPr>
        <w:tab/>
        <w:t>Energetická charta</w:t>
      </w:r>
    </w:p>
    <w:p w:rsidR="00FA300F" w:rsidRDefault="0053147C" w:rsidP="0053147C">
      <w:pPr>
        <w:spacing w:before="120" w:line="276" w:lineRule="auto"/>
        <w:contextualSpacing/>
        <w:rPr>
          <w:rFonts w:cstheme="minorHAnsi"/>
        </w:rPr>
      </w:pPr>
      <w:r w:rsidRPr="0092047B">
        <w:rPr>
          <w:rFonts w:cstheme="minorHAnsi"/>
        </w:rPr>
        <w:t xml:space="preserve">EIA  </w:t>
      </w:r>
      <w:r w:rsidRPr="0092047B">
        <w:rPr>
          <w:rFonts w:cstheme="minorHAnsi"/>
        </w:rPr>
        <w:tab/>
      </w:r>
      <w:r w:rsidRPr="0092047B">
        <w:rPr>
          <w:rFonts w:cstheme="minorHAnsi"/>
        </w:rPr>
        <w:tab/>
        <w:t>posuzo</w:t>
      </w:r>
      <w:r w:rsidR="00FA300F">
        <w:rPr>
          <w:rFonts w:cstheme="minorHAnsi"/>
        </w:rPr>
        <w:t>vání vlivů na životní prostředí</w:t>
      </w:r>
    </w:p>
    <w:p w:rsidR="000B3749" w:rsidRDefault="000B3749" w:rsidP="0053147C">
      <w:pPr>
        <w:spacing w:before="120" w:line="276" w:lineRule="auto"/>
        <w:contextualSpacing/>
        <w:rPr>
          <w:rFonts w:cstheme="minorHAnsi"/>
        </w:rPr>
      </w:pPr>
      <w:r>
        <w:rPr>
          <w:rFonts w:cstheme="minorHAnsi"/>
        </w:rPr>
        <w:t>ENTSO-E</w:t>
      </w:r>
      <w:r>
        <w:rPr>
          <w:rFonts w:cstheme="minorHAnsi"/>
        </w:rPr>
        <w:tab/>
      </w:r>
      <w:r w:rsidRPr="000B3749">
        <w:rPr>
          <w:rFonts w:cstheme="minorHAnsi"/>
        </w:rPr>
        <w:t>Evropská síť provozovatelů elektroenergetických přenosových soustav</w:t>
      </w:r>
    </w:p>
    <w:p w:rsidR="000B3749" w:rsidRPr="0092047B" w:rsidRDefault="000B3749" w:rsidP="0053147C">
      <w:pPr>
        <w:spacing w:before="120" w:line="276" w:lineRule="auto"/>
        <w:contextualSpacing/>
        <w:rPr>
          <w:rFonts w:cstheme="minorHAnsi"/>
        </w:rPr>
      </w:pPr>
      <w:r>
        <w:rPr>
          <w:rFonts w:cstheme="minorHAnsi"/>
        </w:rPr>
        <w:t>ENTSOG</w:t>
      </w:r>
      <w:r>
        <w:rPr>
          <w:rFonts w:cstheme="minorHAnsi"/>
        </w:rPr>
        <w:tab/>
      </w:r>
      <w:r w:rsidRPr="000B3749">
        <w:rPr>
          <w:rFonts w:cstheme="minorHAnsi"/>
        </w:rPr>
        <w:t>Evropská síť provozovatelů pře</w:t>
      </w:r>
      <w:r>
        <w:rPr>
          <w:rFonts w:cstheme="minorHAnsi"/>
        </w:rPr>
        <w:t>pravních</w:t>
      </w:r>
      <w:r w:rsidRPr="000B3749">
        <w:rPr>
          <w:rFonts w:cstheme="minorHAnsi"/>
        </w:rPr>
        <w:t xml:space="preserve"> soustav</w:t>
      </w:r>
      <w:r>
        <w:rPr>
          <w:rFonts w:cstheme="minorHAnsi"/>
        </w:rPr>
        <w:t xml:space="preserve"> zemního plynu</w:t>
      </w:r>
    </w:p>
    <w:p w:rsidR="0053147C" w:rsidRPr="0092047B" w:rsidRDefault="0053147C" w:rsidP="0053147C">
      <w:pPr>
        <w:spacing w:before="120" w:line="276" w:lineRule="auto"/>
        <w:contextualSpacing/>
        <w:rPr>
          <w:rFonts w:cstheme="minorHAnsi"/>
        </w:rPr>
      </w:pPr>
      <w:r w:rsidRPr="0092047B">
        <w:rPr>
          <w:rFonts w:cstheme="minorHAnsi"/>
        </w:rPr>
        <w:t xml:space="preserve">EPC  </w:t>
      </w:r>
      <w:r w:rsidRPr="0092047B">
        <w:rPr>
          <w:rFonts w:cstheme="minorHAnsi"/>
        </w:rPr>
        <w:tab/>
      </w:r>
      <w:r w:rsidRPr="0092047B">
        <w:rPr>
          <w:rFonts w:cstheme="minorHAnsi"/>
        </w:rPr>
        <w:tab/>
        <w:t>Energy Performance Contracting</w:t>
      </w:r>
      <w:r w:rsidR="008913BF" w:rsidRPr="0092047B">
        <w:rPr>
          <w:rFonts w:cstheme="minorHAnsi"/>
        </w:rPr>
        <w:t xml:space="preserve"> (energetické služby se zárukou)</w:t>
      </w:r>
    </w:p>
    <w:p w:rsidR="0053147C" w:rsidRPr="0092047B" w:rsidRDefault="0053147C" w:rsidP="0053147C">
      <w:pPr>
        <w:spacing w:before="120" w:line="276" w:lineRule="auto"/>
        <w:contextualSpacing/>
        <w:rPr>
          <w:rFonts w:cstheme="minorHAnsi"/>
        </w:rPr>
      </w:pPr>
      <w:r w:rsidRPr="0092047B">
        <w:rPr>
          <w:rFonts w:cstheme="minorHAnsi"/>
        </w:rPr>
        <w:t xml:space="preserve">ERÚ  </w:t>
      </w:r>
      <w:r w:rsidRPr="0092047B">
        <w:rPr>
          <w:rFonts w:cstheme="minorHAnsi"/>
        </w:rPr>
        <w:tab/>
      </w:r>
      <w:r w:rsidRPr="0092047B">
        <w:rPr>
          <w:rFonts w:cstheme="minorHAnsi"/>
        </w:rPr>
        <w:tab/>
        <w:t>Energetický regulační úřad</w:t>
      </w:r>
    </w:p>
    <w:p w:rsidR="0053147C" w:rsidRDefault="0053147C" w:rsidP="0053147C">
      <w:pPr>
        <w:spacing w:before="120" w:line="276" w:lineRule="auto"/>
        <w:contextualSpacing/>
        <w:rPr>
          <w:rFonts w:cstheme="minorHAnsi"/>
        </w:rPr>
      </w:pPr>
      <w:r w:rsidRPr="0092047B">
        <w:rPr>
          <w:rFonts w:cstheme="minorHAnsi"/>
        </w:rPr>
        <w:t xml:space="preserve">ES  </w:t>
      </w:r>
      <w:r w:rsidRPr="0092047B">
        <w:rPr>
          <w:rFonts w:cstheme="minorHAnsi"/>
        </w:rPr>
        <w:tab/>
      </w:r>
      <w:r w:rsidRPr="0092047B">
        <w:rPr>
          <w:rFonts w:cstheme="minorHAnsi"/>
        </w:rPr>
        <w:tab/>
        <w:t>elektrizační soustava</w:t>
      </w:r>
    </w:p>
    <w:p w:rsidR="004955BA" w:rsidRPr="0092047B" w:rsidRDefault="004955BA" w:rsidP="0053147C">
      <w:pPr>
        <w:spacing w:before="120" w:line="276" w:lineRule="auto"/>
        <w:contextualSpacing/>
        <w:rPr>
          <w:rFonts w:cstheme="minorHAnsi"/>
        </w:rPr>
      </w:pPr>
      <w:r>
        <w:rPr>
          <w:rFonts w:cstheme="minorHAnsi"/>
        </w:rPr>
        <w:t>ESIF</w:t>
      </w:r>
      <w:r>
        <w:rPr>
          <w:rFonts w:cstheme="minorHAnsi"/>
        </w:rPr>
        <w:tab/>
      </w:r>
      <w:r>
        <w:rPr>
          <w:rFonts w:cstheme="minorHAnsi"/>
        </w:rPr>
        <w:tab/>
      </w:r>
      <w:r w:rsidR="008766FF">
        <w:rPr>
          <w:rFonts w:cstheme="minorHAnsi"/>
        </w:rPr>
        <w:t>Evropsk</w:t>
      </w:r>
      <w:r w:rsidR="00D91A93">
        <w:rPr>
          <w:rFonts w:cstheme="minorHAnsi"/>
        </w:rPr>
        <w:t>ý</w:t>
      </w:r>
      <w:r>
        <w:rPr>
          <w:rFonts w:cstheme="minorHAnsi"/>
        </w:rPr>
        <w:t xml:space="preserve"> strukturální a investiční fond</w:t>
      </w:r>
    </w:p>
    <w:p w:rsidR="0053147C" w:rsidRPr="0092047B" w:rsidRDefault="0053147C" w:rsidP="0053147C">
      <w:pPr>
        <w:spacing w:before="120" w:line="276" w:lineRule="auto"/>
        <w:contextualSpacing/>
        <w:rPr>
          <w:rFonts w:cstheme="minorHAnsi"/>
        </w:rPr>
      </w:pPr>
      <w:r w:rsidRPr="0092047B">
        <w:rPr>
          <w:rFonts w:cstheme="minorHAnsi"/>
        </w:rPr>
        <w:t xml:space="preserve">EU  </w:t>
      </w:r>
      <w:r w:rsidRPr="0092047B">
        <w:rPr>
          <w:rFonts w:cstheme="minorHAnsi"/>
        </w:rPr>
        <w:tab/>
      </w:r>
      <w:r w:rsidRPr="0092047B">
        <w:rPr>
          <w:rFonts w:cstheme="minorHAnsi"/>
        </w:rPr>
        <w:tab/>
        <w:t>Evropská unie</w:t>
      </w:r>
    </w:p>
    <w:p w:rsidR="0053147C" w:rsidRPr="0092047B" w:rsidRDefault="00BB0ECC" w:rsidP="0053147C">
      <w:pPr>
        <w:spacing w:before="120" w:line="276" w:lineRule="auto"/>
        <w:contextualSpacing/>
        <w:rPr>
          <w:rFonts w:cstheme="minorHAnsi"/>
        </w:rPr>
      </w:pPr>
      <w:r>
        <w:rPr>
          <w:rFonts w:cstheme="minorHAnsi"/>
        </w:rPr>
        <w:t>EU</w:t>
      </w:r>
      <w:r w:rsidR="00543E99" w:rsidRPr="0092047B">
        <w:rPr>
          <w:rFonts w:cstheme="minorHAnsi"/>
        </w:rPr>
        <w:t>2</w:t>
      </w:r>
      <w:r w:rsidR="00543E99">
        <w:rPr>
          <w:rFonts w:cstheme="minorHAnsi"/>
        </w:rPr>
        <w:t>8</w:t>
      </w:r>
      <w:r w:rsidR="00543E99" w:rsidRPr="0092047B">
        <w:rPr>
          <w:rFonts w:cstheme="minorHAnsi"/>
        </w:rPr>
        <w:t xml:space="preserve"> </w:t>
      </w:r>
      <w:r w:rsidR="0053147C" w:rsidRPr="0092047B">
        <w:rPr>
          <w:rFonts w:cstheme="minorHAnsi"/>
        </w:rPr>
        <w:tab/>
      </w:r>
      <w:r w:rsidR="00543E99">
        <w:rPr>
          <w:rFonts w:cstheme="minorHAnsi"/>
        </w:rPr>
        <w:tab/>
      </w:r>
      <w:r w:rsidR="00543E99" w:rsidRPr="0092047B">
        <w:rPr>
          <w:rFonts w:cstheme="minorHAnsi"/>
        </w:rPr>
        <w:t>2</w:t>
      </w:r>
      <w:r w:rsidR="00543E99">
        <w:rPr>
          <w:rFonts w:cstheme="minorHAnsi"/>
        </w:rPr>
        <w:t>8</w:t>
      </w:r>
      <w:r w:rsidR="00543E99" w:rsidRPr="0092047B">
        <w:rPr>
          <w:rFonts w:cstheme="minorHAnsi"/>
        </w:rPr>
        <w:t xml:space="preserve"> </w:t>
      </w:r>
      <w:r w:rsidR="0053147C" w:rsidRPr="0092047B">
        <w:rPr>
          <w:rFonts w:cstheme="minorHAnsi"/>
        </w:rPr>
        <w:t xml:space="preserve">členských států EU </w:t>
      </w:r>
    </w:p>
    <w:p w:rsidR="0053147C" w:rsidRPr="0092047B" w:rsidRDefault="0053147C" w:rsidP="0053147C">
      <w:pPr>
        <w:spacing w:before="120" w:line="276" w:lineRule="auto"/>
        <w:contextualSpacing/>
        <w:rPr>
          <w:rFonts w:cstheme="minorHAnsi"/>
        </w:rPr>
      </w:pPr>
      <w:r w:rsidRPr="0092047B">
        <w:rPr>
          <w:rFonts w:cstheme="minorHAnsi"/>
        </w:rPr>
        <w:t xml:space="preserve">Euratom </w:t>
      </w:r>
      <w:r w:rsidRPr="0092047B">
        <w:rPr>
          <w:rFonts w:cstheme="minorHAnsi"/>
        </w:rPr>
        <w:tab/>
        <w:t>Evropské společenství pro atomovou energii</w:t>
      </w:r>
    </w:p>
    <w:p w:rsidR="0053147C" w:rsidRDefault="0053147C" w:rsidP="0053147C">
      <w:pPr>
        <w:spacing w:before="120" w:line="276" w:lineRule="auto"/>
        <w:contextualSpacing/>
        <w:rPr>
          <w:rFonts w:cstheme="minorHAnsi"/>
        </w:rPr>
      </w:pPr>
      <w:r w:rsidRPr="0092047B">
        <w:rPr>
          <w:rFonts w:cstheme="minorHAnsi"/>
        </w:rPr>
        <w:t xml:space="preserve">FACTS  </w:t>
      </w:r>
      <w:r w:rsidRPr="0092047B">
        <w:rPr>
          <w:rFonts w:cstheme="minorHAnsi"/>
        </w:rPr>
        <w:tab/>
        <w:t>flexibilní systém přenosu střídavého proudu</w:t>
      </w:r>
    </w:p>
    <w:p w:rsidR="008766FF" w:rsidRPr="0092047B" w:rsidRDefault="008766FF" w:rsidP="0053147C">
      <w:pPr>
        <w:spacing w:before="120" w:line="276" w:lineRule="auto"/>
        <w:contextualSpacing/>
        <w:rPr>
          <w:rFonts w:cstheme="minorHAnsi"/>
        </w:rPr>
      </w:pPr>
      <w:r>
        <w:rPr>
          <w:rFonts w:cstheme="minorHAnsi"/>
        </w:rPr>
        <w:t>FVE</w:t>
      </w:r>
      <w:r>
        <w:rPr>
          <w:rFonts w:cstheme="minorHAnsi"/>
        </w:rPr>
        <w:tab/>
      </w:r>
      <w:r>
        <w:rPr>
          <w:rFonts w:cstheme="minorHAnsi"/>
        </w:rPr>
        <w:tab/>
        <w:t>fotovoltaická elektrárna</w:t>
      </w:r>
    </w:p>
    <w:p w:rsidR="0053147C" w:rsidRPr="0092047B" w:rsidRDefault="0053147C" w:rsidP="0053147C">
      <w:pPr>
        <w:spacing w:before="120" w:line="276" w:lineRule="auto"/>
        <w:contextualSpacing/>
        <w:rPr>
          <w:rFonts w:cstheme="minorHAnsi"/>
        </w:rPr>
      </w:pPr>
      <w:r w:rsidRPr="0092047B">
        <w:rPr>
          <w:rFonts w:cstheme="minorHAnsi"/>
        </w:rPr>
        <w:t xml:space="preserve">GWh </w:t>
      </w:r>
      <w:r w:rsidRPr="0092047B">
        <w:rPr>
          <w:rFonts w:cstheme="minorHAnsi"/>
        </w:rPr>
        <w:tab/>
        <w:t xml:space="preserve"> </w:t>
      </w:r>
      <w:r w:rsidRPr="0092047B">
        <w:rPr>
          <w:rFonts w:cstheme="minorHAnsi"/>
        </w:rPr>
        <w:tab/>
        <w:t>gig</w:t>
      </w:r>
      <w:r w:rsidR="0010323D">
        <w:rPr>
          <w:rFonts w:cstheme="minorHAnsi"/>
        </w:rPr>
        <w:t>awatt</w:t>
      </w:r>
      <w:r w:rsidRPr="0092047B">
        <w:rPr>
          <w:rFonts w:cstheme="minorHAnsi"/>
        </w:rPr>
        <w:t>hodina</w:t>
      </w:r>
    </w:p>
    <w:p w:rsidR="0053147C" w:rsidRPr="0092047B" w:rsidRDefault="0053147C" w:rsidP="0053147C">
      <w:pPr>
        <w:spacing w:before="120" w:line="276" w:lineRule="auto"/>
        <w:contextualSpacing/>
        <w:rPr>
          <w:rFonts w:cstheme="minorHAnsi"/>
        </w:rPr>
      </w:pPr>
      <w:r w:rsidRPr="0092047B">
        <w:rPr>
          <w:rFonts w:cstheme="minorHAnsi"/>
        </w:rPr>
        <w:t xml:space="preserve">HDP  </w:t>
      </w:r>
      <w:r w:rsidRPr="0092047B">
        <w:rPr>
          <w:rFonts w:cstheme="minorHAnsi"/>
        </w:rPr>
        <w:tab/>
      </w:r>
      <w:r w:rsidRPr="0092047B">
        <w:rPr>
          <w:rFonts w:cstheme="minorHAnsi"/>
        </w:rPr>
        <w:tab/>
        <w:t>hrubý domácí produkt</w:t>
      </w:r>
    </w:p>
    <w:p w:rsidR="0053147C" w:rsidRPr="0092047B" w:rsidRDefault="0053147C" w:rsidP="0053147C">
      <w:pPr>
        <w:spacing w:before="120" w:line="276" w:lineRule="auto"/>
        <w:contextualSpacing/>
        <w:rPr>
          <w:rFonts w:cstheme="minorHAnsi"/>
        </w:rPr>
      </w:pPr>
      <w:r w:rsidRPr="0092047B">
        <w:rPr>
          <w:rFonts w:cstheme="minorHAnsi"/>
        </w:rPr>
        <w:t xml:space="preserve">HPH  </w:t>
      </w:r>
      <w:r w:rsidRPr="0092047B">
        <w:rPr>
          <w:rFonts w:cstheme="minorHAnsi"/>
        </w:rPr>
        <w:tab/>
      </w:r>
      <w:r w:rsidRPr="0092047B">
        <w:rPr>
          <w:rFonts w:cstheme="minorHAnsi"/>
        </w:rPr>
        <w:tab/>
        <w:t>hrubá přidaná hodnota</w:t>
      </w:r>
    </w:p>
    <w:p w:rsidR="0053147C" w:rsidRPr="0092047B" w:rsidRDefault="0053147C" w:rsidP="0053147C">
      <w:pPr>
        <w:spacing w:before="120" w:line="276" w:lineRule="auto"/>
        <w:contextualSpacing/>
        <w:rPr>
          <w:rFonts w:cstheme="minorHAnsi"/>
        </w:rPr>
      </w:pPr>
      <w:r w:rsidRPr="0092047B">
        <w:rPr>
          <w:rFonts w:cstheme="minorHAnsi"/>
        </w:rPr>
        <w:t xml:space="preserve">HU  </w:t>
      </w:r>
      <w:r w:rsidRPr="0092047B">
        <w:rPr>
          <w:rFonts w:cstheme="minorHAnsi"/>
        </w:rPr>
        <w:tab/>
      </w:r>
      <w:r w:rsidRPr="0092047B">
        <w:rPr>
          <w:rFonts w:cstheme="minorHAnsi"/>
        </w:rPr>
        <w:tab/>
        <w:t>hnědé uhlí</w:t>
      </w:r>
    </w:p>
    <w:p w:rsidR="0053147C" w:rsidRPr="0092047B" w:rsidRDefault="0053147C" w:rsidP="0053147C">
      <w:pPr>
        <w:spacing w:before="120" w:line="276" w:lineRule="auto"/>
        <w:contextualSpacing/>
        <w:rPr>
          <w:rFonts w:cstheme="minorHAnsi"/>
        </w:rPr>
      </w:pPr>
      <w:r w:rsidRPr="0092047B">
        <w:rPr>
          <w:rFonts w:cstheme="minorHAnsi"/>
        </w:rPr>
        <w:t xml:space="preserve">IEA  </w:t>
      </w:r>
      <w:r w:rsidRPr="0092047B">
        <w:rPr>
          <w:rFonts w:cstheme="minorHAnsi"/>
        </w:rPr>
        <w:tab/>
      </w:r>
      <w:r w:rsidRPr="0092047B">
        <w:rPr>
          <w:rFonts w:cstheme="minorHAnsi"/>
        </w:rPr>
        <w:tab/>
        <w:t>Mezinárodní energetická agentura</w:t>
      </w:r>
    </w:p>
    <w:p w:rsidR="0053147C" w:rsidRPr="0092047B" w:rsidRDefault="0053147C" w:rsidP="0053147C">
      <w:pPr>
        <w:spacing w:before="120" w:line="276" w:lineRule="auto"/>
        <w:contextualSpacing/>
        <w:rPr>
          <w:rFonts w:cstheme="minorHAnsi"/>
        </w:rPr>
      </w:pPr>
      <w:r w:rsidRPr="0092047B">
        <w:rPr>
          <w:rFonts w:cstheme="minorHAnsi"/>
        </w:rPr>
        <w:t xml:space="preserve">IED  </w:t>
      </w:r>
      <w:r w:rsidRPr="0092047B">
        <w:rPr>
          <w:rFonts w:cstheme="minorHAnsi"/>
        </w:rPr>
        <w:tab/>
      </w:r>
      <w:r w:rsidRPr="0092047B">
        <w:rPr>
          <w:rFonts w:cstheme="minorHAnsi"/>
        </w:rPr>
        <w:tab/>
        <w:t>směrnice o průmyslových emisích</w:t>
      </w:r>
    </w:p>
    <w:p w:rsidR="0053147C" w:rsidRPr="0092047B" w:rsidRDefault="0053147C" w:rsidP="0053147C">
      <w:pPr>
        <w:spacing w:before="120" w:line="276" w:lineRule="auto"/>
        <w:contextualSpacing/>
        <w:rPr>
          <w:rFonts w:cstheme="minorHAnsi"/>
        </w:rPr>
      </w:pPr>
      <w:r w:rsidRPr="0092047B">
        <w:rPr>
          <w:rFonts w:cstheme="minorHAnsi"/>
        </w:rPr>
        <w:t xml:space="preserve">IEF  </w:t>
      </w:r>
      <w:r w:rsidRPr="0092047B">
        <w:rPr>
          <w:rFonts w:cstheme="minorHAnsi"/>
        </w:rPr>
        <w:tab/>
      </w:r>
      <w:r w:rsidRPr="0092047B">
        <w:rPr>
          <w:rFonts w:cstheme="minorHAnsi"/>
        </w:rPr>
        <w:tab/>
        <w:t>Mezinárodní energetické fórum</w:t>
      </w:r>
    </w:p>
    <w:p w:rsidR="0053147C" w:rsidRPr="0092047B" w:rsidRDefault="0053147C" w:rsidP="0053147C">
      <w:pPr>
        <w:spacing w:before="120" w:line="276" w:lineRule="auto"/>
        <w:contextualSpacing/>
        <w:rPr>
          <w:rFonts w:cstheme="minorHAnsi"/>
        </w:rPr>
      </w:pPr>
      <w:r w:rsidRPr="0092047B">
        <w:rPr>
          <w:rFonts w:cstheme="minorHAnsi"/>
        </w:rPr>
        <w:t xml:space="preserve">IKL  </w:t>
      </w:r>
      <w:r w:rsidRPr="0092047B">
        <w:rPr>
          <w:rFonts w:cstheme="minorHAnsi"/>
        </w:rPr>
        <w:tab/>
      </w:r>
      <w:r w:rsidRPr="0092047B">
        <w:rPr>
          <w:rFonts w:cstheme="minorHAnsi"/>
        </w:rPr>
        <w:tab/>
        <w:t xml:space="preserve">ropovod Ingolstadt </w:t>
      </w:r>
      <w:r w:rsidR="009A5258">
        <w:rPr>
          <w:rFonts w:cstheme="minorHAnsi"/>
        </w:rPr>
        <w:t>-</w:t>
      </w:r>
      <w:r w:rsidRPr="0092047B">
        <w:rPr>
          <w:rFonts w:cstheme="minorHAnsi"/>
        </w:rPr>
        <w:t xml:space="preserve"> Kralupy nad Vltavou - Litvínov</w:t>
      </w:r>
    </w:p>
    <w:p w:rsidR="0053147C" w:rsidRPr="0092047B" w:rsidRDefault="0053147C" w:rsidP="0053147C">
      <w:pPr>
        <w:spacing w:before="120" w:line="276" w:lineRule="auto"/>
        <w:contextualSpacing/>
        <w:rPr>
          <w:rFonts w:cstheme="minorHAnsi"/>
        </w:rPr>
      </w:pPr>
      <w:r w:rsidRPr="0092047B">
        <w:rPr>
          <w:rFonts w:cstheme="minorHAnsi"/>
        </w:rPr>
        <w:t xml:space="preserve">IRENA  </w:t>
      </w:r>
      <w:r w:rsidRPr="0092047B">
        <w:rPr>
          <w:rFonts w:cstheme="minorHAnsi"/>
        </w:rPr>
        <w:tab/>
        <w:t>Mezinárodní agentura pro obnovitelné zdroje</w:t>
      </w:r>
    </w:p>
    <w:p w:rsidR="0053147C" w:rsidRPr="0092047B" w:rsidRDefault="0053147C" w:rsidP="0053147C">
      <w:pPr>
        <w:spacing w:before="120" w:line="276" w:lineRule="auto"/>
        <w:contextualSpacing/>
        <w:rPr>
          <w:rFonts w:cstheme="minorHAnsi"/>
        </w:rPr>
      </w:pPr>
      <w:r w:rsidRPr="0092047B">
        <w:rPr>
          <w:rFonts w:cstheme="minorHAnsi"/>
        </w:rPr>
        <w:t xml:space="preserve">IT  </w:t>
      </w:r>
      <w:r w:rsidRPr="0092047B">
        <w:rPr>
          <w:rFonts w:cstheme="minorHAnsi"/>
        </w:rPr>
        <w:tab/>
      </w:r>
      <w:r w:rsidRPr="0092047B">
        <w:rPr>
          <w:rFonts w:cstheme="minorHAnsi"/>
        </w:rPr>
        <w:tab/>
        <w:t>informační technologie</w:t>
      </w:r>
    </w:p>
    <w:p w:rsidR="0053147C" w:rsidRPr="0092047B" w:rsidRDefault="0053147C" w:rsidP="0053147C">
      <w:pPr>
        <w:spacing w:before="120" w:line="276" w:lineRule="auto"/>
        <w:contextualSpacing/>
        <w:rPr>
          <w:rFonts w:cstheme="minorHAnsi"/>
        </w:rPr>
      </w:pPr>
      <w:r w:rsidRPr="0092047B">
        <w:rPr>
          <w:rFonts w:cstheme="minorHAnsi"/>
        </w:rPr>
        <w:t xml:space="preserve">JE  </w:t>
      </w:r>
      <w:r w:rsidRPr="0092047B">
        <w:rPr>
          <w:rFonts w:cstheme="minorHAnsi"/>
        </w:rPr>
        <w:tab/>
      </w:r>
      <w:r w:rsidRPr="0092047B">
        <w:rPr>
          <w:rFonts w:cstheme="minorHAnsi"/>
        </w:rPr>
        <w:tab/>
        <w:t>jaderná elektrárna</w:t>
      </w:r>
    </w:p>
    <w:p w:rsidR="0053147C" w:rsidRPr="0092047B" w:rsidRDefault="0053147C" w:rsidP="0053147C">
      <w:pPr>
        <w:spacing w:before="120" w:line="276" w:lineRule="auto"/>
        <w:contextualSpacing/>
        <w:rPr>
          <w:rFonts w:cstheme="minorHAnsi"/>
        </w:rPr>
      </w:pPr>
      <w:r w:rsidRPr="0092047B">
        <w:rPr>
          <w:rFonts w:cstheme="minorHAnsi"/>
        </w:rPr>
        <w:t xml:space="preserve">JEDU </w:t>
      </w:r>
      <w:r w:rsidRPr="0092047B">
        <w:rPr>
          <w:rFonts w:cstheme="minorHAnsi"/>
        </w:rPr>
        <w:tab/>
        <w:t xml:space="preserve"> </w:t>
      </w:r>
      <w:r w:rsidRPr="0092047B">
        <w:rPr>
          <w:rFonts w:cstheme="minorHAnsi"/>
        </w:rPr>
        <w:tab/>
        <w:t>jaderná elektrárna Dukovany</w:t>
      </w:r>
    </w:p>
    <w:p w:rsidR="0053147C" w:rsidRDefault="0053147C" w:rsidP="0053147C">
      <w:pPr>
        <w:spacing w:before="120" w:line="276" w:lineRule="auto"/>
        <w:contextualSpacing/>
        <w:rPr>
          <w:rFonts w:cstheme="minorHAnsi"/>
        </w:rPr>
      </w:pPr>
      <w:r w:rsidRPr="0092047B">
        <w:rPr>
          <w:rFonts w:cstheme="minorHAnsi"/>
        </w:rPr>
        <w:t xml:space="preserve">JETE </w:t>
      </w:r>
      <w:r w:rsidRPr="0092047B">
        <w:rPr>
          <w:rFonts w:cstheme="minorHAnsi"/>
        </w:rPr>
        <w:tab/>
      </w:r>
      <w:r w:rsidRPr="0092047B">
        <w:rPr>
          <w:rFonts w:cstheme="minorHAnsi"/>
        </w:rPr>
        <w:tab/>
        <w:t>jaderná elektrárna Temelín</w:t>
      </w:r>
    </w:p>
    <w:p w:rsidR="0010323D" w:rsidRPr="0092047B" w:rsidRDefault="0010323D" w:rsidP="0053147C">
      <w:pPr>
        <w:spacing w:before="120" w:line="276" w:lineRule="auto"/>
        <w:contextualSpacing/>
        <w:rPr>
          <w:rFonts w:cstheme="minorHAnsi"/>
        </w:rPr>
      </w:pPr>
      <w:r>
        <w:rPr>
          <w:rFonts w:cstheme="minorHAnsi"/>
        </w:rPr>
        <w:t>Kč</w:t>
      </w:r>
      <w:r>
        <w:rPr>
          <w:rFonts w:cstheme="minorHAnsi"/>
        </w:rPr>
        <w:tab/>
      </w:r>
      <w:r>
        <w:rPr>
          <w:rFonts w:cstheme="minorHAnsi"/>
        </w:rPr>
        <w:tab/>
        <w:t>koruna česká</w:t>
      </w:r>
    </w:p>
    <w:p w:rsidR="0053147C" w:rsidRPr="0092047B" w:rsidRDefault="0053147C" w:rsidP="0053147C">
      <w:pPr>
        <w:spacing w:before="120" w:line="276" w:lineRule="auto"/>
        <w:contextualSpacing/>
        <w:rPr>
          <w:rFonts w:cstheme="minorHAnsi"/>
        </w:rPr>
      </w:pPr>
      <w:r w:rsidRPr="0092047B">
        <w:rPr>
          <w:rFonts w:cstheme="minorHAnsi"/>
        </w:rPr>
        <w:t xml:space="preserve">KSE  </w:t>
      </w:r>
      <w:r w:rsidRPr="0092047B">
        <w:rPr>
          <w:rFonts w:cstheme="minorHAnsi"/>
        </w:rPr>
        <w:tab/>
      </w:r>
      <w:r w:rsidRPr="0092047B">
        <w:rPr>
          <w:rFonts w:cstheme="minorHAnsi"/>
        </w:rPr>
        <w:tab/>
        <w:t>konečná spotřeba energie</w:t>
      </w:r>
    </w:p>
    <w:p w:rsidR="0053147C" w:rsidRDefault="0053147C" w:rsidP="0053147C">
      <w:pPr>
        <w:spacing w:before="120" w:line="276" w:lineRule="auto"/>
        <w:contextualSpacing/>
        <w:rPr>
          <w:rFonts w:cstheme="minorHAnsi"/>
        </w:rPr>
      </w:pPr>
      <w:r w:rsidRPr="0092047B">
        <w:rPr>
          <w:rFonts w:cstheme="minorHAnsi"/>
        </w:rPr>
        <w:t xml:space="preserve">KVET </w:t>
      </w:r>
      <w:r w:rsidRPr="0092047B">
        <w:rPr>
          <w:rFonts w:cstheme="minorHAnsi"/>
        </w:rPr>
        <w:tab/>
        <w:t xml:space="preserve"> </w:t>
      </w:r>
      <w:r w:rsidRPr="0092047B">
        <w:rPr>
          <w:rFonts w:cstheme="minorHAnsi"/>
        </w:rPr>
        <w:tab/>
        <w:t>kombinovaná výroba elektřiny a tepla</w:t>
      </w:r>
    </w:p>
    <w:p w:rsidR="00055348" w:rsidRPr="0092047B" w:rsidRDefault="00055348" w:rsidP="0053147C">
      <w:pPr>
        <w:spacing w:before="120" w:line="276" w:lineRule="auto"/>
        <w:contextualSpacing/>
        <w:rPr>
          <w:rFonts w:cstheme="minorHAnsi"/>
        </w:rPr>
      </w:pPr>
      <w:r>
        <w:rPr>
          <w:rFonts w:cstheme="minorHAnsi"/>
        </w:rPr>
        <w:t>kWh</w:t>
      </w:r>
      <w:r>
        <w:rPr>
          <w:rFonts w:cstheme="minorHAnsi"/>
        </w:rPr>
        <w:tab/>
      </w:r>
      <w:r>
        <w:rPr>
          <w:rFonts w:cstheme="minorHAnsi"/>
        </w:rPr>
        <w:tab/>
        <w:t>kilowatthodina</w:t>
      </w:r>
    </w:p>
    <w:p w:rsidR="0053147C" w:rsidRPr="0092047B" w:rsidRDefault="0053147C" w:rsidP="0053147C">
      <w:pPr>
        <w:spacing w:before="120" w:line="276" w:lineRule="auto"/>
        <w:contextualSpacing/>
        <w:rPr>
          <w:rFonts w:cstheme="minorHAnsi"/>
        </w:rPr>
      </w:pPr>
      <w:r w:rsidRPr="0092047B">
        <w:rPr>
          <w:rFonts w:cstheme="minorHAnsi"/>
        </w:rPr>
        <w:t xml:space="preserve">LNG  </w:t>
      </w:r>
      <w:r w:rsidRPr="0092047B">
        <w:rPr>
          <w:rFonts w:cstheme="minorHAnsi"/>
        </w:rPr>
        <w:tab/>
      </w:r>
      <w:r w:rsidRPr="0092047B">
        <w:rPr>
          <w:rFonts w:cstheme="minorHAnsi"/>
        </w:rPr>
        <w:tab/>
        <w:t>zkapalněný zemní plyn</w:t>
      </w:r>
    </w:p>
    <w:p w:rsidR="0053147C" w:rsidRPr="0092047B" w:rsidRDefault="0053147C" w:rsidP="0053147C">
      <w:pPr>
        <w:spacing w:before="120" w:line="276" w:lineRule="auto"/>
        <w:contextualSpacing/>
        <w:rPr>
          <w:rFonts w:cstheme="minorHAnsi"/>
        </w:rPr>
      </w:pPr>
      <w:r w:rsidRPr="0092047B">
        <w:rPr>
          <w:rFonts w:cstheme="minorHAnsi"/>
        </w:rPr>
        <w:t xml:space="preserve">MD </w:t>
      </w:r>
      <w:r w:rsidRPr="0092047B">
        <w:rPr>
          <w:rFonts w:cstheme="minorHAnsi"/>
        </w:rPr>
        <w:tab/>
      </w:r>
      <w:r w:rsidRPr="0092047B">
        <w:rPr>
          <w:rFonts w:cstheme="minorHAnsi"/>
        </w:rPr>
        <w:tab/>
        <w:t>Ministerstvo dopravy</w:t>
      </w:r>
    </w:p>
    <w:p w:rsidR="0053147C" w:rsidRPr="0092047B" w:rsidRDefault="0053147C" w:rsidP="0053147C">
      <w:pPr>
        <w:spacing w:before="120" w:line="276" w:lineRule="auto"/>
        <w:contextualSpacing/>
        <w:rPr>
          <w:rFonts w:cstheme="minorHAnsi"/>
        </w:rPr>
      </w:pPr>
      <w:r w:rsidRPr="0092047B">
        <w:rPr>
          <w:rFonts w:cstheme="minorHAnsi"/>
        </w:rPr>
        <w:t>MERO</w:t>
      </w:r>
      <w:r w:rsidRPr="0092047B">
        <w:rPr>
          <w:rFonts w:cstheme="minorHAnsi"/>
        </w:rPr>
        <w:tab/>
      </w:r>
      <w:r w:rsidRPr="0092047B">
        <w:rPr>
          <w:rFonts w:cstheme="minorHAnsi"/>
        </w:rPr>
        <w:tab/>
        <w:t>Mezinárodní ropovody</w:t>
      </w:r>
    </w:p>
    <w:p w:rsidR="0053147C" w:rsidRPr="0092047B" w:rsidRDefault="0053147C" w:rsidP="0053147C">
      <w:pPr>
        <w:spacing w:before="120" w:line="276" w:lineRule="auto"/>
        <w:contextualSpacing/>
        <w:rPr>
          <w:rFonts w:cstheme="minorHAnsi"/>
        </w:rPr>
      </w:pPr>
      <w:r w:rsidRPr="0092047B">
        <w:rPr>
          <w:rFonts w:cstheme="minorHAnsi"/>
        </w:rPr>
        <w:t xml:space="preserve">MF  </w:t>
      </w:r>
      <w:r w:rsidRPr="0092047B">
        <w:rPr>
          <w:rFonts w:cstheme="minorHAnsi"/>
        </w:rPr>
        <w:tab/>
      </w:r>
      <w:r w:rsidRPr="0092047B">
        <w:rPr>
          <w:rFonts w:cstheme="minorHAnsi"/>
        </w:rPr>
        <w:tab/>
        <w:t>Ministerstvo financí</w:t>
      </w:r>
    </w:p>
    <w:p w:rsidR="0053147C" w:rsidRDefault="0053147C" w:rsidP="0053147C">
      <w:pPr>
        <w:spacing w:before="120" w:line="276" w:lineRule="auto"/>
        <w:contextualSpacing/>
        <w:rPr>
          <w:rFonts w:cstheme="minorHAnsi"/>
        </w:rPr>
      </w:pPr>
      <w:r w:rsidRPr="0092047B">
        <w:rPr>
          <w:rFonts w:cstheme="minorHAnsi"/>
        </w:rPr>
        <w:t xml:space="preserve">MHD  </w:t>
      </w:r>
      <w:r w:rsidRPr="0092047B">
        <w:rPr>
          <w:rFonts w:cstheme="minorHAnsi"/>
        </w:rPr>
        <w:tab/>
      </w:r>
      <w:r w:rsidRPr="0092047B">
        <w:rPr>
          <w:rFonts w:cstheme="minorHAnsi"/>
        </w:rPr>
        <w:tab/>
        <w:t>městská hromadná doprava</w:t>
      </w:r>
    </w:p>
    <w:p w:rsidR="00055348" w:rsidRPr="0092047B" w:rsidRDefault="00055348" w:rsidP="0053147C">
      <w:pPr>
        <w:spacing w:before="120" w:line="276" w:lineRule="auto"/>
        <w:contextualSpacing/>
        <w:rPr>
          <w:rFonts w:cstheme="minorHAnsi"/>
        </w:rPr>
      </w:pPr>
      <w:r>
        <w:rPr>
          <w:rFonts w:cstheme="minorHAnsi"/>
        </w:rPr>
        <w:t>MJ</w:t>
      </w:r>
      <w:r>
        <w:rPr>
          <w:rFonts w:cstheme="minorHAnsi"/>
        </w:rPr>
        <w:tab/>
      </w:r>
      <w:r>
        <w:rPr>
          <w:rFonts w:cstheme="minorHAnsi"/>
        </w:rPr>
        <w:tab/>
        <w:t>megajoule</w:t>
      </w:r>
    </w:p>
    <w:p w:rsidR="0053147C" w:rsidRPr="0092047B" w:rsidRDefault="0053147C" w:rsidP="0053147C">
      <w:pPr>
        <w:spacing w:before="120" w:line="276" w:lineRule="auto"/>
        <w:contextualSpacing/>
        <w:rPr>
          <w:rFonts w:cstheme="minorHAnsi"/>
        </w:rPr>
      </w:pPr>
      <w:r w:rsidRPr="0092047B">
        <w:rPr>
          <w:rFonts w:cstheme="minorHAnsi"/>
        </w:rPr>
        <w:t xml:space="preserve">MMR  </w:t>
      </w:r>
      <w:r w:rsidRPr="0092047B">
        <w:rPr>
          <w:rFonts w:cstheme="minorHAnsi"/>
        </w:rPr>
        <w:tab/>
      </w:r>
      <w:r w:rsidRPr="0092047B">
        <w:rPr>
          <w:rFonts w:cstheme="minorHAnsi"/>
        </w:rPr>
        <w:tab/>
        <w:t>Ministerstvo pro místní rozvoj</w:t>
      </w:r>
    </w:p>
    <w:p w:rsidR="0053147C" w:rsidRPr="0092047B" w:rsidRDefault="0053147C" w:rsidP="0053147C">
      <w:pPr>
        <w:spacing w:before="120" w:line="276" w:lineRule="auto"/>
        <w:contextualSpacing/>
        <w:rPr>
          <w:rFonts w:cstheme="minorHAnsi"/>
        </w:rPr>
      </w:pPr>
      <w:r w:rsidRPr="0092047B">
        <w:rPr>
          <w:rFonts w:cstheme="minorHAnsi"/>
        </w:rPr>
        <w:t xml:space="preserve">MPO </w:t>
      </w:r>
      <w:r w:rsidRPr="0092047B">
        <w:rPr>
          <w:rFonts w:cstheme="minorHAnsi"/>
        </w:rPr>
        <w:tab/>
        <w:t xml:space="preserve"> </w:t>
      </w:r>
      <w:r w:rsidRPr="0092047B">
        <w:rPr>
          <w:rFonts w:cstheme="minorHAnsi"/>
        </w:rPr>
        <w:tab/>
        <w:t>Ministerstvo průmyslu a obchodu</w:t>
      </w:r>
    </w:p>
    <w:p w:rsidR="0053147C" w:rsidRDefault="0053147C" w:rsidP="0053147C">
      <w:pPr>
        <w:spacing w:before="120" w:line="276" w:lineRule="auto"/>
        <w:contextualSpacing/>
        <w:rPr>
          <w:rFonts w:cstheme="minorHAnsi"/>
        </w:rPr>
      </w:pPr>
      <w:r w:rsidRPr="0092047B">
        <w:rPr>
          <w:rFonts w:cstheme="minorHAnsi"/>
        </w:rPr>
        <w:t xml:space="preserve">MŠMT </w:t>
      </w:r>
      <w:r w:rsidRPr="0092047B">
        <w:rPr>
          <w:rFonts w:cstheme="minorHAnsi"/>
        </w:rPr>
        <w:tab/>
      </w:r>
      <w:r w:rsidRPr="0092047B">
        <w:rPr>
          <w:rFonts w:cstheme="minorHAnsi"/>
        </w:rPr>
        <w:tab/>
        <w:t>Ministerstvo školství, mládeže a tělovýchovy</w:t>
      </w:r>
    </w:p>
    <w:p w:rsidR="00055348" w:rsidRPr="0092047B" w:rsidRDefault="00055348" w:rsidP="0053147C">
      <w:pPr>
        <w:spacing w:before="120" w:line="276" w:lineRule="auto"/>
        <w:contextualSpacing/>
        <w:rPr>
          <w:rFonts w:cstheme="minorHAnsi"/>
        </w:rPr>
      </w:pPr>
      <w:r>
        <w:rPr>
          <w:rFonts w:cstheme="minorHAnsi"/>
        </w:rPr>
        <w:t>Mt</w:t>
      </w:r>
      <w:r>
        <w:rPr>
          <w:rFonts w:cstheme="minorHAnsi"/>
        </w:rPr>
        <w:tab/>
      </w:r>
      <w:r>
        <w:rPr>
          <w:rFonts w:cstheme="minorHAnsi"/>
        </w:rPr>
        <w:tab/>
        <w:t>megatuna</w:t>
      </w:r>
    </w:p>
    <w:p w:rsidR="0010323D" w:rsidRPr="0092047B" w:rsidRDefault="0053147C" w:rsidP="0053147C">
      <w:pPr>
        <w:spacing w:before="120" w:line="276" w:lineRule="auto"/>
        <w:contextualSpacing/>
        <w:rPr>
          <w:rFonts w:cstheme="minorHAnsi"/>
        </w:rPr>
      </w:pPr>
      <w:r w:rsidRPr="0092047B">
        <w:rPr>
          <w:rFonts w:cstheme="minorHAnsi"/>
        </w:rPr>
        <w:t xml:space="preserve">MV  </w:t>
      </w:r>
      <w:r w:rsidRPr="0092047B">
        <w:rPr>
          <w:rFonts w:cstheme="minorHAnsi"/>
        </w:rPr>
        <w:tab/>
      </w:r>
      <w:r w:rsidRPr="0092047B">
        <w:rPr>
          <w:rFonts w:cstheme="minorHAnsi"/>
        </w:rPr>
        <w:tab/>
        <w:t>Ministerstvo vnitra</w:t>
      </w:r>
    </w:p>
    <w:p w:rsidR="0053147C" w:rsidRDefault="0053147C" w:rsidP="0053147C">
      <w:pPr>
        <w:spacing w:before="120" w:line="276" w:lineRule="auto"/>
        <w:contextualSpacing/>
        <w:rPr>
          <w:rFonts w:cstheme="minorHAnsi"/>
        </w:rPr>
      </w:pPr>
      <w:r w:rsidRPr="0092047B">
        <w:rPr>
          <w:rFonts w:cstheme="minorHAnsi"/>
        </w:rPr>
        <w:t>MW</w:t>
      </w:r>
      <w:r w:rsidRPr="0092047B">
        <w:rPr>
          <w:rFonts w:cstheme="minorHAnsi"/>
        </w:rPr>
        <w:tab/>
      </w:r>
      <w:r w:rsidRPr="0092047B">
        <w:rPr>
          <w:rFonts w:cstheme="minorHAnsi"/>
        </w:rPr>
        <w:tab/>
        <w:t>megawatt</w:t>
      </w:r>
    </w:p>
    <w:p w:rsidR="0010323D" w:rsidRPr="0092047B" w:rsidRDefault="0010323D" w:rsidP="0053147C">
      <w:pPr>
        <w:spacing w:before="120" w:line="276" w:lineRule="auto"/>
        <w:contextualSpacing/>
        <w:rPr>
          <w:rFonts w:cstheme="minorHAnsi"/>
        </w:rPr>
      </w:pPr>
      <w:r>
        <w:rPr>
          <w:rFonts w:cstheme="minorHAnsi"/>
        </w:rPr>
        <w:t>MWh</w:t>
      </w:r>
      <w:r>
        <w:rPr>
          <w:rFonts w:cstheme="minorHAnsi"/>
        </w:rPr>
        <w:tab/>
      </w:r>
      <w:r>
        <w:rPr>
          <w:rFonts w:cstheme="minorHAnsi"/>
        </w:rPr>
        <w:tab/>
        <w:t>megawatthodina</w:t>
      </w:r>
    </w:p>
    <w:p w:rsidR="002D6612" w:rsidRPr="0092047B" w:rsidRDefault="0053147C" w:rsidP="0053147C">
      <w:pPr>
        <w:spacing w:before="120" w:line="276" w:lineRule="auto"/>
        <w:contextualSpacing/>
        <w:rPr>
          <w:rFonts w:cstheme="minorHAnsi"/>
        </w:rPr>
      </w:pPr>
      <w:r w:rsidRPr="0092047B">
        <w:rPr>
          <w:rFonts w:cstheme="minorHAnsi"/>
        </w:rPr>
        <w:t xml:space="preserve">MŽP  </w:t>
      </w:r>
      <w:r w:rsidRPr="0092047B">
        <w:rPr>
          <w:rFonts w:cstheme="minorHAnsi"/>
        </w:rPr>
        <w:tab/>
      </w:r>
      <w:r w:rsidRPr="0092047B">
        <w:rPr>
          <w:rFonts w:cstheme="minorHAnsi"/>
        </w:rPr>
        <w:tab/>
        <w:t>Ministerstvo životního prostředí</w:t>
      </w:r>
    </w:p>
    <w:p w:rsidR="0053147C" w:rsidRDefault="0053147C" w:rsidP="0053147C">
      <w:pPr>
        <w:spacing w:before="120" w:line="276" w:lineRule="auto"/>
        <w:contextualSpacing/>
        <w:rPr>
          <w:rFonts w:cstheme="minorHAnsi"/>
        </w:rPr>
      </w:pPr>
      <w:r w:rsidRPr="0092047B">
        <w:rPr>
          <w:rFonts w:cstheme="minorHAnsi"/>
        </w:rPr>
        <w:t xml:space="preserve">NAP  </w:t>
      </w:r>
      <w:r w:rsidRPr="0092047B">
        <w:rPr>
          <w:rFonts w:cstheme="minorHAnsi"/>
        </w:rPr>
        <w:tab/>
      </w:r>
      <w:r w:rsidRPr="0092047B">
        <w:rPr>
          <w:rFonts w:cstheme="minorHAnsi"/>
        </w:rPr>
        <w:tab/>
        <w:t>Národní akční plán</w:t>
      </w:r>
    </w:p>
    <w:p w:rsidR="002D6612" w:rsidRPr="0092047B" w:rsidRDefault="002D6612" w:rsidP="0053147C">
      <w:pPr>
        <w:spacing w:before="120" w:line="276" w:lineRule="auto"/>
        <w:contextualSpacing/>
        <w:rPr>
          <w:rFonts w:cstheme="minorHAnsi"/>
        </w:rPr>
      </w:pPr>
      <w:r>
        <w:rPr>
          <w:rFonts w:cstheme="minorHAnsi"/>
        </w:rPr>
        <w:t>NEEAP</w:t>
      </w:r>
      <w:r>
        <w:rPr>
          <w:rFonts w:cstheme="minorHAnsi"/>
        </w:rPr>
        <w:tab/>
      </w:r>
      <w:r>
        <w:rPr>
          <w:rFonts w:cstheme="minorHAnsi"/>
        </w:rPr>
        <w:tab/>
      </w:r>
      <w:r w:rsidR="00D91A93">
        <w:rPr>
          <w:rFonts w:cstheme="minorHAnsi"/>
        </w:rPr>
        <w:t>Národní akční plán</w:t>
      </w:r>
      <w:r>
        <w:rPr>
          <w:rFonts w:cstheme="minorHAnsi"/>
        </w:rPr>
        <w:t xml:space="preserve"> energetické účinnosti</w:t>
      </w:r>
    </w:p>
    <w:p w:rsidR="0053147C" w:rsidRPr="0092047B" w:rsidRDefault="0053147C" w:rsidP="0053147C">
      <w:pPr>
        <w:spacing w:before="120" w:line="276" w:lineRule="auto"/>
        <w:contextualSpacing/>
        <w:rPr>
          <w:rFonts w:cstheme="minorHAnsi"/>
        </w:rPr>
      </w:pPr>
      <w:r w:rsidRPr="0092047B">
        <w:rPr>
          <w:rFonts w:cstheme="minorHAnsi"/>
        </w:rPr>
        <w:t xml:space="preserve">nn  </w:t>
      </w:r>
      <w:r w:rsidRPr="0092047B">
        <w:rPr>
          <w:rFonts w:cstheme="minorHAnsi"/>
        </w:rPr>
        <w:tab/>
      </w:r>
      <w:r w:rsidRPr="0092047B">
        <w:rPr>
          <w:rFonts w:cstheme="minorHAnsi"/>
        </w:rPr>
        <w:tab/>
        <w:t>nízké napětí</w:t>
      </w:r>
    </w:p>
    <w:p w:rsidR="0053147C" w:rsidRPr="0092047B" w:rsidRDefault="0053147C" w:rsidP="0053147C">
      <w:pPr>
        <w:spacing w:before="120" w:line="276" w:lineRule="auto"/>
        <w:contextualSpacing/>
        <w:rPr>
          <w:rFonts w:cstheme="minorHAnsi"/>
        </w:rPr>
      </w:pPr>
      <w:r w:rsidRPr="0092047B">
        <w:rPr>
          <w:rFonts w:cstheme="minorHAnsi"/>
        </w:rPr>
        <w:t xml:space="preserve">OECD </w:t>
      </w:r>
      <w:r w:rsidRPr="0092047B">
        <w:rPr>
          <w:rFonts w:cstheme="minorHAnsi"/>
        </w:rPr>
        <w:tab/>
        <w:t xml:space="preserve"> </w:t>
      </w:r>
      <w:r w:rsidRPr="0092047B">
        <w:rPr>
          <w:rFonts w:cstheme="minorHAnsi"/>
        </w:rPr>
        <w:tab/>
        <w:t>Organizace pro hospodářskou spolupráci a rozvoj</w:t>
      </w:r>
    </w:p>
    <w:p w:rsidR="0053147C" w:rsidRPr="0092047B" w:rsidRDefault="0053147C" w:rsidP="0053147C">
      <w:pPr>
        <w:spacing w:before="120" w:line="276" w:lineRule="auto"/>
        <w:contextualSpacing/>
        <w:rPr>
          <w:rFonts w:cstheme="minorHAnsi"/>
        </w:rPr>
      </w:pPr>
      <w:r w:rsidRPr="0092047B">
        <w:rPr>
          <w:rFonts w:cstheme="minorHAnsi"/>
        </w:rPr>
        <w:t xml:space="preserve">OTE  </w:t>
      </w:r>
      <w:r w:rsidRPr="0092047B">
        <w:rPr>
          <w:rFonts w:cstheme="minorHAnsi"/>
        </w:rPr>
        <w:tab/>
      </w:r>
      <w:r w:rsidRPr="0092047B">
        <w:rPr>
          <w:rFonts w:cstheme="minorHAnsi"/>
        </w:rPr>
        <w:tab/>
        <w:t>Operátor trhu</w:t>
      </w:r>
    </w:p>
    <w:p w:rsidR="0053147C" w:rsidRPr="0092047B" w:rsidRDefault="0053147C" w:rsidP="0053147C">
      <w:pPr>
        <w:spacing w:before="120" w:line="276" w:lineRule="auto"/>
        <w:contextualSpacing/>
        <w:rPr>
          <w:rFonts w:cstheme="minorHAnsi"/>
        </w:rPr>
      </w:pPr>
      <w:r w:rsidRPr="0092047B">
        <w:rPr>
          <w:rFonts w:cstheme="minorHAnsi"/>
        </w:rPr>
        <w:t xml:space="preserve">OZE  </w:t>
      </w:r>
      <w:r w:rsidRPr="0092047B">
        <w:rPr>
          <w:rFonts w:cstheme="minorHAnsi"/>
        </w:rPr>
        <w:tab/>
      </w:r>
      <w:r w:rsidRPr="0092047B">
        <w:rPr>
          <w:rFonts w:cstheme="minorHAnsi"/>
        </w:rPr>
        <w:tab/>
        <w:t>obnovitelné zdroje energie</w:t>
      </w:r>
    </w:p>
    <w:p w:rsidR="0053147C" w:rsidRPr="0092047B" w:rsidRDefault="0053147C" w:rsidP="0053147C">
      <w:pPr>
        <w:spacing w:before="120" w:line="276" w:lineRule="auto"/>
        <w:contextualSpacing/>
        <w:rPr>
          <w:rFonts w:cstheme="minorHAnsi"/>
        </w:rPr>
      </w:pPr>
      <w:r w:rsidRPr="0092047B">
        <w:rPr>
          <w:rFonts w:cstheme="minorHAnsi"/>
        </w:rPr>
        <w:t xml:space="preserve">PAH  </w:t>
      </w:r>
      <w:r w:rsidRPr="0092047B">
        <w:rPr>
          <w:rFonts w:cstheme="minorHAnsi"/>
        </w:rPr>
        <w:tab/>
      </w:r>
      <w:r w:rsidRPr="0092047B">
        <w:rPr>
          <w:rFonts w:cstheme="minorHAnsi"/>
        </w:rPr>
        <w:tab/>
        <w:t>polycyklické aromatické uhlovodíky</w:t>
      </w:r>
    </w:p>
    <w:p w:rsidR="0010323D" w:rsidRPr="0092047B" w:rsidRDefault="0053147C" w:rsidP="0053147C">
      <w:pPr>
        <w:spacing w:before="120" w:line="276" w:lineRule="auto"/>
        <w:contextualSpacing/>
        <w:rPr>
          <w:rFonts w:cstheme="minorHAnsi"/>
        </w:rPr>
      </w:pPr>
      <w:r w:rsidRPr="0092047B">
        <w:rPr>
          <w:rFonts w:cstheme="minorHAnsi"/>
        </w:rPr>
        <w:t xml:space="preserve">PDS  </w:t>
      </w:r>
      <w:r w:rsidRPr="0092047B">
        <w:rPr>
          <w:rFonts w:cstheme="minorHAnsi"/>
        </w:rPr>
        <w:tab/>
      </w:r>
      <w:r w:rsidRPr="0092047B">
        <w:rPr>
          <w:rFonts w:cstheme="minorHAnsi"/>
        </w:rPr>
        <w:tab/>
        <w:t>provozovatel distribuční soustavy</w:t>
      </w:r>
    </w:p>
    <w:p w:rsidR="0053147C" w:rsidRPr="0092047B" w:rsidRDefault="0053147C" w:rsidP="0053147C">
      <w:pPr>
        <w:spacing w:before="120" w:line="276" w:lineRule="auto"/>
        <w:contextualSpacing/>
        <w:rPr>
          <w:rFonts w:cstheme="minorHAnsi"/>
        </w:rPr>
      </w:pPr>
      <w:r w:rsidRPr="0092047B">
        <w:rPr>
          <w:rFonts w:cstheme="minorHAnsi"/>
        </w:rPr>
        <w:t xml:space="preserve">PE  </w:t>
      </w:r>
      <w:r w:rsidRPr="0092047B">
        <w:rPr>
          <w:rFonts w:cstheme="minorHAnsi"/>
        </w:rPr>
        <w:tab/>
      </w:r>
      <w:r w:rsidRPr="0092047B">
        <w:rPr>
          <w:rFonts w:cstheme="minorHAnsi"/>
        </w:rPr>
        <w:tab/>
        <w:t>parní (uhelná) elektrárna</w:t>
      </w:r>
    </w:p>
    <w:p w:rsidR="0053147C" w:rsidRPr="0092047B" w:rsidRDefault="0053147C" w:rsidP="0053147C">
      <w:pPr>
        <w:spacing w:before="120" w:line="276" w:lineRule="auto"/>
        <w:contextualSpacing/>
        <w:rPr>
          <w:rFonts w:cstheme="minorHAnsi"/>
        </w:rPr>
      </w:pPr>
      <w:r w:rsidRPr="0092047B">
        <w:rPr>
          <w:rFonts w:cstheme="minorHAnsi"/>
        </w:rPr>
        <w:t xml:space="preserve">PEZ  </w:t>
      </w:r>
      <w:r w:rsidRPr="0092047B">
        <w:rPr>
          <w:rFonts w:cstheme="minorHAnsi"/>
        </w:rPr>
        <w:tab/>
      </w:r>
      <w:r w:rsidRPr="0092047B">
        <w:rPr>
          <w:rFonts w:cstheme="minorHAnsi"/>
        </w:rPr>
        <w:tab/>
        <w:t>primární energetické zdroje</w:t>
      </w:r>
    </w:p>
    <w:p w:rsidR="0053147C" w:rsidRPr="0092047B" w:rsidRDefault="0053147C" w:rsidP="0053147C">
      <w:pPr>
        <w:spacing w:before="120" w:line="276" w:lineRule="auto"/>
        <w:contextualSpacing/>
        <w:rPr>
          <w:rFonts w:cstheme="minorHAnsi"/>
        </w:rPr>
      </w:pPr>
      <w:r w:rsidRPr="0092047B">
        <w:rPr>
          <w:rFonts w:cstheme="minorHAnsi"/>
        </w:rPr>
        <w:t xml:space="preserve">PJ  </w:t>
      </w:r>
      <w:r w:rsidRPr="0092047B">
        <w:rPr>
          <w:rFonts w:cstheme="minorHAnsi"/>
        </w:rPr>
        <w:tab/>
      </w:r>
      <w:r w:rsidRPr="0092047B">
        <w:rPr>
          <w:rFonts w:cstheme="minorHAnsi"/>
        </w:rPr>
        <w:tab/>
        <w:t>petajoule</w:t>
      </w:r>
    </w:p>
    <w:p w:rsidR="0053147C" w:rsidRPr="0092047B" w:rsidRDefault="0053147C" w:rsidP="0053147C">
      <w:pPr>
        <w:spacing w:before="120" w:line="276" w:lineRule="auto"/>
        <w:contextualSpacing/>
        <w:rPr>
          <w:rFonts w:cstheme="minorHAnsi"/>
        </w:rPr>
      </w:pPr>
      <w:r w:rsidRPr="0092047B">
        <w:rPr>
          <w:rFonts w:cstheme="minorHAnsi"/>
        </w:rPr>
        <w:t>PM 10</w:t>
      </w:r>
      <w:r w:rsidRPr="0092047B">
        <w:rPr>
          <w:rFonts w:cstheme="minorHAnsi"/>
        </w:rPr>
        <w:tab/>
        <w:t xml:space="preserve"> </w:t>
      </w:r>
      <w:r w:rsidRPr="0092047B">
        <w:rPr>
          <w:rFonts w:cstheme="minorHAnsi"/>
        </w:rPr>
        <w:tab/>
        <w:t>pevné prachové částice (velikost do 10 µm)</w:t>
      </w:r>
    </w:p>
    <w:p w:rsidR="0053147C" w:rsidRPr="0092047B" w:rsidRDefault="0053147C" w:rsidP="0053147C">
      <w:pPr>
        <w:spacing w:before="120" w:line="276" w:lineRule="auto"/>
        <w:contextualSpacing/>
        <w:rPr>
          <w:rFonts w:cstheme="minorHAnsi"/>
        </w:rPr>
      </w:pPr>
      <w:r w:rsidRPr="0092047B">
        <w:rPr>
          <w:rFonts w:cstheme="minorHAnsi"/>
        </w:rPr>
        <w:t xml:space="preserve">PM 2,5  </w:t>
      </w:r>
      <w:r w:rsidRPr="0092047B">
        <w:rPr>
          <w:rFonts w:cstheme="minorHAnsi"/>
        </w:rPr>
        <w:tab/>
        <w:t>pevné prachové částice (velikost do 2,5 µm)</w:t>
      </w:r>
    </w:p>
    <w:p w:rsidR="0053147C" w:rsidRDefault="0053147C" w:rsidP="0053147C">
      <w:pPr>
        <w:spacing w:before="120" w:line="276" w:lineRule="auto"/>
        <w:contextualSpacing/>
        <w:rPr>
          <w:rFonts w:cstheme="minorHAnsi"/>
        </w:rPr>
      </w:pPr>
      <w:r w:rsidRPr="0092047B">
        <w:rPr>
          <w:rFonts w:cstheme="minorHAnsi"/>
        </w:rPr>
        <w:t xml:space="preserve">PPC  </w:t>
      </w:r>
      <w:r w:rsidRPr="0092047B">
        <w:rPr>
          <w:rFonts w:cstheme="minorHAnsi"/>
        </w:rPr>
        <w:tab/>
      </w:r>
      <w:r w:rsidRPr="0092047B">
        <w:rPr>
          <w:rFonts w:cstheme="minorHAnsi"/>
        </w:rPr>
        <w:tab/>
        <w:t>paroplynový cyklus</w:t>
      </w:r>
    </w:p>
    <w:p w:rsidR="0010323D" w:rsidRPr="0092047B" w:rsidRDefault="0010323D" w:rsidP="0053147C">
      <w:pPr>
        <w:spacing w:before="120" w:line="276" w:lineRule="auto"/>
        <w:contextualSpacing/>
        <w:rPr>
          <w:rFonts w:cstheme="minorHAnsi"/>
        </w:rPr>
      </w:pPr>
      <w:r>
        <w:rPr>
          <w:rFonts w:cstheme="minorHAnsi"/>
        </w:rPr>
        <w:t>PPP</w:t>
      </w:r>
      <w:r>
        <w:rPr>
          <w:rFonts w:cstheme="minorHAnsi"/>
        </w:rPr>
        <w:tab/>
      </w:r>
      <w:r>
        <w:rPr>
          <w:rFonts w:cstheme="minorHAnsi"/>
        </w:rPr>
        <w:tab/>
        <w:t>parita kupní síly</w:t>
      </w:r>
    </w:p>
    <w:p w:rsidR="0053147C" w:rsidRPr="0092047B" w:rsidRDefault="0053147C" w:rsidP="0053147C">
      <w:pPr>
        <w:spacing w:before="120" w:line="276" w:lineRule="auto"/>
        <w:contextualSpacing/>
        <w:rPr>
          <w:rFonts w:cstheme="minorHAnsi"/>
        </w:rPr>
      </w:pPr>
      <w:r w:rsidRPr="0092047B">
        <w:rPr>
          <w:rFonts w:cstheme="minorHAnsi"/>
        </w:rPr>
        <w:t xml:space="preserve">PPS  </w:t>
      </w:r>
      <w:r w:rsidRPr="0092047B">
        <w:rPr>
          <w:rFonts w:cstheme="minorHAnsi"/>
        </w:rPr>
        <w:tab/>
      </w:r>
      <w:r w:rsidRPr="0092047B">
        <w:rPr>
          <w:rFonts w:cstheme="minorHAnsi"/>
        </w:rPr>
        <w:tab/>
        <w:t>provozovatel přenosové soustavy</w:t>
      </w:r>
    </w:p>
    <w:p w:rsidR="0053147C" w:rsidRPr="0092047B" w:rsidRDefault="0053147C" w:rsidP="0053147C">
      <w:pPr>
        <w:spacing w:before="120" w:line="276" w:lineRule="auto"/>
        <w:contextualSpacing/>
        <w:rPr>
          <w:rFonts w:cstheme="minorHAnsi"/>
        </w:rPr>
      </w:pPr>
      <w:r w:rsidRPr="0092047B">
        <w:rPr>
          <w:rFonts w:cstheme="minorHAnsi"/>
        </w:rPr>
        <w:t xml:space="preserve">PRO  </w:t>
      </w:r>
      <w:r w:rsidRPr="0092047B">
        <w:rPr>
          <w:rFonts w:cstheme="minorHAnsi"/>
        </w:rPr>
        <w:tab/>
      </w:r>
      <w:r w:rsidRPr="0092047B">
        <w:rPr>
          <w:rFonts w:cstheme="minorHAnsi"/>
        </w:rPr>
        <w:tab/>
        <w:t>průmyslové odpady</w:t>
      </w:r>
    </w:p>
    <w:p w:rsidR="0053147C" w:rsidRPr="0092047B" w:rsidRDefault="0053147C" w:rsidP="0053147C">
      <w:pPr>
        <w:spacing w:before="120" w:line="276" w:lineRule="auto"/>
        <w:contextualSpacing/>
        <w:rPr>
          <w:rFonts w:cstheme="minorHAnsi"/>
        </w:rPr>
      </w:pPr>
      <w:r w:rsidRPr="0092047B">
        <w:rPr>
          <w:rFonts w:cstheme="minorHAnsi"/>
        </w:rPr>
        <w:t xml:space="preserve">PS  </w:t>
      </w:r>
      <w:r w:rsidRPr="0092047B">
        <w:rPr>
          <w:rFonts w:cstheme="minorHAnsi"/>
        </w:rPr>
        <w:tab/>
      </w:r>
      <w:r w:rsidRPr="0092047B">
        <w:rPr>
          <w:rFonts w:cstheme="minorHAnsi"/>
        </w:rPr>
        <w:tab/>
        <w:t>přenosová soustava</w:t>
      </w:r>
      <w:r w:rsidR="00D91A93">
        <w:rPr>
          <w:rFonts w:cstheme="minorHAnsi"/>
        </w:rPr>
        <w:t xml:space="preserve"> (elektroenergetika)</w:t>
      </w:r>
      <w:r w:rsidR="00DC46B0">
        <w:rPr>
          <w:rFonts w:cstheme="minorHAnsi"/>
        </w:rPr>
        <w:t>, přepravní soustava</w:t>
      </w:r>
      <w:r w:rsidR="00D91A93">
        <w:rPr>
          <w:rFonts w:cstheme="minorHAnsi"/>
        </w:rPr>
        <w:t xml:space="preserve"> (plynárenství)</w:t>
      </w:r>
    </w:p>
    <w:p w:rsidR="0053147C" w:rsidRPr="0092047B" w:rsidRDefault="0053147C" w:rsidP="0053147C">
      <w:pPr>
        <w:spacing w:before="120" w:line="276" w:lineRule="auto"/>
        <w:contextualSpacing/>
        <w:rPr>
          <w:rFonts w:cstheme="minorHAnsi"/>
        </w:rPr>
      </w:pPr>
      <w:r w:rsidRPr="0092047B">
        <w:rPr>
          <w:rFonts w:cstheme="minorHAnsi"/>
        </w:rPr>
        <w:t xml:space="preserve">PST  </w:t>
      </w:r>
      <w:r w:rsidRPr="0092047B">
        <w:rPr>
          <w:rFonts w:cstheme="minorHAnsi"/>
        </w:rPr>
        <w:tab/>
      </w:r>
      <w:r w:rsidRPr="0092047B">
        <w:rPr>
          <w:rFonts w:cstheme="minorHAnsi"/>
        </w:rPr>
        <w:tab/>
        <w:t>transformátor s regulací fáze</w:t>
      </w:r>
    </w:p>
    <w:p w:rsidR="0053147C" w:rsidRPr="0092047B" w:rsidRDefault="0053147C" w:rsidP="0053147C">
      <w:pPr>
        <w:spacing w:before="120" w:line="276" w:lineRule="auto"/>
        <w:contextualSpacing/>
        <w:rPr>
          <w:rFonts w:cstheme="minorHAnsi"/>
        </w:rPr>
      </w:pPr>
      <w:r w:rsidRPr="0092047B">
        <w:rPr>
          <w:rFonts w:cstheme="minorHAnsi"/>
        </w:rPr>
        <w:t xml:space="preserve">PÚR  </w:t>
      </w:r>
      <w:r w:rsidRPr="0092047B">
        <w:rPr>
          <w:rFonts w:cstheme="minorHAnsi"/>
        </w:rPr>
        <w:tab/>
      </w:r>
      <w:r w:rsidRPr="0092047B">
        <w:rPr>
          <w:rFonts w:cstheme="minorHAnsi"/>
        </w:rPr>
        <w:tab/>
        <w:t>politika územního rozvoje</w:t>
      </w:r>
    </w:p>
    <w:p w:rsidR="0053147C" w:rsidRDefault="0053147C" w:rsidP="0053147C">
      <w:pPr>
        <w:spacing w:before="120" w:line="276" w:lineRule="auto"/>
        <w:contextualSpacing/>
        <w:rPr>
          <w:rFonts w:cstheme="minorHAnsi"/>
        </w:rPr>
      </w:pPr>
      <w:r w:rsidRPr="0092047B">
        <w:rPr>
          <w:rFonts w:cstheme="minorHAnsi"/>
        </w:rPr>
        <w:t xml:space="preserve">PVE  </w:t>
      </w:r>
      <w:r w:rsidRPr="0092047B">
        <w:rPr>
          <w:rFonts w:cstheme="minorHAnsi"/>
        </w:rPr>
        <w:tab/>
      </w:r>
      <w:r w:rsidRPr="0092047B">
        <w:rPr>
          <w:rFonts w:cstheme="minorHAnsi"/>
        </w:rPr>
        <w:tab/>
        <w:t>přečerpávací vodní elektrárna</w:t>
      </w:r>
    </w:p>
    <w:p w:rsidR="00D91A93" w:rsidRPr="0092047B" w:rsidRDefault="00D91A93" w:rsidP="0053147C">
      <w:pPr>
        <w:spacing w:before="120" w:line="276" w:lineRule="auto"/>
        <w:contextualSpacing/>
        <w:rPr>
          <w:rFonts w:cstheme="minorHAnsi"/>
        </w:rPr>
      </w:pPr>
      <w:r w:rsidRPr="00A50F66">
        <w:rPr>
          <w:rFonts w:cstheme="minorHAnsi"/>
        </w:rPr>
        <w:t>R&amp;D&amp;D</w:t>
      </w:r>
      <w:r>
        <w:rPr>
          <w:rFonts w:cstheme="minorHAnsi"/>
        </w:rPr>
        <w:tab/>
      </w:r>
      <w:r w:rsidRPr="00A50F66">
        <w:rPr>
          <w:rFonts w:cstheme="minorHAnsi"/>
        </w:rPr>
        <w:t>research, development and demonstration</w:t>
      </w:r>
    </w:p>
    <w:p w:rsidR="0053147C" w:rsidRPr="0092047B" w:rsidRDefault="0053147C" w:rsidP="0053147C">
      <w:pPr>
        <w:spacing w:before="120" w:line="276" w:lineRule="auto"/>
        <w:contextualSpacing/>
        <w:rPr>
          <w:rFonts w:cstheme="minorHAnsi"/>
        </w:rPr>
      </w:pPr>
      <w:r w:rsidRPr="0092047B">
        <w:rPr>
          <w:rFonts w:cstheme="minorHAnsi"/>
        </w:rPr>
        <w:t xml:space="preserve">RAO  </w:t>
      </w:r>
      <w:r w:rsidRPr="0092047B">
        <w:rPr>
          <w:rFonts w:cstheme="minorHAnsi"/>
        </w:rPr>
        <w:tab/>
      </w:r>
      <w:r w:rsidRPr="0092047B">
        <w:rPr>
          <w:rFonts w:cstheme="minorHAnsi"/>
        </w:rPr>
        <w:tab/>
        <w:t>radioaktivní odpad</w:t>
      </w:r>
    </w:p>
    <w:p w:rsidR="0053147C" w:rsidRPr="0092047B" w:rsidRDefault="0053147C" w:rsidP="0053147C">
      <w:pPr>
        <w:spacing w:before="120" w:line="276" w:lineRule="auto"/>
        <w:contextualSpacing/>
        <w:rPr>
          <w:rFonts w:cstheme="minorHAnsi"/>
        </w:rPr>
      </w:pPr>
      <w:r w:rsidRPr="0092047B">
        <w:rPr>
          <w:rFonts w:cstheme="minorHAnsi"/>
        </w:rPr>
        <w:t xml:space="preserve">SEI  </w:t>
      </w:r>
      <w:r w:rsidRPr="0092047B">
        <w:rPr>
          <w:rFonts w:cstheme="minorHAnsi"/>
        </w:rPr>
        <w:tab/>
      </w:r>
      <w:r w:rsidRPr="0092047B">
        <w:rPr>
          <w:rFonts w:cstheme="minorHAnsi"/>
        </w:rPr>
        <w:tab/>
        <w:t>Státní energetická inspekce</w:t>
      </w:r>
    </w:p>
    <w:p w:rsidR="0053147C" w:rsidRPr="0092047B" w:rsidRDefault="0053147C" w:rsidP="0053147C">
      <w:pPr>
        <w:spacing w:before="120" w:line="276" w:lineRule="auto"/>
        <w:contextualSpacing/>
        <w:rPr>
          <w:rFonts w:cstheme="minorHAnsi"/>
        </w:rPr>
      </w:pPr>
      <w:r w:rsidRPr="0092047B">
        <w:rPr>
          <w:rFonts w:cstheme="minorHAnsi"/>
        </w:rPr>
        <w:t xml:space="preserve">SEK  </w:t>
      </w:r>
      <w:r w:rsidRPr="0092047B">
        <w:rPr>
          <w:rFonts w:cstheme="minorHAnsi"/>
        </w:rPr>
        <w:tab/>
      </w:r>
      <w:r w:rsidRPr="0092047B">
        <w:rPr>
          <w:rFonts w:cstheme="minorHAnsi"/>
        </w:rPr>
        <w:tab/>
        <w:t>Státní energetická koncepce</w:t>
      </w:r>
    </w:p>
    <w:p w:rsidR="00BF4B7E" w:rsidRDefault="0053147C" w:rsidP="0053147C">
      <w:pPr>
        <w:spacing w:before="120" w:line="276" w:lineRule="auto"/>
        <w:contextualSpacing/>
        <w:rPr>
          <w:rFonts w:cstheme="minorHAnsi"/>
        </w:rPr>
      </w:pPr>
      <w:r w:rsidRPr="0092047B">
        <w:rPr>
          <w:rFonts w:cstheme="minorHAnsi"/>
        </w:rPr>
        <w:t xml:space="preserve">SET plán  </w:t>
      </w:r>
      <w:r w:rsidRPr="0092047B">
        <w:rPr>
          <w:rFonts w:cstheme="minorHAnsi"/>
        </w:rPr>
        <w:tab/>
        <w:t>strategický energetický technologický plán</w:t>
      </w:r>
    </w:p>
    <w:p w:rsidR="00BF4B7E" w:rsidRPr="00BF4B7E" w:rsidRDefault="00BF4B7E" w:rsidP="0053147C">
      <w:pPr>
        <w:spacing w:before="120" w:line="276" w:lineRule="auto"/>
        <w:contextualSpacing/>
        <w:rPr>
          <w:rFonts w:cstheme="minorHAnsi"/>
          <w:lang w:val="en-US"/>
        </w:rPr>
      </w:pPr>
      <w:r>
        <w:rPr>
          <w:rFonts w:cstheme="minorHAnsi"/>
        </w:rPr>
        <w:t>SOAF</w:t>
      </w:r>
      <w:r>
        <w:rPr>
          <w:rFonts w:cstheme="minorHAnsi"/>
        </w:rPr>
        <w:tab/>
      </w:r>
      <w:r>
        <w:rPr>
          <w:rFonts w:cstheme="minorHAnsi"/>
        </w:rPr>
        <w:tab/>
      </w:r>
      <w:r w:rsidRPr="00BF4B7E">
        <w:rPr>
          <w:rFonts w:cstheme="minorHAnsi"/>
          <w:lang w:val="en-US"/>
        </w:rPr>
        <w:t>Scenario</w:t>
      </w:r>
      <w:r>
        <w:rPr>
          <w:rFonts w:cstheme="minorHAnsi"/>
        </w:rPr>
        <w:t xml:space="preserve"> Outlook &amp; Adequacy Forecast</w:t>
      </w:r>
    </w:p>
    <w:p w:rsidR="0053147C" w:rsidRPr="0092047B" w:rsidRDefault="0053147C" w:rsidP="0053147C">
      <w:pPr>
        <w:spacing w:before="120" w:line="276" w:lineRule="auto"/>
        <w:contextualSpacing/>
        <w:rPr>
          <w:rFonts w:cstheme="minorHAnsi"/>
        </w:rPr>
      </w:pPr>
      <w:r w:rsidRPr="0092047B">
        <w:rPr>
          <w:rFonts w:cstheme="minorHAnsi"/>
        </w:rPr>
        <w:t xml:space="preserve">SSHR </w:t>
      </w:r>
      <w:r w:rsidRPr="0092047B">
        <w:rPr>
          <w:rFonts w:cstheme="minorHAnsi"/>
        </w:rPr>
        <w:tab/>
        <w:t xml:space="preserve"> </w:t>
      </w:r>
      <w:r w:rsidRPr="0092047B">
        <w:rPr>
          <w:rFonts w:cstheme="minorHAnsi"/>
        </w:rPr>
        <w:tab/>
        <w:t xml:space="preserve">Správa </w:t>
      </w:r>
      <w:r w:rsidRPr="00BF4B7E">
        <w:rPr>
          <w:rFonts w:cstheme="minorHAnsi"/>
        </w:rPr>
        <w:t>státních</w:t>
      </w:r>
      <w:r w:rsidRPr="00BF4B7E">
        <w:rPr>
          <w:rFonts w:cstheme="minorHAnsi"/>
          <w:lang w:val="en-US"/>
        </w:rPr>
        <w:t xml:space="preserve"> </w:t>
      </w:r>
      <w:r w:rsidRPr="0092047B">
        <w:rPr>
          <w:rFonts w:cstheme="minorHAnsi"/>
        </w:rPr>
        <w:t>hmotných rezerv</w:t>
      </w:r>
    </w:p>
    <w:p w:rsidR="0053147C" w:rsidRPr="0092047B" w:rsidRDefault="0053147C" w:rsidP="0053147C">
      <w:pPr>
        <w:spacing w:before="120" w:line="276" w:lineRule="auto"/>
        <w:contextualSpacing/>
        <w:rPr>
          <w:rFonts w:cstheme="minorHAnsi"/>
        </w:rPr>
      </w:pPr>
      <w:r w:rsidRPr="0092047B">
        <w:rPr>
          <w:rFonts w:cstheme="minorHAnsi"/>
        </w:rPr>
        <w:t xml:space="preserve">SÚJB  </w:t>
      </w:r>
      <w:r w:rsidRPr="0092047B">
        <w:rPr>
          <w:rFonts w:cstheme="minorHAnsi"/>
        </w:rPr>
        <w:tab/>
      </w:r>
      <w:r w:rsidRPr="0092047B">
        <w:rPr>
          <w:rFonts w:cstheme="minorHAnsi"/>
        </w:rPr>
        <w:tab/>
        <w:t>Státní úřad pro jadernou bezpečnost</w:t>
      </w:r>
    </w:p>
    <w:p w:rsidR="0053147C" w:rsidRPr="0092047B" w:rsidRDefault="0053147C" w:rsidP="0053147C">
      <w:pPr>
        <w:spacing w:before="120" w:line="276" w:lineRule="auto"/>
        <w:contextualSpacing/>
        <w:rPr>
          <w:rFonts w:cstheme="minorHAnsi"/>
        </w:rPr>
      </w:pPr>
      <w:r w:rsidRPr="0092047B">
        <w:rPr>
          <w:rFonts w:cstheme="minorHAnsi"/>
        </w:rPr>
        <w:t xml:space="preserve">SÚRAO  </w:t>
      </w:r>
      <w:r w:rsidRPr="0092047B">
        <w:rPr>
          <w:rFonts w:cstheme="minorHAnsi"/>
        </w:rPr>
        <w:tab/>
        <w:t>Správa úložišť radioaktivních odpadů</w:t>
      </w:r>
    </w:p>
    <w:p w:rsidR="0053147C" w:rsidRPr="0092047B" w:rsidRDefault="0053147C" w:rsidP="0053147C">
      <w:pPr>
        <w:spacing w:before="120" w:line="276" w:lineRule="auto"/>
        <w:contextualSpacing/>
        <w:rPr>
          <w:rFonts w:cstheme="minorHAnsi"/>
        </w:rPr>
      </w:pPr>
      <w:r w:rsidRPr="0092047B">
        <w:rPr>
          <w:rFonts w:cstheme="minorHAnsi"/>
        </w:rPr>
        <w:t xml:space="preserve">SZT  </w:t>
      </w:r>
      <w:r w:rsidRPr="0092047B">
        <w:rPr>
          <w:rFonts w:cstheme="minorHAnsi"/>
        </w:rPr>
        <w:tab/>
      </w:r>
      <w:r w:rsidRPr="0092047B">
        <w:rPr>
          <w:rFonts w:cstheme="minorHAnsi"/>
        </w:rPr>
        <w:tab/>
        <w:t>soustava zásobování tep</w:t>
      </w:r>
      <w:r w:rsidR="00C47CE9">
        <w:rPr>
          <w:rFonts w:cstheme="minorHAnsi"/>
        </w:rPr>
        <w:t>elnou energií</w:t>
      </w:r>
    </w:p>
    <w:p w:rsidR="0053147C" w:rsidRDefault="0053147C" w:rsidP="0053147C">
      <w:pPr>
        <w:spacing w:before="120" w:line="276" w:lineRule="auto"/>
        <w:contextualSpacing/>
        <w:rPr>
          <w:rFonts w:cstheme="minorHAnsi"/>
        </w:rPr>
      </w:pPr>
      <w:r w:rsidRPr="0092047B">
        <w:rPr>
          <w:rFonts w:cstheme="minorHAnsi"/>
        </w:rPr>
        <w:t xml:space="preserve">TA ČR </w:t>
      </w:r>
      <w:r w:rsidRPr="0092047B">
        <w:rPr>
          <w:rFonts w:cstheme="minorHAnsi"/>
        </w:rPr>
        <w:tab/>
        <w:t xml:space="preserve"> </w:t>
      </w:r>
      <w:r w:rsidRPr="0092047B">
        <w:rPr>
          <w:rFonts w:cstheme="minorHAnsi"/>
        </w:rPr>
        <w:tab/>
        <w:t>Technologická agentura České republiky</w:t>
      </w:r>
    </w:p>
    <w:p w:rsidR="00720E2D" w:rsidRPr="0092047B" w:rsidRDefault="00720E2D" w:rsidP="00720E2D">
      <w:pPr>
        <w:spacing w:before="120" w:line="276" w:lineRule="auto"/>
        <w:contextualSpacing/>
        <w:rPr>
          <w:rFonts w:cstheme="minorHAnsi"/>
        </w:rPr>
      </w:pPr>
      <w:r>
        <w:rPr>
          <w:rFonts w:cstheme="minorHAnsi"/>
        </w:rPr>
        <w:t>TAL</w:t>
      </w:r>
      <w:r>
        <w:rPr>
          <w:rFonts w:cstheme="minorHAnsi"/>
        </w:rPr>
        <w:tab/>
      </w:r>
      <w:r>
        <w:rPr>
          <w:rFonts w:cstheme="minorHAnsi"/>
        </w:rPr>
        <w:tab/>
        <w:t>ropovod Transalpine pipeline</w:t>
      </w:r>
    </w:p>
    <w:p w:rsidR="0053147C" w:rsidRDefault="0053147C" w:rsidP="0053147C">
      <w:pPr>
        <w:spacing w:before="120" w:line="276" w:lineRule="auto"/>
        <w:contextualSpacing/>
        <w:rPr>
          <w:rFonts w:cstheme="minorHAnsi"/>
        </w:rPr>
      </w:pPr>
      <w:r w:rsidRPr="0092047B">
        <w:rPr>
          <w:rFonts w:cstheme="minorHAnsi"/>
        </w:rPr>
        <w:t xml:space="preserve">TKO  </w:t>
      </w:r>
      <w:r w:rsidRPr="0092047B">
        <w:rPr>
          <w:rFonts w:cstheme="minorHAnsi"/>
        </w:rPr>
        <w:tab/>
      </w:r>
      <w:r w:rsidRPr="0092047B">
        <w:rPr>
          <w:rFonts w:cstheme="minorHAnsi"/>
        </w:rPr>
        <w:tab/>
        <w:t>tuhý komunální odpad</w:t>
      </w:r>
    </w:p>
    <w:p w:rsidR="00055348" w:rsidRDefault="00055348" w:rsidP="0053147C">
      <w:pPr>
        <w:spacing w:before="120" w:line="276" w:lineRule="auto"/>
        <w:contextualSpacing/>
        <w:rPr>
          <w:rFonts w:cstheme="minorHAnsi"/>
        </w:rPr>
      </w:pPr>
      <w:r>
        <w:rPr>
          <w:rFonts w:cstheme="minorHAnsi"/>
        </w:rPr>
        <w:t>TWh</w:t>
      </w:r>
      <w:r>
        <w:rPr>
          <w:rFonts w:cstheme="minorHAnsi"/>
        </w:rPr>
        <w:tab/>
      </w:r>
      <w:r>
        <w:rPr>
          <w:rFonts w:cstheme="minorHAnsi"/>
        </w:rPr>
        <w:tab/>
        <w:t>terawatthodina</w:t>
      </w:r>
    </w:p>
    <w:p w:rsidR="005218D2" w:rsidRDefault="005218D2" w:rsidP="0053147C">
      <w:pPr>
        <w:spacing w:before="120" w:line="276" w:lineRule="auto"/>
        <w:contextualSpacing/>
        <w:rPr>
          <w:rFonts w:cstheme="minorHAnsi"/>
        </w:rPr>
      </w:pPr>
      <w:r>
        <w:rPr>
          <w:rFonts w:cstheme="minorHAnsi"/>
        </w:rPr>
        <w:t>US EIA</w:t>
      </w:r>
      <w:r>
        <w:rPr>
          <w:rFonts w:cstheme="minorHAnsi"/>
        </w:rPr>
        <w:tab/>
      </w:r>
      <w:r>
        <w:rPr>
          <w:rFonts w:cstheme="minorHAnsi"/>
        </w:rPr>
        <w:tab/>
      </w:r>
      <w:r w:rsidRPr="00FA300F">
        <w:rPr>
          <w:rFonts w:cstheme="minorHAnsi"/>
        </w:rPr>
        <w:t>U.</w:t>
      </w:r>
      <w:r>
        <w:rPr>
          <w:rFonts w:cstheme="minorHAnsi"/>
        </w:rPr>
        <w:t xml:space="preserve"> </w:t>
      </w:r>
      <w:r w:rsidRPr="00FA300F">
        <w:rPr>
          <w:rFonts w:cstheme="minorHAnsi"/>
        </w:rPr>
        <w:t>S. Energy Information Administration</w:t>
      </w:r>
    </w:p>
    <w:p w:rsidR="0010323D" w:rsidRPr="0092047B" w:rsidRDefault="0010323D" w:rsidP="0053147C">
      <w:pPr>
        <w:spacing w:before="120" w:line="276" w:lineRule="auto"/>
        <w:contextualSpacing/>
        <w:rPr>
          <w:rFonts w:cstheme="minorHAnsi"/>
        </w:rPr>
      </w:pPr>
      <w:r>
        <w:rPr>
          <w:rFonts w:cstheme="minorHAnsi"/>
        </w:rPr>
        <w:t>USD</w:t>
      </w:r>
      <w:r>
        <w:rPr>
          <w:rFonts w:cstheme="minorHAnsi"/>
        </w:rPr>
        <w:tab/>
      </w:r>
      <w:r>
        <w:rPr>
          <w:rFonts w:cstheme="minorHAnsi"/>
        </w:rPr>
        <w:tab/>
        <w:t>americký dolar</w:t>
      </w:r>
    </w:p>
    <w:p w:rsidR="0053147C" w:rsidRPr="0092047B" w:rsidRDefault="0053147C" w:rsidP="0053147C">
      <w:pPr>
        <w:spacing w:before="120" w:line="276" w:lineRule="auto"/>
        <w:contextualSpacing/>
        <w:rPr>
          <w:rFonts w:cstheme="minorHAnsi"/>
        </w:rPr>
      </w:pPr>
      <w:r w:rsidRPr="0092047B">
        <w:rPr>
          <w:rFonts w:cstheme="minorHAnsi"/>
        </w:rPr>
        <w:t xml:space="preserve">ÚEK  </w:t>
      </w:r>
      <w:r w:rsidRPr="0092047B">
        <w:rPr>
          <w:rFonts w:cstheme="minorHAnsi"/>
        </w:rPr>
        <w:tab/>
      </w:r>
      <w:r w:rsidRPr="0092047B">
        <w:rPr>
          <w:rFonts w:cstheme="minorHAnsi"/>
        </w:rPr>
        <w:tab/>
        <w:t>územní energetická koncepce</w:t>
      </w:r>
    </w:p>
    <w:p w:rsidR="0053147C" w:rsidRPr="0092047B" w:rsidRDefault="0053147C" w:rsidP="0053147C">
      <w:pPr>
        <w:spacing w:before="120" w:line="276" w:lineRule="auto"/>
        <w:contextualSpacing/>
        <w:rPr>
          <w:rFonts w:cstheme="minorHAnsi"/>
        </w:rPr>
      </w:pPr>
      <w:r w:rsidRPr="0092047B">
        <w:rPr>
          <w:rFonts w:cstheme="minorHAnsi"/>
        </w:rPr>
        <w:t xml:space="preserve">ÚEL  </w:t>
      </w:r>
      <w:r w:rsidRPr="0092047B">
        <w:rPr>
          <w:rFonts w:cstheme="minorHAnsi"/>
        </w:rPr>
        <w:tab/>
      </w:r>
      <w:r w:rsidRPr="0092047B">
        <w:rPr>
          <w:rFonts w:cstheme="minorHAnsi"/>
        </w:rPr>
        <w:tab/>
        <w:t>územní ekologické limity</w:t>
      </w:r>
    </w:p>
    <w:p w:rsidR="0053147C" w:rsidRPr="0092047B" w:rsidRDefault="0053147C" w:rsidP="0053147C">
      <w:pPr>
        <w:spacing w:before="120" w:line="276" w:lineRule="auto"/>
        <w:contextualSpacing/>
        <w:rPr>
          <w:rFonts w:cstheme="minorHAnsi"/>
        </w:rPr>
      </w:pPr>
      <w:r w:rsidRPr="0092047B">
        <w:rPr>
          <w:rFonts w:cstheme="minorHAnsi"/>
        </w:rPr>
        <w:t xml:space="preserve">ÚOHS  </w:t>
      </w:r>
      <w:r w:rsidRPr="0092047B">
        <w:rPr>
          <w:rFonts w:cstheme="minorHAnsi"/>
        </w:rPr>
        <w:tab/>
      </w:r>
      <w:r w:rsidRPr="0092047B">
        <w:rPr>
          <w:rFonts w:cstheme="minorHAnsi"/>
        </w:rPr>
        <w:tab/>
        <w:t>Úřad pro ochranu hospodářské soutěže</w:t>
      </w:r>
    </w:p>
    <w:p w:rsidR="0053147C" w:rsidRPr="0092047B" w:rsidRDefault="0053147C" w:rsidP="0053147C">
      <w:pPr>
        <w:spacing w:before="120" w:line="276" w:lineRule="auto"/>
        <w:contextualSpacing/>
        <w:rPr>
          <w:rFonts w:cstheme="minorHAnsi"/>
        </w:rPr>
      </w:pPr>
      <w:r w:rsidRPr="0092047B">
        <w:rPr>
          <w:rFonts w:cstheme="minorHAnsi"/>
        </w:rPr>
        <w:t xml:space="preserve">ÚR  </w:t>
      </w:r>
      <w:r w:rsidRPr="0092047B">
        <w:rPr>
          <w:rFonts w:cstheme="minorHAnsi"/>
        </w:rPr>
        <w:tab/>
      </w:r>
      <w:r w:rsidRPr="0092047B">
        <w:rPr>
          <w:rFonts w:cstheme="minorHAnsi"/>
        </w:rPr>
        <w:tab/>
        <w:t>územní rozhodnutí</w:t>
      </w:r>
    </w:p>
    <w:p w:rsidR="0053147C" w:rsidRPr="0092047B" w:rsidRDefault="0053147C" w:rsidP="0053147C">
      <w:pPr>
        <w:spacing w:before="120" w:line="276" w:lineRule="auto"/>
        <w:contextualSpacing/>
        <w:rPr>
          <w:rFonts w:cstheme="minorHAnsi"/>
        </w:rPr>
      </w:pPr>
      <w:r w:rsidRPr="0092047B">
        <w:rPr>
          <w:rFonts w:cstheme="minorHAnsi"/>
        </w:rPr>
        <w:t xml:space="preserve">ÚV ČR  </w:t>
      </w:r>
      <w:r w:rsidRPr="0092047B">
        <w:rPr>
          <w:rFonts w:cstheme="minorHAnsi"/>
        </w:rPr>
        <w:tab/>
        <w:t>Úřad vlády České republiky</w:t>
      </w:r>
    </w:p>
    <w:p w:rsidR="0053147C" w:rsidRPr="0092047B" w:rsidRDefault="0053147C" w:rsidP="0053147C">
      <w:pPr>
        <w:spacing w:before="120" w:line="276" w:lineRule="auto"/>
        <w:contextualSpacing/>
        <w:rPr>
          <w:rFonts w:cstheme="minorHAnsi"/>
        </w:rPr>
      </w:pPr>
      <w:r w:rsidRPr="0092047B">
        <w:rPr>
          <w:rFonts w:cstheme="minorHAnsi"/>
        </w:rPr>
        <w:t xml:space="preserve">V4  </w:t>
      </w:r>
      <w:r w:rsidRPr="0092047B">
        <w:rPr>
          <w:rFonts w:cstheme="minorHAnsi"/>
        </w:rPr>
        <w:tab/>
      </w:r>
      <w:r w:rsidRPr="0092047B">
        <w:rPr>
          <w:rFonts w:cstheme="minorHAnsi"/>
        </w:rPr>
        <w:tab/>
        <w:t>státy Visegrádské čtyřky</w:t>
      </w:r>
    </w:p>
    <w:p w:rsidR="0053147C" w:rsidRPr="0092047B" w:rsidRDefault="0053147C" w:rsidP="0053147C">
      <w:pPr>
        <w:spacing w:before="120" w:line="276" w:lineRule="auto"/>
        <w:contextualSpacing/>
        <w:rPr>
          <w:rFonts w:cstheme="minorHAnsi"/>
        </w:rPr>
      </w:pPr>
      <w:r w:rsidRPr="0092047B">
        <w:rPr>
          <w:rFonts w:cstheme="minorHAnsi"/>
        </w:rPr>
        <w:t xml:space="preserve">VaV  </w:t>
      </w:r>
      <w:r w:rsidRPr="0092047B">
        <w:rPr>
          <w:rFonts w:cstheme="minorHAnsi"/>
        </w:rPr>
        <w:tab/>
      </w:r>
      <w:r w:rsidRPr="0092047B">
        <w:rPr>
          <w:rFonts w:cstheme="minorHAnsi"/>
        </w:rPr>
        <w:tab/>
      </w:r>
      <w:r w:rsidR="00D278FA">
        <w:rPr>
          <w:rFonts w:cstheme="minorHAnsi"/>
        </w:rPr>
        <w:t>výzkum a vývoj</w:t>
      </w:r>
    </w:p>
    <w:p w:rsidR="0053147C" w:rsidRPr="0092047B" w:rsidRDefault="0053147C" w:rsidP="0053147C">
      <w:pPr>
        <w:spacing w:before="120" w:line="276" w:lineRule="auto"/>
        <w:contextualSpacing/>
        <w:rPr>
          <w:rFonts w:cstheme="minorHAnsi"/>
        </w:rPr>
      </w:pPr>
      <w:r w:rsidRPr="0092047B">
        <w:rPr>
          <w:rFonts w:cstheme="minorHAnsi"/>
        </w:rPr>
        <w:t>VaVaI</w:t>
      </w:r>
      <w:r w:rsidRPr="0092047B">
        <w:rPr>
          <w:rFonts w:cstheme="minorHAnsi"/>
        </w:rPr>
        <w:tab/>
      </w:r>
      <w:r w:rsidRPr="0092047B">
        <w:rPr>
          <w:rFonts w:cstheme="minorHAnsi"/>
        </w:rPr>
        <w:tab/>
        <w:t>výzkum</w:t>
      </w:r>
      <w:r w:rsidR="00D278FA">
        <w:rPr>
          <w:rFonts w:cstheme="minorHAnsi"/>
        </w:rPr>
        <w:t>, vývoj</w:t>
      </w:r>
      <w:r w:rsidRPr="0092047B">
        <w:rPr>
          <w:rFonts w:cstheme="minorHAnsi"/>
        </w:rPr>
        <w:t xml:space="preserve"> a inovace</w:t>
      </w:r>
    </w:p>
    <w:p w:rsidR="0053147C" w:rsidRPr="0092047B" w:rsidRDefault="0053147C" w:rsidP="0053147C">
      <w:pPr>
        <w:spacing w:before="120" w:line="276" w:lineRule="auto"/>
        <w:contextualSpacing/>
        <w:rPr>
          <w:rFonts w:cstheme="minorHAnsi"/>
        </w:rPr>
      </w:pPr>
      <w:r w:rsidRPr="0092047B">
        <w:rPr>
          <w:rFonts w:cstheme="minorHAnsi"/>
        </w:rPr>
        <w:t xml:space="preserve">VH </w:t>
      </w:r>
      <w:r w:rsidRPr="0092047B">
        <w:rPr>
          <w:rFonts w:cstheme="minorHAnsi"/>
        </w:rPr>
        <w:tab/>
        <w:t xml:space="preserve"> </w:t>
      </w:r>
      <w:r w:rsidRPr="0092047B">
        <w:rPr>
          <w:rFonts w:cstheme="minorHAnsi"/>
        </w:rPr>
        <w:tab/>
        <w:t>valná hromada</w:t>
      </w:r>
    </w:p>
    <w:p w:rsidR="0053147C" w:rsidRPr="0092047B" w:rsidRDefault="0053147C" w:rsidP="0053147C">
      <w:pPr>
        <w:spacing w:before="120" w:line="276" w:lineRule="auto"/>
        <w:contextualSpacing/>
        <w:rPr>
          <w:rFonts w:cstheme="minorHAnsi"/>
        </w:rPr>
      </w:pPr>
      <w:r w:rsidRPr="0092047B">
        <w:rPr>
          <w:rFonts w:cstheme="minorHAnsi"/>
        </w:rPr>
        <w:t xml:space="preserve">VJP  </w:t>
      </w:r>
      <w:r w:rsidRPr="0092047B">
        <w:rPr>
          <w:rFonts w:cstheme="minorHAnsi"/>
        </w:rPr>
        <w:tab/>
      </w:r>
      <w:r w:rsidRPr="0092047B">
        <w:rPr>
          <w:rFonts w:cstheme="minorHAnsi"/>
        </w:rPr>
        <w:tab/>
        <w:t>vyhořelé jaderné palivo</w:t>
      </w:r>
    </w:p>
    <w:p w:rsidR="0053147C" w:rsidRPr="0092047B" w:rsidRDefault="0053147C" w:rsidP="0053147C">
      <w:pPr>
        <w:spacing w:before="120" w:line="276" w:lineRule="auto"/>
        <w:contextualSpacing/>
        <w:rPr>
          <w:rFonts w:cstheme="minorHAnsi"/>
        </w:rPr>
      </w:pPr>
      <w:r w:rsidRPr="0092047B">
        <w:rPr>
          <w:rFonts w:cstheme="minorHAnsi"/>
        </w:rPr>
        <w:t xml:space="preserve">vn  </w:t>
      </w:r>
      <w:r w:rsidRPr="0092047B">
        <w:rPr>
          <w:rFonts w:cstheme="minorHAnsi"/>
        </w:rPr>
        <w:tab/>
      </w:r>
      <w:r w:rsidRPr="0092047B">
        <w:rPr>
          <w:rFonts w:cstheme="minorHAnsi"/>
        </w:rPr>
        <w:tab/>
        <w:t>vysoké napětí</w:t>
      </w:r>
    </w:p>
    <w:p w:rsidR="0053147C" w:rsidRPr="0092047B" w:rsidRDefault="0053147C" w:rsidP="0053147C">
      <w:pPr>
        <w:spacing w:before="120" w:line="276" w:lineRule="auto"/>
        <w:contextualSpacing/>
        <w:rPr>
          <w:rFonts w:cstheme="minorHAnsi"/>
        </w:rPr>
      </w:pPr>
      <w:r w:rsidRPr="0092047B">
        <w:rPr>
          <w:rFonts w:cstheme="minorHAnsi"/>
        </w:rPr>
        <w:t xml:space="preserve">VRT  </w:t>
      </w:r>
      <w:r w:rsidRPr="0092047B">
        <w:rPr>
          <w:rFonts w:cstheme="minorHAnsi"/>
        </w:rPr>
        <w:tab/>
      </w:r>
      <w:r w:rsidRPr="0092047B">
        <w:rPr>
          <w:rFonts w:cstheme="minorHAnsi"/>
        </w:rPr>
        <w:tab/>
        <w:t>vysokorychlostní trať</w:t>
      </w:r>
    </w:p>
    <w:p w:rsidR="0053147C" w:rsidRDefault="0053147C" w:rsidP="0053147C">
      <w:pPr>
        <w:spacing w:before="120" w:line="276" w:lineRule="auto"/>
        <w:contextualSpacing/>
        <w:rPr>
          <w:rFonts w:cstheme="minorHAnsi"/>
        </w:rPr>
      </w:pPr>
      <w:r w:rsidRPr="0092047B">
        <w:rPr>
          <w:rFonts w:cstheme="minorHAnsi"/>
        </w:rPr>
        <w:t xml:space="preserve">vvn  </w:t>
      </w:r>
      <w:r w:rsidRPr="0092047B">
        <w:rPr>
          <w:rFonts w:cstheme="minorHAnsi"/>
        </w:rPr>
        <w:tab/>
      </w:r>
      <w:r w:rsidRPr="0092047B">
        <w:rPr>
          <w:rFonts w:cstheme="minorHAnsi"/>
        </w:rPr>
        <w:tab/>
        <w:t>velmi vysoké napětí</w:t>
      </w:r>
    </w:p>
    <w:p w:rsidR="00055348" w:rsidRDefault="00055348" w:rsidP="0053147C">
      <w:pPr>
        <w:spacing w:before="120" w:line="276" w:lineRule="auto"/>
        <w:contextualSpacing/>
        <w:rPr>
          <w:rFonts w:cstheme="minorHAnsi"/>
        </w:rPr>
      </w:pPr>
      <w:r>
        <w:rPr>
          <w:rFonts w:cstheme="minorHAnsi"/>
        </w:rPr>
        <w:t>Wh</w:t>
      </w:r>
      <w:r>
        <w:rPr>
          <w:rFonts w:cstheme="minorHAnsi"/>
        </w:rPr>
        <w:tab/>
      </w:r>
      <w:r>
        <w:rPr>
          <w:rFonts w:cstheme="minorHAnsi"/>
        </w:rPr>
        <w:tab/>
        <w:t>watthodina</w:t>
      </w:r>
    </w:p>
    <w:p w:rsidR="003B5E0B" w:rsidRPr="0092047B" w:rsidRDefault="003B5E0B" w:rsidP="0053147C">
      <w:pPr>
        <w:spacing w:before="120" w:line="276" w:lineRule="auto"/>
        <w:contextualSpacing/>
        <w:rPr>
          <w:rFonts w:cstheme="minorHAnsi"/>
        </w:rPr>
      </w:pPr>
      <w:r>
        <w:rPr>
          <w:rFonts w:cstheme="minorHAnsi"/>
        </w:rPr>
        <w:t>ZEVO</w:t>
      </w:r>
      <w:r>
        <w:rPr>
          <w:rFonts w:cstheme="minorHAnsi"/>
        </w:rPr>
        <w:tab/>
      </w:r>
      <w:r>
        <w:rPr>
          <w:rFonts w:cstheme="minorHAnsi"/>
        </w:rPr>
        <w:tab/>
        <w:t>zařízení pro energetické využití odpadu</w:t>
      </w:r>
    </w:p>
    <w:p w:rsidR="0053147C" w:rsidRPr="0092047B" w:rsidRDefault="0053147C" w:rsidP="0053147C">
      <w:pPr>
        <w:spacing w:before="120" w:line="276" w:lineRule="auto"/>
        <w:contextualSpacing/>
        <w:rPr>
          <w:rFonts w:cstheme="minorHAnsi"/>
        </w:rPr>
      </w:pPr>
      <w:r w:rsidRPr="0092047B">
        <w:rPr>
          <w:rFonts w:cstheme="minorHAnsi"/>
        </w:rPr>
        <w:t xml:space="preserve">ZÚR  </w:t>
      </w:r>
      <w:r w:rsidRPr="0092047B">
        <w:rPr>
          <w:rFonts w:cstheme="minorHAnsi"/>
        </w:rPr>
        <w:tab/>
      </w:r>
      <w:r w:rsidRPr="0092047B">
        <w:rPr>
          <w:rFonts w:cstheme="minorHAnsi"/>
        </w:rPr>
        <w:tab/>
        <w:t>zásady územního rozvoje</w:t>
      </w:r>
    </w:p>
    <w:p w:rsidR="001621F0" w:rsidRPr="0092047B" w:rsidRDefault="0053147C" w:rsidP="0053147C">
      <w:pPr>
        <w:spacing w:before="120" w:line="276" w:lineRule="auto"/>
        <w:contextualSpacing/>
        <w:rPr>
          <w:rFonts w:cstheme="minorHAnsi"/>
        </w:rPr>
      </w:pPr>
      <w:r w:rsidRPr="0092047B">
        <w:rPr>
          <w:rFonts w:cstheme="minorHAnsi"/>
        </w:rPr>
        <w:t xml:space="preserve">ŽP  </w:t>
      </w:r>
      <w:r w:rsidRPr="0092047B">
        <w:rPr>
          <w:rFonts w:cstheme="minorHAnsi"/>
        </w:rPr>
        <w:tab/>
      </w:r>
      <w:r w:rsidRPr="0092047B">
        <w:rPr>
          <w:rFonts w:cstheme="minorHAnsi"/>
        </w:rPr>
        <w:tab/>
        <w:t>životní prostředí</w:t>
      </w:r>
    </w:p>
    <w:p w:rsidR="001621F0" w:rsidRPr="0092047B" w:rsidRDefault="001621F0" w:rsidP="001560D9">
      <w:pPr>
        <w:pStyle w:val="Nadpis1"/>
      </w:pPr>
      <w:r w:rsidRPr="0092047B">
        <w:br w:type="page"/>
      </w:r>
      <w:bookmarkStart w:id="989" w:name="_Toc396923428"/>
      <w:r w:rsidR="00094D1A" w:rsidRPr="0092047B">
        <w:t>Seznam grafů</w:t>
      </w:r>
      <w:r w:rsidR="00C33DA5">
        <w:t xml:space="preserve">, </w:t>
      </w:r>
      <w:r w:rsidR="00094D1A" w:rsidRPr="0092047B">
        <w:t>tabulek</w:t>
      </w:r>
      <w:bookmarkStart w:id="990" w:name="_Toc383029908"/>
      <w:bookmarkEnd w:id="990"/>
      <w:r w:rsidR="00C33DA5">
        <w:t xml:space="preserve"> a obrázků</w:t>
      </w:r>
      <w:bookmarkEnd w:id="989"/>
    </w:p>
    <w:bookmarkStart w:id="991" w:name="_Toc383029909"/>
    <w:bookmarkEnd w:id="991"/>
    <w:p w:rsidR="005218D2" w:rsidRDefault="00F419EA">
      <w:pPr>
        <w:pStyle w:val="Seznamobrzk"/>
        <w:tabs>
          <w:tab w:val="right" w:leader="dot" w:pos="9062"/>
        </w:tabs>
        <w:rPr>
          <w:rFonts w:eastAsiaTheme="minorEastAsia" w:cstheme="minorBidi"/>
          <w:noProof/>
          <w:sz w:val="22"/>
          <w:szCs w:val="22"/>
        </w:rPr>
      </w:pPr>
      <w:r>
        <w:fldChar w:fldCharType="begin"/>
      </w:r>
      <w:r>
        <w:instrText xml:space="preserve"> TOC \h \z \c "Graf č." </w:instrText>
      </w:r>
      <w:r>
        <w:fldChar w:fldCharType="separate"/>
      </w:r>
      <w:hyperlink w:anchor="_Toc396923117" w:history="1">
        <w:r w:rsidR="005218D2" w:rsidRPr="00CF0ACA">
          <w:rPr>
            <w:rStyle w:val="Hypertextovodkaz"/>
            <w:b/>
            <w:noProof/>
          </w:rPr>
          <w:t xml:space="preserve">Graf č. 1: </w:t>
        </w:r>
        <w:r w:rsidR="005218D2" w:rsidRPr="00CF0ACA">
          <w:rPr>
            <w:rStyle w:val="Hypertextovodkaz"/>
            <w:noProof/>
          </w:rPr>
          <w:t>Potenciál konečné spotřeby OZE</w:t>
        </w:r>
        <w:r w:rsidR="005218D2">
          <w:rPr>
            <w:noProof/>
            <w:webHidden/>
          </w:rPr>
          <w:tab/>
        </w:r>
        <w:r w:rsidR="005218D2">
          <w:rPr>
            <w:noProof/>
            <w:webHidden/>
          </w:rPr>
          <w:fldChar w:fldCharType="begin"/>
        </w:r>
        <w:r w:rsidR="005218D2">
          <w:rPr>
            <w:noProof/>
            <w:webHidden/>
          </w:rPr>
          <w:instrText xml:space="preserve"> PAGEREF _Toc396923117 \h </w:instrText>
        </w:r>
        <w:r w:rsidR="005218D2">
          <w:rPr>
            <w:noProof/>
            <w:webHidden/>
          </w:rPr>
        </w:r>
        <w:r w:rsidR="005218D2">
          <w:rPr>
            <w:noProof/>
            <w:webHidden/>
          </w:rPr>
          <w:fldChar w:fldCharType="separate"/>
        </w:r>
        <w:r w:rsidR="005218D2">
          <w:rPr>
            <w:noProof/>
            <w:webHidden/>
          </w:rPr>
          <w:t>27</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18" w:history="1">
        <w:r w:rsidR="005218D2" w:rsidRPr="00CF0ACA">
          <w:rPr>
            <w:rStyle w:val="Hypertextovodkaz"/>
            <w:b/>
            <w:noProof/>
          </w:rPr>
          <w:t xml:space="preserve">Graf č. 2: </w:t>
        </w:r>
        <w:r w:rsidR="005218D2" w:rsidRPr="00CF0ACA">
          <w:rPr>
            <w:rStyle w:val="Hypertextovodkaz"/>
            <w:noProof/>
          </w:rPr>
          <w:t>Plné náklady na výrobu elektrické energie</w:t>
        </w:r>
        <w:r w:rsidR="005218D2">
          <w:rPr>
            <w:noProof/>
            <w:webHidden/>
          </w:rPr>
          <w:tab/>
        </w:r>
        <w:r w:rsidR="005218D2">
          <w:rPr>
            <w:noProof/>
            <w:webHidden/>
          </w:rPr>
          <w:fldChar w:fldCharType="begin"/>
        </w:r>
        <w:r w:rsidR="005218D2">
          <w:rPr>
            <w:noProof/>
            <w:webHidden/>
          </w:rPr>
          <w:instrText xml:space="preserve"> PAGEREF _Toc396923118 \h </w:instrText>
        </w:r>
        <w:r w:rsidR="005218D2">
          <w:rPr>
            <w:noProof/>
            <w:webHidden/>
          </w:rPr>
        </w:r>
        <w:r w:rsidR="005218D2">
          <w:rPr>
            <w:noProof/>
            <w:webHidden/>
          </w:rPr>
          <w:fldChar w:fldCharType="separate"/>
        </w:r>
        <w:r w:rsidR="005218D2">
          <w:rPr>
            <w:noProof/>
            <w:webHidden/>
          </w:rPr>
          <w:t>29</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19" w:history="1">
        <w:r w:rsidR="005218D2" w:rsidRPr="00CF0ACA">
          <w:rPr>
            <w:rStyle w:val="Hypertextovodkaz"/>
            <w:b/>
            <w:noProof/>
          </w:rPr>
          <w:t xml:space="preserve">Graf č. 3: </w:t>
        </w:r>
        <w:r w:rsidR="005218D2" w:rsidRPr="00CF0ACA">
          <w:rPr>
            <w:rStyle w:val="Hypertextovodkaz"/>
            <w:noProof/>
          </w:rPr>
          <w:t>Srovnání scénářů tuzemské netto spotřeby elektřiny</w:t>
        </w:r>
        <w:r w:rsidR="005218D2">
          <w:rPr>
            <w:noProof/>
            <w:webHidden/>
          </w:rPr>
          <w:tab/>
        </w:r>
        <w:r w:rsidR="005218D2">
          <w:rPr>
            <w:noProof/>
            <w:webHidden/>
          </w:rPr>
          <w:fldChar w:fldCharType="begin"/>
        </w:r>
        <w:r w:rsidR="005218D2">
          <w:rPr>
            <w:noProof/>
            <w:webHidden/>
          </w:rPr>
          <w:instrText xml:space="preserve"> PAGEREF _Toc396923119 \h </w:instrText>
        </w:r>
        <w:r w:rsidR="005218D2">
          <w:rPr>
            <w:noProof/>
            <w:webHidden/>
          </w:rPr>
        </w:r>
        <w:r w:rsidR="005218D2">
          <w:rPr>
            <w:noProof/>
            <w:webHidden/>
          </w:rPr>
          <w:fldChar w:fldCharType="separate"/>
        </w:r>
        <w:r w:rsidR="005218D2">
          <w:rPr>
            <w:noProof/>
            <w:webHidden/>
          </w:rPr>
          <w:t>98</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0" w:history="1">
        <w:r w:rsidR="005218D2" w:rsidRPr="00CF0ACA">
          <w:rPr>
            <w:rStyle w:val="Hypertextovodkaz"/>
            <w:b/>
            <w:noProof/>
          </w:rPr>
          <w:t xml:space="preserve">Graf č. 4: </w:t>
        </w:r>
        <w:r w:rsidR="005218D2" w:rsidRPr="00CF0ACA">
          <w:rPr>
            <w:rStyle w:val="Hypertextovodkaz"/>
            <w:noProof/>
          </w:rPr>
          <w:t>Vývoj a struktura konečné spotřeby energie</w:t>
        </w:r>
        <w:r w:rsidR="005218D2">
          <w:rPr>
            <w:noProof/>
            <w:webHidden/>
          </w:rPr>
          <w:tab/>
        </w:r>
        <w:r w:rsidR="005218D2">
          <w:rPr>
            <w:noProof/>
            <w:webHidden/>
          </w:rPr>
          <w:fldChar w:fldCharType="begin"/>
        </w:r>
        <w:r w:rsidR="005218D2">
          <w:rPr>
            <w:noProof/>
            <w:webHidden/>
          </w:rPr>
          <w:instrText xml:space="preserve"> PAGEREF _Toc396923120 \h </w:instrText>
        </w:r>
        <w:r w:rsidR="005218D2">
          <w:rPr>
            <w:noProof/>
            <w:webHidden/>
          </w:rPr>
        </w:r>
        <w:r w:rsidR="005218D2">
          <w:rPr>
            <w:noProof/>
            <w:webHidden/>
          </w:rPr>
          <w:fldChar w:fldCharType="separate"/>
        </w:r>
        <w:r w:rsidR="005218D2">
          <w:rPr>
            <w:noProof/>
            <w:webHidden/>
          </w:rPr>
          <w:t>100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1" w:history="1">
        <w:r w:rsidR="005218D2" w:rsidRPr="00CF0ACA">
          <w:rPr>
            <w:rStyle w:val="Hypertextovodkaz"/>
            <w:b/>
            <w:noProof/>
          </w:rPr>
          <w:t xml:space="preserve">Graf č. 5: </w:t>
        </w:r>
        <w:r w:rsidR="005218D2" w:rsidRPr="00CF0ACA">
          <w:rPr>
            <w:rStyle w:val="Hypertextovodkaz"/>
            <w:noProof/>
          </w:rPr>
          <w:t>Vývoj a struktura konečné spotřeby energie v domácnostech</w:t>
        </w:r>
        <w:r w:rsidR="005218D2">
          <w:rPr>
            <w:noProof/>
            <w:webHidden/>
          </w:rPr>
          <w:tab/>
        </w:r>
        <w:r w:rsidR="005218D2">
          <w:rPr>
            <w:noProof/>
            <w:webHidden/>
          </w:rPr>
          <w:fldChar w:fldCharType="begin"/>
        </w:r>
        <w:r w:rsidR="005218D2">
          <w:rPr>
            <w:noProof/>
            <w:webHidden/>
          </w:rPr>
          <w:instrText xml:space="preserve"> PAGEREF _Toc396923121 \h </w:instrText>
        </w:r>
        <w:r w:rsidR="005218D2">
          <w:rPr>
            <w:noProof/>
            <w:webHidden/>
          </w:rPr>
        </w:r>
        <w:r w:rsidR="005218D2">
          <w:rPr>
            <w:noProof/>
            <w:webHidden/>
          </w:rPr>
          <w:fldChar w:fldCharType="separate"/>
        </w:r>
        <w:r w:rsidR="005218D2">
          <w:rPr>
            <w:noProof/>
            <w:webHidden/>
          </w:rPr>
          <w:t>101</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2" w:history="1">
        <w:r w:rsidR="005218D2" w:rsidRPr="00CF0ACA">
          <w:rPr>
            <w:rStyle w:val="Hypertextovodkaz"/>
            <w:b/>
            <w:noProof/>
          </w:rPr>
          <w:t>Graf č. 6:</w:t>
        </w:r>
        <w:r w:rsidR="005218D2" w:rsidRPr="00CF0ACA">
          <w:rPr>
            <w:rStyle w:val="Hypertextovodkaz"/>
            <w:noProof/>
          </w:rPr>
          <w:t xml:space="preserve"> Vývoj a struktura konečné spotřeby energie v dopravě</w:t>
        </w:r>
        <w:r w:rsidR="005218D2">
          <w:rPr>
            <w:noProof/>
            <w:webHidden/>
          </w:rPr>
          <w:tab/>
        </w:r>
        <w:r w:rsidR="005218D2">
          <w:rPr>
            <w:noProof/>
            <w:webHidden/>
          </w:rPr>
          <w:fldChar w:fldCharType="begin"/>
        </w:r>
        <w:r w:rsidR="005218D2">
          <w:rPr>
            <w:noProof/>
            <w:webHidden/>
          </w:rPr>
          <w:instrText xml:space="preserve"> PAGEREF _Toc396923122 \h </w:instrText>
        </w:r>
        <w:r w:rsidR="005218D2">
          <w:rPr>
            <w:noProof/>
            <w:webHidden/>
          </w:rPr>
        </w:r>
        <w:r w:rsidR="005218D2">
          <w:rPr>
            <w:noProof/>
            <w:webHidden/>
          </w:rPr>
          <w:fldChar w:fldCharType="separate"/>
        </w:r>
        <w:r w:rsidR="005218D2">
          <w:rPr>
            <w:noProof/>
            <w:webHidden/>
          </w:rPr>
          <w:t>103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3" w:history="1">
        <w:r w:rsidR="005218D2" w:rsidRPr="00CF0ACA">
          <w:rPr>
            <w:rStyle w:val="Hypertextovodkaz"/>
            <w:b/>
            <w:noProof/>
          </w:rPr>
          <w:t>Graf č. 7:</w:t>
        </w:r>
        <w:r w:rsidR="005218D2" w:rsidRPr="00CF0ACA">
          <w:rPr>
            <w:rStyle w:val="Hypertextovodkaz"/>
            <w:noProof/>
          </w:rPr>
          <w:t xml:space="preserve"> Vývoj a struktura primárních energetických zdrojů</w:t>
        </w:r>
        <w:r w:rsidR="005218D2">
          <w:rPr>
            <w:noProof/>
            <w:webHidden/>
          </w:rPr>
          <w:tab/>
        </w:r>
        <w:r w:rsidR="005218D2">
          <w:rPr>
            <w:noProof/>
            <w:webHidden/>
          </w:rPr>
          <w:fldChar w:fldCharType="begin"/>
        </w:r>
        <w:r w:rsidR="005218D2">
          <w:rPr>
            <w:noProof/>
            <w:webHidden/>
          </w:rPr>
          <w:instrText xml:space="preserve"> PAGEREF _Toc396923123 \h </w:instrText>
        </w:r>
        <w:r w:rsidR="005218D2">
          <w:rPr>
            <w:noProof/>
            <w:webHidden/>
          </w:rPr>
        </w:r>
        <w:r w:rsidR="005218D2">
          <w:rPr>
            <w:noProof/>
            <w:webHidden/>
          </w:rPr>
          <w:fldChar w:fldCharType="separate"/>
        </w:r>
        <w:r w:rsidR="005218D2">
          <w:rPr>
            <w:noProof/>
            <w:webHidden/>
          </w:rPr>
          <w:t>104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4" w:history="1">
        <w:r w:rsidR="005218D2" w:rsidRPr="00CF0ACA">
          <w:rPr>
            <w:rStyle w:val="Hypertextovodkaz"/>
            <w:b/>
            <w:noProof/>
          </w:rPr>
          <w:t>Graf č. 8:</w:t>
        </w:r>
        <w:r w:rsidR="005218D2" w:rsidRPr="00CF0ACA">
          <w:rPr>
            <w:rStyle w:val="Hypertextovodkaz"/>
            <w:noProof/>
          </w:rPr>
          <w:t xml:space="preserve"> Vývoj a struktura OZE na primárních energetických zdrojích</w:t>
        </w:r>
        <w:r w:rsidR="005218D2">
          <w:rPr>
            <w:noProof/>
            <w:webHidden/>
          </w:rPr>
          <w:tab/>
        </w:r>
        <w:r w:rsidR="005218D2">
          <w:rPr>
            <w:noProof/>
            <w:webHidden/>
          </w:rPr>
          <w:fldChar w:fldCharType="begin"/>
        </w:r>
        <w:r w:rsidR="005218D2">
          <w:rPr>
            <w:noProof/>
            <w:webHidden/>
          </w:rPr>
          <w:instrText xml:space="preserve"> PAGEREF _Toc396923124 \h </w:instrText>
        </w:r>
        <w:r w:rsidR="005218D2">
          <w:rPr>
            <w:noProof/>
            <w:webHidden/>
          </w:rPr>
        </w:r>
        <w:r w:rsidR="005218D2">
          <w:rPr>
            <w:noProof/>
            <w:webHidden/>
          </w:rPr>
          <w:fldChar w:fldCharType="separate"/>
        </w:r>
        <w:r w:rsidR="005218D2">
          <w:rPr>
            <w:noProof/>
            <w:webHidden/>
          </w:rPr>
          <w:t>106</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5" w:history="1">
        <w:r w:rsidR="005218D2" w:rsidRPr="00CF0ACA">
          <w:rPr>
            <w:rStyle w:val="Hypertextovodkaz"/>
            <w:b/>
            <w:noProof/>
          </w:rPr>
          <w:t xml:space="preserve">Graf č. 9: </w:t>
        </w:r>
        <w:r w:rsidR="005218D2" w:rsidRPr="00CF0ACA">
          <w:rPr>
            <w:rStyle w:val="Hypertextovodkaz"/>
            <w:noProof/>
          </w:rPr>
          <w:t>Primární energetické zdroje vs. konečná spotřeba energie</w:t>
        </w:r>
        <w:r w:rsidR="005218D2">
          <w:rPr>
            <w:noProof/>
            <w:webHidden/>
          </w:rPr>
          <w:tab/>
        </w:r>
        <w:r w:rsidR="005218D2">
          <w:rPr>
            <w:noProof/>
            <w:webHidden/>
          </w:rPr>
          <w:fldChar w:fldCharType="begin"/>
        </w:r>
        <w:r w:rsidR="005218D2">
          <w:rPr>
            <w:noProof/>
            <w:webHidden/>
          </w:rPr>
          <w:instrText xml:space="preserve"> PAGEREF _Toc396923125 \h </w:instrText>
        </w:r>
        <w:r w:rsidR="005218D2">
          <w:rPr>
            <w:noProof/>
            <w:webHidden/>
          </w:rPr>
        </w:r>
        <w:r w:rsidR="005218D2">
          <w:rPr>
            <w:noProof/>
            <w:webHidden/>
          </w:rPr>
          <w:fldChar w:fldCharType="separate"/>
        </w:r>
        <w:r w:rsidR="005218D2">
          <w:rPr>
            <w:noProof/>
            <w:webHidden/>
          </w:rPr>
          <w:t>108</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6" w:history="1">
        <w:r w:rsidR="005218D2" w:rsidRPr="00CF0ACA">
          <w:rPr>
            <w:rStyle w:val="Hypertextovodkaz"/>
            <w:b/>
            <w:noProof/>
          </w:rPr>
          <w:t>Graf č. 10:</w:t>
        </w:r>
        <w:r w:rsidR="005218D2" w:rsidRPr="00CF0ACA">
          <w:rPr>
            <w:rStyle w:val="Hypertextovodkaz"/>
            <w:noProof/>
          </w:rPr>
          <w:t xml:space="preserve"> Vývoj a struktura hrubé výroby elektřiny</w:t>
        </w:r>
        <w:r w:rsidR="005218D2">
          <w:rPr>
            <w:noProof/>
            <w:webHidden/>
          </w:rPr>
          <w:tab/>
        </w:r>
        <w:r w:rsidR="005218D2">
          <w:rPr>
            <w:noProof/>
            <w:webHidden/>
          </w:rPr>
          <w:fldChar w:fldCharType="begin"/>
        </w:r>
        <w:r w:rsidR="005218D2">
          <w:rPr>
            <w:noProof/>
            <w:webHidden/>
          </w:rPr>
          <w:instrText xml:space="preserve"> PAGEREF _Toc396923126 \h </w:instrText>
        </w:r>
        <w:r w:rsidR="005218D2">
          <w:rPr>
            <w:noProof/>
            <w:webHidden/>
          </w:rPr>
        </w:r>
        <w:r w:rsidR="005218D2">
          <w:rPr>
            <w:noProof/>
            <w:webHidden/>
          </w:rPr>
          <w:fldChar w:fldCharType="separate"/>
        </w:r>
        <w:r w:rsidR="005218D2">
          <w:rPr>
            <w:noProof/>
            <w:webHidden/>
          </w:rPr>
          <w:t>110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7" w:history="1">
        <w:r w:rsidR="005218D2" w:rsidRPr="00CF0ACA">
          <w:rPr>
            <w:rStyle w:val="Hypertextovodkaz"/>
            <w:b/>
            <w:noProof/>
          </w:rPr>
          <w:t>Graf č. 11:</w:t>
        </w:r>
        <w:r w:rsidR="005218D2" w:rsidRPr="00CF0ACA">
          <w:rPr>
            <w:rStyle w:val="Hypertextovodkaz"/>
            <w:noProof/>
          </w:rPr>
          <w:t xml:space="preserve"> Vývoj a struktura instalovaného výkonu ES ČR</w:t>
        </w:r>
        <w:r w:rsidR="005218D2">
          <w:rPr>
            <w:noProof/>
            <w:webHidden/>
          </w:rPr>
          <w:tab/>
        </w:r>
        <w:r w:rsidR="005218D2">
          <w:rPr>
            <w:noProof/>
            <w:webHidden/>
          </w:rPr>
          <w:fldChar w:fldCharType="begin"/>
        </w:r>
        <w:r w:rsidR="005218D2">
          <w:rPr>
            <w:noProof/>
            <w:webHidden/>
          </w:rPr>
          <w:instrText xml:space="preserve"> PAGEREF _Toc396923127 \h </w:instrText>
        </w:r>
        <w:r w:rsidR="005218D2">
          <w:rPr>
            <w:noProof/>
            <w:webHidden/>
          </w:rPr>
        </w:r>
        <w:r w:rsidR="005218D2">
          <w:rPr>
            <w:noProof/>
            <w:webHidden/>
          </w:rPr>
          <w:fldChar w:fldCharType="separate"/>
        </w:r>
        <w:r w:rsidR="005218D2">
          <w:rPr>
            <w:noProof/>
            <w:webHidden/>
          </w:rPr>
          <w:t>111</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8" w:history="1">
        <w:r w:rsidR="005218D2" w:rsidRPr="00CF0ACA">
          <w:rPr>
            <w:rStyle w:val="Hypertextovodkaz"/>
            <w:b/>
            <w:noProof/>
          </w:rPr>
          <w:t xml:space="preserve">Graf č. 12: </w:t>
        </w:r>
        <w:r w:rsidR="005218D2" w:rsidRPr="00CF0ACA">
          <w:rPr>
            <w:rStyle w:val="Hypertextovodkaz"/>
            <w:noProof/>
          </w:rPr>
          <w:t>Vývoj a struktura hrubé výroby elektřiny z OZE</w:t>
        </w:r>
        <w:r w:rsidR="005218D2">
          <w:rPr>
            <w:noProof/>
            <w:webHidden/>
          </w:rPr>
          <w:tab/>
        </w:r>
        <w:r w:rsidR="005218D2">
          <w:rPr>
            <w:noProof/>
            <w:webHidden/>
          </w:rPr>
          <w:fldChar w:fldCharType="begin"/>
        </w:r>
        <w:r w:rsidR="005218D2">
          <w:rPr>
            <w:noProof/>
            <w:webHidden/>
          </w:rPr>
          <w:instrText xml:space="preserve"> PAGEREF _Toc396923128 \h </w:instrText>
        </w:r>
        <w:r w:rsidR="005218D2">
          <w:rPr>
            <w:noProof/>
            <w:webHidden/>
          </w:rPr>
        </w:r>
        <w:r w:rsidR="005218D2">
          <w:rPr>
            <w:noProof/>
            <w:webHidden/>
          </w:rPr>
          <w:fldChar w:fldCharType="separate"/>
        </w:r>
        <w:r w:rsidR="005218D2">
          <w:rPr>
            <w:noProof/>
            <w:webHidden/>
          </w:rPr>
          <w:t>113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29" w:history="1">
        <w:r w:rsidR="005218D2" w:rsidRPr="00CF0ACA">
          <w:rPr>
            <w:rStyle w:val="Hypertextovodkaz"/>
            <w:b/>
            <w:noProof/>
          </w:rPr>
          <w:t>Graf č. 13:</w:t>
        </w:r>
        <w:r w:rsidR="005218D2" w:rsidRPr="00CF0ACA">
          <w:rPr>
            <w:rStyle w:val="Hypertextovodkaz"/>
            <w:noProof/>
          </w:rPr>
          <w:t xml:space="preserve"> Vývoj a struktura spotřeby elektřiny</w:t>
        </w:r>
        <w:r w:rsidR="005218D2">
          <w:rPr>
            <w:noProof/>
            <w:webHidden/>
          </w:rPr>
          <w:tab/>
        </w:r>
        <w:r w:rsidR="005218D2">
          <w:rPr>
            <w:noProof/>
            <w:webHidden/>
          </w:rPr>
          <w:fldChar w:fldCharType="begin"/>
        </w:r>
        <w:r w:rsidR="005218D2">
          <w:rPr>
            <w:noProof/>
            <w:webHidden/>
          </w:rPr>
          <w:instrText xml:space="preserve"> PAGEREF _Toc396923129 \h </w:instrText>
        </w:r>
        <w:r w:rsidR="005218D2">
          <w:rPr>
            <w:noProof/>
            <w:webHidden/>
          </w:rPr>
        </w:r>
        <w:r w:rsidR="005218D2">
          <w:rPr>
            <w:noProof/>
            <w:webHidden/>
          </w:rPr>
          <w:fldChar w:fldCharType="separate"/>
        </w:r>
        <w:r w:rsidR="005218D2">
          <w:rPr>
            <w:noProof/>
            <w:webHidden/>
          </w:rPr>
          <w:t>114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0" w:history="1">
        <w:r w:rsidR="005218D2" w:rsidRPr="00CF0ACA">
          <w:rPr>
            <w:rStyle w:val="Hypertextovodkaz"/>
            <w:b/>
            <w:noProof/>
          </w:rPr>
          <w:t xml:space="preserve">Graf č. 14: </w:t>
        </w:r>
        <w:r w:rsidR="005218D2" w:rsidRPr="00CF0ACA">
          <w:rPr>
            <w:rStyle w:val="Hypertextovodkaz"/>
            <w:noProof/>
          </w:rPr>
          <w:t>Vývoj a struktura dodávek tepla ze soustav zásobování teplem</w:t>
        </w:r>
        <w:r w:rsidR="005218D2">
          <w:rPr>
            <w:noProof/>
            <w:webHidden/>
          </w:rPr>
          <w:tab/>
        </w:r>
        <w:r w:rsidR="005218D2">
          <w:rPr>
            <w:noProof/>
            <w:webHidden/>
          </w:rPr>
          <w:fldChar w:fldCharType="begin"/>
        </w:r>
        <w:r w:rsidR="005218D2">
          <w:rPr>
            <w:noProof/>
            <w:webHidden/>
          </w:rPr>
          <w:instrText xml:space="preserve"> PAGEREF _Toc396923130 \h </w:instrText>
        </w:r>
        <w:r w:rsidR="005218D2">
          <w:rPr>
            <w:noProof/>
            <w:webHidden/>
          </w:rPr>
        </w:r>
        <w:r w:rsidR="005218D2">
          <w:rPr>
            <w:noProof/>
            <w:webHidden/>
          </w:rPr>
          <w:fldChar w:fldCharType="separate"/>
        </w:r>
        <w:r w:rsidR="005218D2">
          <w:rPr>
            <w:noProof/>
            <w:webHidden/>
          </w:rPr>
          <w:t>115</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1" w:history="1">
        <w:r w:rsidR="005218D2" w:rsidRPr="00CF0ACA">
          <w:rPr>
            <w:rStyle w:val="Hypertextovodkaz"/>
            <w:b/>
            <w:noProof/>
          </w:rPr>
          <w:t>Graf č. 15:</w:t>
        </w:r>
        <w:r w:rsidR="005218D2" w:rsidRPr="00CF0ACA">
          <w:rPr>
            <w:rStyle w:val="Hypertextovodkaz"/>
            <w:noProof/>
          </w:rPr>
          <w:t xml:space="preserve"> Pohotovostní zásoby PEZ</w:t>
        </w:r>
        <w:r w:rsidR="005218D2">
          <w:rPr>
            <w:noProof/>
            <w:webHidden/>
          </w:rPr>
          <w:tab/>
        </w:r>
        <w:r w:rsidR="005218D2">
          <w:rPr>
            <w:noProof/>
            <w:webHidden/>
          </w:rPr>
          <w:fldChar w:fldCharType="begin"/>
        </w:r>
        <w:r w:rsidR="005218D2">
          <w:rPr>
            <w:noProof/>
            <w:webHidden/>
          </w:rPr>
          <w:instrText xml:space="preserve"> PAGEREF _Toc396923131 \h </w:instrText>
        </w:r>
        <w:r w:rsidR="005218D2">
          <w:rPr>
            <w:noProof/>
            <w:webHidden/>
          </w:rPr>
        </w:r>
        <w:r w:rsidR="005218D2">
          <w:rPr>
            <w:noProof/>
            <w:webHidden/>
          </w:rPr>
          <w:fldChar w:fldCharType="separate"/>
        </w:r>
        <w:r w:rsidR="005218D2">
          <w:rPr>
            <w:noProof/>
            <w:webHidden/>
          </w:rPr>
          <w:t>117</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2" w:history="1">
        <w:r w:rsidR="005218D2" w:rsidRPr="00CF0ACA">
          <w:rPr>
            <w:rStyle w:val="Hypertextovodkaz"/>
            <w:b/>
            <w:noProof/>
          </w:rPr>
          <w:t>Graf č. 16:</w:t>
        </w:r>
        <w:r w:rsidR="005218D2" w:rsidRPr="00CF0ACA">
          <w:rPr>
            <w:rStyle w:val="Hypertextovodkaz"/>
            <w:noProof/>
          </w:rPr>
          <w:t xml:space="preserve"> Ukazatele diverzifikace</w:t>
        </w:r>
        <w:r w:rsidR="005218D2">
          <w:rPr>
            <w:noProof/>
            <w:webHidden/>
          </w:rPr>
          <w:tab/>
        </w:r>
        <w:r w:rsidR="005218D2">
          <w:rPr>
            <w:noProof/>
            <w:webHidden/>
          </w:rPr>
          <w:fldChar w:fldCharType="begin"/>
        </w:r>
        <w:r w:rsidR="005218D2">
          <w:rPr>
            <w:noProof/>
            <w:webHidden/>
          </w:rPr>
          <w:instrText xml:space="preserve"> PAGEREF _Toc396923132 \h </w:instrText>
        </w:r>
        <w:r w:rsidR="005218D2">
          <w:rPr>
            <w:noProof/>
            <w:webHidden/>
          </w:rPr>
        </w:r>
        <w:r w:rsidR="005218D2">
          <w:rPr>
            <w:noProof/>
            <w:webHidden/>
          </w:rPr>
          <w:fldChar w:fldCharType="separate"/>
        </w:r>
        <w:r w:rsidR="005218D2">
          <w:rPr>
            <w:noProof/>
            <w:webHidden/>
          </w:rPr>
          <w:t>118</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3" w:history="1">
        <w:r w:rsidR="005218D2" w:rsidRPr="00CF0ACA">
          <w:rPr>
            <w:rStyle w:val="Hypertextovodkaz"/>
            <w:b/>
            <w:noProof/>
          </w:rPr>
          <w:t>Graf č. 17:</w:t>
        </w:r>
        <w:r w:rsidR="005218D2" w:rsidRPr="00CF0ACA">
          <w:rPr>
            <w:rStyle w:val="Hypertextovodkaz"/>
            <w:noProof/>
          </w:rPr>
          <w:t xml:space="preserve"> Podíl dovozu jednotlivých primárních paliv</w:t>
        </w:r>
        <w:r w:rsidR="005218D2">
          <w:rPr>
            <w:noProof/>
            <w:webHidden/>
          </w:rPr>
          <w:tab/>
        </w:r>
        <w:r w:rsidR="005218D2">
          <w:rPr>
            <w:noProof/>
            <w:webHidden/>
          </w:rPr>
          <w:fldChar w:fldCharType="begin"/>
        </w:r>
        <w:r w:rsidR="005218D2">
          <w:rPr>
            <w:noProof/>
            <w:webHidden/>
          </w:rPr>
          <w:instrText xml:space="preserve"> PAGEREF _Toc396923133 \h </w:instrText>
        </w:r>
        <w:r w:rsidR="005218D2">
          <w:rPr>
            <w:noProof/>
            <w:webHidden/>
          </w:rPr>
        </w:r>
        <w:r w:rsidR="005218D2">
          <w:rPr>
            <w:noProof/>
            <w:webHidden/>
          </w:rPr>
          <w:fldChar w:fldCharType="separate"/>
        </w:r>
        <w:r w:rsidR="005218D2">
          <w:rPr>
            <w:noProof/>
            <w:webHidden/>
          </w:rPr>
          <w:t>119</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4" w:history="1">
        <w:r w:rsidR="005218D2" w:rsidRPr="00CF0ACA">
          <w:rPr>
            <w:rStyle w:val="Hypertextovodkaz"/>
            <w:b/>
            <w:noProof/>
          </w:rPr>
          <w:t xml:space="preserve">Graf č. 18: </w:t>
        </w:r>
        <w:r w:rsidR="005218D2" w:rsidRPr="00CF0ACA">
          <w:rPr>
            <w:rStyle w:val="Hypertextovodkaz"/>
            <w:noProof/>
          </w:rPr>
          <w:t>Struktura čistého dovozu primárních paliv</w:t>
        </w:r>
        <w:r w:rsidR="005218D2">
          <w:rPr>
            <w:noProof/>
            <w:webHidden/>
          </w:rPr>
          <w:tab/>
        </w:r>
        <w:r w:rsidR="005218D2">
          <w:rPr>
            <w:noProof/>
            <w:webHidden/>
          </w:rPr>
          <w:fldChar w:fldCharType="begin"/>
        </w:r>
        <w:r w:rsidR="005218D2">
          <w:rPr>
            <w:noProof/>
            <w:webHidden/>
          </w:rPr>
          <w:instrText xml:space="preserve"> PAGEREF _Toc396923134 \h </w:instrText>
        </w:r>
        <w:r w:rsidR="005218D2">
          <w:rPr>
            <w:noProof/>
            <w:webHidden/>
          </w:rPr>
        </w:r>
        <w:r w:rsidR="005218D2">
          <w:rPr>
            <w:noProof/>
            <w:webHidden/>
          </w:rPr>
          <w:fldChar w:fldCharType="separate"/>
        </w:r>
        <w:r w:rsidR="005218D2">
          <w:rPr>
            <w:noProof/>
            <w:webHidden/>
          </w:rPr>
          <w:t>120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5" w:history="1">
        <w:r w:rsidR="005218D2" w:rsidRPr="00CF0ACA">
          <w:rPr>
            <w:rStyle w:val="Hypertextovodkaz"/>
            <w:b/>
            <w:noProof/>
          </w:rPr>
          <w:t>Graf č. 19:</w:t>
        </w:r>
        <w:r w:rsidR="005218D2" w:rsidRPr="00CF0ACA">
          <w:rPr>
            <w:rStyle w:val="Hypertextovodkaz"/>
            <w:noProof/>
          </w:rPr>
          <w:t xml:space="preserve"> Dovozní závislost</w:t>
        </w:r>
        <w:r w:rsidR="005218D2">
          <w:rPr>
            <w:noProof/>
            <w:webHidden/>
          </w:rPr>
          <w:tab/>
        </w:r>
        <w:r w:rsidR="005218D2">
          <w:rPr>
            <w:noProof/>
            <w:webHidden/>
          </w:rPr>
          <w:fldChar w:fldCharType="begin"/>
        </w:r>
        <w:r w:rsidR="005218D2">
          <w:rPr>
            <w:noProof/>
            <w:webHidden/>
          </w:rPr>
          <w:instrText xml:space="preserve"> PAGEREF _Toc396923135 \h </w:instrText>
        </w:r>
        <w:r w:rsidR="005218D2">
          <w:rPr>
            <w:noProof/>
            <w:webHidden/>
          </w:rPr>
        </w:r>
        <w:r w:rsidR="005218D2">
          <w:rPr>
            <w:noProof/>
            <w:webHidden/>
          </w:rPr>
          <w:fldChar w:fldCharType="separate"/>
        </w:r>
        <w:r w:rsidR="005218D2">
          <w:rPr>
            <w:noProof/>
            <w:webHidden/>
          </w:rPr>
          <w:t>120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6" w:history="1">
        <w:r w:rsidR="005218D2" w:rsidRPr="00CF0ACA">
          <w:rPr>
            <w:rStyle w:val="Hypertextovodkaz"/>
            <w:b/>
            <w:noProof/>
          </w:rPr>
          <w:t xml:space="preserve">Graf č. 20: </w:t>
        </w:r>
        <w:r w:rsidR="005218D2" w:rsidRPr="00CF0ACA">
          <w:rPr>
            <w:rStyle w:val="Hypertextovodkaz"/>
            <w:noProof/>
          </w:rPr>
          <w:t>Soběstačnost v dodávkách elektřiny</w:t>
        </w:r>
        <w:r w:rsidR="005218D2">
          <w:rPr>
            <w:noProof/>
            <w:webHidden/>
          </w:rPr>
          <w:tab/>
        </w:r>
        <w:r w:rsidR="005218D2">
          <w:rPr>
            <w:noProof/>
            <w:webHidden/>
          </w:rPr>
          <w:fldChar w:fldCharType="begin"/>
        </w:r>
        <w:r w:rsidR="005218D2">
          <w:rPr>
            <w:noProof/>
            <w:webHidden/>
          </w:rPr>
          <w:instrText xml:space="preserve"> PAGEREF _Toc396923136 \h </w:instrText>
        </w:r>
        <w:r w:rsidR="005218D2">
          <w:rPr>
            <w:noProof/>
            <w:webHidden/>
          </w:rPr>
        </w:r>
        <w:r w:rsidR="005218D2">
          <w:rPr>
            <w:noProof/>
            <w:webHidden/>
          </w:rPr>
          <w:fldChar w:fldCharType="separate"/>
        </w:r>
        <w:r w:rsidR="005218D2">
          <w:rPr>
            <w:noProof/>
            <w:webHidden/>
          </w:rPr>
          <w:t>121</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7" w:history="1">
        <w:r w:rsidR="005218D2" w:rsidRPr="00CF0ACA">
          <w:rPr>
            <w:rStyle w:val="Hypertextovodkaz"/>
            <w:b/>
            <w:noProof/>
          </w:rPr>
          <w:t xml:space="preserve">Graf č. 21: </w:t>
        </w:r>
        <w:r w:rsidR="005218D2" w:rsidRPr="00CF0ACA">
          <w:rPr>
            <w:rStyle w:val="Hypertextovodkaz"/>
            <w:noProof/>
          </w:rPr>
          <w:t>Vývoj očekávané výkonové rezervy</w:t>
        </w:r>
        <w:r w:rsidR="005218D2">
          <w:rPr>
            <w:noProof/>
            <w:webHidden/>
          </w:rPr>
          <w:tab/>
        </w:r>
        <w:r w:rsidR="005218D2">
          <w:rPr>
            <w:noProof/>
            <w:webHidden/>
          </w:rPr>
          <w:fldChar w:fldCharType="begin"/>
        </w:r>
        <w:r w:rsidR="005218D2">
          <w:rPr>
            <w:noProof/>
            <w:webHidden/>
          </w:rPr>
          <w:instrText xml:space="preserve"> PAGEREF _Toc396923137 \h </w:instrText>
        </w:r>
        <w:r w:rsidR="005218D2">
          <w:rPr>
            <w:noProof/>
            <w:webHidden/>
          </w:rPr>
        </w:r>
        <w:r w:rsidR="005218D2">
          <w:rPr>
            <w:noProof/>
            <w:webHidden/>
          </w:rPr>
          <w:fldChar w:fldCharType="separate"/>
        </w:r>
        <w:r w:rsidR="005218D2">
          <w:rPr>
            <w:noProof/>
            <w:webHidden/>
          </w:rPr>
          <w:t>122</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8" w:history="1">
        <w:r w:rsidR="005218D2" w:rsidRPr="00CF0ACA">
          <w:rPr>
            <w:rStyle w:val="Hypertextovodkaz"/>
            <w:b/>
            <w:noProof/>
          </w:rPr>
          <w:t xml:space="preserve">Graf č. 22: </w:t>
        </w:r>
        <w:r w:rsidR="005218D2" w:rsidRPr="00CF0ACA">
          <w:rPr>
            <w:rStyle w:val="Hypertextovodkaz"/>
            <w:noProof/>
          </w:rPr>
          <w:t>Diskontované náklady na zajištění energie</w:t>
        </w:r>
        <w:r w:rsidR="005218D2">
          <w:rPr>
            <w:noProof/>
            <w:webHidden/>
          </w:rPr>
          <w:tab/>
        </w:r>
        <w:r w:rsidR="005218D2">
          <w:rPr>
            <w:noProof/>
            <w:webHidden/>
          </w:rPr>
          <w:fldChar w:fldCharType="begin"/>
        </w:r>
        <w:r w:rsidR="005218D2">
          <w:rPr>
            <w:noProof/>
            <w:webHidden/>
          </w:rPr>
          <w:instrText xml:space="preserve"> PAGEREF _Toc396923138 \h </w:instrText>
        </w:r>
        <w:r w:rsidR="005218D2">
          <w:rPr>
            <w:noProof/>
            <w:webHidden/>
          </w:rPr>
        </w:r>
        <w:r w:rsidR="005218D2">
          <w:rPr>
            <w:noProof/>
            <w:webHidden/>
          </w:rPr>
          <w:fldChar w:fldCharType="separate"/>
        </w:r>
        <w:r w:rsidR="005218D2">
          <w:rPr>
            <w:noProof/>
            <w:webHidden/>
          </w:rPr>
          <w:t>123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39" w:history="1">
        <w:r w:rsidR="005218D2" w:rsidRPr="00CF0ACA">
          <w:rPr>
            <w:rStyle w:val="Hypertextovodkaz"/>
            <w:b/>
            <w:noProof/>
          </w:rPr>
          <w:t xml:space="preserve">Graf č. 23: </w:t>
        </w:r>
        <w:r w:rsidR="005218D2" w:rsidRPr="00CF0ACA">
          <w:rPr>
            <w:rStyle w:val="Hypertextovodkaz"/>
            <w:noProof/>
          </w:rPr>
          <w:t>Ceny vybraných energetických komodit</w:t>
        </w:r>
        <w:r w:rsidR="005218D2">
          <w:rPr>
            <w:noProof/>
            <w:webHidden/>
          </w:rPr>
          <w:tab/>
        </w:r>
        <w:r w:rsidR="005218D2">
          <w:rPr>
            <w:noProof/>
            <w:webHidden/>
          </w:rPr>
          <w:fldChar w:fldCharType="begin"/>
        </w:r>
        <w:r w:rsidR="005218D2">
          <w:rPr>
            <w:noProof/>
            <w:webHidden/>
          </w:rPr>
          <w:instrText xml:space="preserve"> PAGEREF _Toc396923139 \h </w:instrText>
        </w:r>
        <w:r w:rsidR="005218D2">
          <w:rPr>
            <w:noProof/>
            <w:webHidden/>
          </w:rPr>
        </w:r>
        <w:r w:rsidR="005218D2">
          <w:rPr>
            <w:noProof/>
            <w:webHidden/>
          </w:rPr>
          <w:fldChar w:fldCharType="separate"/>
        </w:r>
        <w:r w:rsidR="005218D2">
          <w:rPr>
            <w:noProof/>
            <w:webHidden/>
          </w:rPr>
          <w:t>124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0" w:history="1">
        <w:r w:rsidR="005218D2" w:rsidRPr="00CF0ACA">
          <w:rPr>
            <w:rStyle w:val="Hypertextovodkaz"/>
            <w:b/>
            <w:noProof/>
          </w:rPr>
          <w:t>Graf č. 24:</w:t>
        </w:r>
        <w:r w:rsidR="005218D2" w:rsidRPr="00CF0ACA">
          <w:rPr>
            <w:rStyle w:val="Hypertextovodkaz"/>
            <w:noProof/>
          </w:rPr>
          <w:t xml:space="preserve"> Konečné ceny elektřiny</w:t>
        </w:r>
        <w:r w:rsidR="005218D2">
          <w:rPr>
            <w:noProof/>
            <w:webHidden/>
          </w:rPr>
          <w:tab/>
        </w:r>
        <w:r w:rsidR="005218D2">
          <w:rPr>
            <w:noProof/>
            <w:webHidden/>
          </w:rPr>
          <w:fldChar w:fldCharType="begin"/>
        </w:r>
        <w:r w:rsidR="005218D2">
          <w:rPr>
            <w:noProof/>
            <w:webHidden/>
          </w:rPr>
          <w:instrText xml:space="preserve"> PAGEREF _Toc396923140 \h </w:instrText>
        </w:r>
        <w:r w:rsidR="005218D2">
          <w:rPr>
            <w:noProof/>
            <w:webHidden/>
          </w:rPr>
        </w:r>
        <w:r w:rsidR="005218D2">
          <w:rPr>
            <w:noProof/>
            <w:webHidden/>
          </w:rPr>
          <w:fldChar w:fldCharType="separate"/>
        </w:r>
        <w:r w:rsidR="005218D2">
          <w:rPr>
            <w:noProof/>
            <w:webHidden/>
          </w:rPr>
          <w:t>125</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1" w:history="1">
        <w:r w:rsidR="005218D2" w:rsidRPr="00CF0ACA">
          <w:rPr>
            <w:rStyle w:val="Hypertextovodkaz"/>
            <w:b/>
            <w:noProof/>
          </w:rPr>
          <w:t xml:space="preserve">Graf č. 25: </w:t>
        </w:r>
        <w:r w:rsidR="005218D2" w:rsidRPr="00CF0ACA">
          <w:rPr>
            <w:rStyle w:val="Hypertextovodkaz"/>
            <w:noProof/>
          </w:rPr>
          <w:t>Vývoj a struktura konečné ceny elektřiny na hladině nn</w:t>
        </w:r>
        <w:r w:rsidR="005218D2">
          <w:rPr>
            <w:noProof/>
            <w:webHidden/>
          </w:rPr>
          <w:tab/>
        </w:r>
        <w:r w:rsidR="005218D2">
          <w:rPr>
            <w:noProof/>
            <w:webHidden/>
          </w:rPr>
          <w:fldChar w:fldCharType="begin"/>
        </w:r>
        <w:r w:rsidR="005218D2">
          <w:rPr>
            <w:noProof/>
            <w:webHidden/>
          </w:rPr>
          <w:instrText xml:space="preserve"> PAGEREF _Toc396923141 \h </w:instrText>
        </w:r>
        <w:r w:rsidR="005218D2">
          <w:rPr>
            <w:noProof/>
            <w:webHidden/>
          </w:rPr>
        </w:r>
        <w:r w:rsidR="005218D2">
          <w:rPr>
            <w:noProof/>
            <w:webHidden/>
          </w:rPr>
          <w:fldChar w:fldCharType="separate"/>
        </w:r>
        <w:r w:rsidR="005218D2">
          <w:rPr>
            <w:noProof/>
            <w:webHidden/>
          </w:rPr>
          <w:t>125</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2" w:history="1">
        <w:r w:rsidR="005218D2" w:rsidRPr="00CF0ACA">
          <w:rPr>
            <w:rStyle w:val="Hypertextovodkaz"/>
            <w:b/>
            <w:noProof/>
          </w:rPr>
          <w:t>Graf č. 26:</w:t>
        </w:r>
        <w:r w:rsidR="005218D2" w:rsidRPr="00CF0ACA">
          <w:rPr>
            <w:rStyle w:val="Hypertextovodkaz"/>
            <w:noProof/>
          </w:rPr>
          <w:t xml:space="preserve"> Podíl výdajů domácností na energie</w:t>
        </w:r>
        <w:r w:rsidR="005218D2">
          <w:rPr>
            <w:noProof/>
            <w:webHidden/>
          </w:rPr>
          <w:tab/>
        </w:r>
        <w:r w:rsidR="005218D2">
          <w:rPr>
            <w:noProof/>
            <w:webHidden/>
          </w:rPr>
          <w:fldChar w:fldCharType="begin"/>
        </w:r>
        <w:r w:rsidR="005218D2">
          <w:rPr>
            <w:noProof/>
            <w:webHidden/>
          </w:rPr>
          <w:instrText xml:space="preserve"> PAGEREF _Toc396923142 \h </w:instrText>
        </w:r>
        <w:r w:rsidR="005218D2">
          <w:rPr>
            <w:noProof/>
            <w:webHidden/>
          </w:rPr>
        </w:r>
        <w:r w:rsidR="005218D2">
          <w:rPr>
            <w:noProof/>
            <w:webHidden/>
          </w:rPr>
          <w:fldChar w:fldCharType="separate"/>
        </w:r>
        <w:r w:rsidR="005218D2">
          <w:rPr>
            <w:noProof/>
            <w:webHidden/>
          </w:rPr>
          <w:t>126</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3" w:history="1">
        <w:r w:rsidR="005218D2" w:rsidRPr="00CF0ACA">
          <w:rPr>
            <w:rStyle w:val="Hypertextovodkaz"/>
            <w:b/>
            <w:noProof/>
          </w:rPr>
          <w:t>Graf č. 27:</w:t>
        </w:r>
        <w:r w:rsidR="005218D2" w:rsidRPr="00CF0ACA">
          <w:rPr>
            <w:rStyle w:val="Hypertextovodkaz"/>
            <w:noProof/>
          </w:rPr>
          <w:t xml:space="preserve"> Podíl sektoru energetiky na HPH ve stálých cenách roku 2005</w:t>
        </w:r>
        <w:r w:rsidR="005218D2">
          <w:rPr>
            <w:noProof/>
            <w:webHidden/>
          </w:rPr>
          <w:tab/>
        </w:r>
        <w:r w:rsidR="005218D2">
          <w:rPr>
            <w:noProof/>
            <w:webHidden/>
          </w:rPr>
          <w:fldChar w:fldCharType="begin"/>
        </w:r>
        <w:r w:rsidR="005218D2">
          <w:rPr>
            <w:noProof/>
            <w:webHidden/>
          </w:rPr>
          <w:instrText xml:space="preserve"> PAGEREF _Toc396923143 \h </w:instrText>
        </w:r>
        <w:r w:rsidR="005218D2">
          <w:rPr>
            <w:noProof/>
            <w:webHidden/>
          </w:rPr>
        </w:r>
        <w:r w:rsidR="005218D2">
          <w:rPr>
            <w:noProof/>
            <w:webHidden/>
          </w:rPr>
          <w:fldChar w:fldCharType="separate"/>
        </w:r>
        <w:r w:rsidR="005218D2">
          <w:rPr>
            <w:noProof/>
            <w:webHidden/>
          </w:rPr>
          <w:t>127</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4" w:history="1">
        <w:r w:rsidR="005218D2" w:rsidRPr="00CF0ACA">
          <w:rPr>
            <w:rStyle w:val="Hypertextovodkaz"/>
            <w:b/>
            <w:noProof/>
          </w:rPr>
          <w:t>Graf č. 28:</w:t>
        </w:r>
        <w:r w:rsidR="005218D2" w:rsidRPr="00CF0ACA">
          <w:rPr>
            <w:rStyle w:val="Hypertextovodkaz"/>
            <w:noProof/>
          </w:rPr>
          <w:t xml:space="preserve"> Podíl dovozu energie na HPH v běžných cenách</w:t>
        </w:r>
        <w:r w:rsidR="005218D2">
          <w:rPr>
            <w:noProof/>
            <w:webHidden/>
          </w:rPr>
          <w:tab/>
        </w:r>
        <w:r w:rsidR="005218D2">
          <w:rPr>
            <w:noProof/>
            <w:webHidden/>
          </w:rPr>
          <w:fldChar w:fldCharType="begin"/>
        </w:r>
        <w:r w:rsidR="005218D2">
          <w:rPr>
            <w:noProof/>
            <w:webHidden/>
          </w:rPr>
          <w:instrText xml:space="preserve"> PAGEREF _Toc396923144 \h </w:instrText>
        </w:r>
        <w:r w:rsidR="005218D2">
          <w:rPr>
            <w:noProof/>
            <w:webHidden/>
          </w:rPr>
        </w:r>
        <w:r w:rsidR="005218D2">
          <w:rPr>
            <w:noProof/>
            <w:webHidden/>
          </w:rPr>
          <w:fldChar w:fldCharType="separate"/>
        </w:r>
        <w:r w:rsidR="005218D2">
          <w:rPr>
            <w:noProof/>
            <w:webHidden/>
          </w:rPr>
          <w:t>127</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5" w:history="1">
        <w:r w:rsidR="005218D2" w:rsidRPr="00CF0ACA">
          <w:rPr>
            <w:rStyle w:val="Hypertextovodkaz"/>
            <w:b/>
            <w:noProof/>
          </w:rPr>
          <w:t>Graf č. 29:</w:t>
        </w:r>
        <w:r w:rsidR="005218D2" w:rsidRPr="00CF0ACA">
          <w:rPr>
            <w:rStyle w:val="Hypertextovodkaz"/>
            <w:noProof/>
          </w:rPr>
          <w:t xml:space="preserve"> Obchodní bilance čistého dovozu PEZ</w:t>
        </w:r>
        <w:r w:rsidR="005218D2">
          <w:rPr>
            <w:noProof/>
            <w:webHidden/>
          </w:rPr>
          <w:tab/>
        </w:r>
        <w:r w:rsidR="005218D2">
          <w:rPr>
            <w:noProof/>
            <w:webHidden/>
          </w:rPr>
          <w:fldChar w:fldCharType="begin"/>
        </w:r>
        <w:r w:rsidR="005218D2">
          <w:rPr>
            <w:noProof/>
            <w:webHidden/>
          </w:rPr>
          <w:instrText xml:space="preserve"> PAGEREF _Toc396923145 \h </w:instrText>
        </w:r>
        <w:r w:rsidR="005218D2">
          <w:rPr>
            <w:noProof/>
            <w:webHidden/>
          </w:rPr>
        </w:r>
        <w:r w:rsidR="005218D2">
          <w:rPr>
            <w:noProof/>
            <w:webHidden/>
          </w:rPr>
          <w:fldChar w:fldCharType="separate"/>
        </w:r>
        <w:r w:rsidR="005218D2">
          <w:rPr>
            <w:noProof/>
            <w:webHidden/>
          </w:rPr>
          <w:t>128</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6" w:history="1">
        <w:r w:rsidR="005218D2" w:rsidRPr="00CF0ACA">
          <w:rPr>
            <w:rStyle w:val="Hypertextovodkaz"/>
            <w:b/>
            <w:noProof/>
          </w:rPr>
          <w:t xml:space="preserve">Graf č. 30: </w:t>
        </w:r>
        <w:r w:rsidR="005218D2" w:rsidRPr="00CF0ACA">
          <w:rPr>
            <w:rStyle w:val="Hypertextovodkaz"/>
            <w:noProof/>
          </w:rPr>
          <w:t>Energetická náročnost tvorby HDP v EU v roce 2011</w:t>
        </w:r>
        <w:r w:rsidR="005218D2">
          <w:rPr>
            <w:noProof/>
            <w:webHidden/>
          </w:rPr>
          <w:tab/>
        </w:r>
        <w:r w:rsidR="005218D2">
          <w:rPr>
            <w:noProof/>
            <w:webHidden/>
          </w:rPr>
          <w:fldChar w:fldCharType="begin"/>
        </w:r>
        <w:r w:rsidR="005218D2">
          <w:rPr>
            <w:noProof/>
            <w:webHidden/>
          </w:rPr>
          <w:instrText xml:space="preserve"> PAGEREF _Toc396923146 \h </w:instrText>
        </w:r>
        <w:r w:rsidR="005218D2">
          <w:rPr>
            <w:noProof/>
            <w:webHidden/>
          </w:rPr>
        </w:r>
        <w:r w:rsidR="005218D2">
          <w:rPr>
            <w:noProof/>
            <w:webHidden/>
          </w:rPr>
          <w:fldChar w:fldCharType="separate"/>
        </w:r>
        <w:r w:rsidR="005218D2">
          <w:rPr>
            <w:noProof/>
            <w:webHidden/>
          </w:rPr>
          <w:t>129</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7" w:history="1">
        <w:r w:rsidR="005218D2" w:rsidRPr="00CF0ACA">
          <w:rPr>
            <w:rStyle w:val="Hypertextovodkaz"/>
            <w:b/>
            <w:noProof/>
          </w:rPr>
          <w:t xml:space="preserve">Graf č. 31: </w:t>
        </w:r>
        <w:r w:rsidR="005218D2" w:rsidRPr="00CF0ACA">
          <w:rPr>
            <w:rStyle w:val="Hypertextovodkaz"/>
            <w:noProof/>
          </w:rPr>
          <w:t>Elektroenergetická náročnost tvorby HPH sektoru průmyslu v EU v roce 2011</w:t>
        </w:r>
        <w:r w:rsidR="005218D2">
          <w:rPr>
            <w:noProof/>
            <w:webHidden/>
          </w:rPr>
          <w:tab/>
        </w:r>
        <w:r w:rsidR="005218D2">
          <w:rPr>
            <w:noProof/>
            <w:webHidden/>
          </w:rPr>
          <w:fldChar w:fldCharType="begin"/>
        </w:r>
        <w:r w:rsidR="005218D2">
          <w:rPr>
            <w:noProof/>
            <w:webHidden/>
          </w:rPr>
          <w:instrText xml:space="preserve"> PAGEREF _Toc396923147 \h </w:instrText>
        </w:r>
        <w:r w:rsidR="005218D2">
          <w:rPr>
            <w:noProof/>
            <w:webHidden/>
          </w:rPr>
        </w:r>
        <w:r w:rsidR="005218D2">
          <w:rPr>
            <w:noProof/>
            <w:webHidden/>
          </w:rPr>
          <w:fldChar w:fldCharType="separate"/>
        </w:r>
        <w:r w:rsidR="005218D2">
          <w:rPr>
            <w:noProof/>
            <w:webHidden/>
          </w:rPr>
          <w:t>130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8" w:history="1">
        <w:r w:rsidR="005218D2" w:rsidRPr="00CF0ACA">
          <w:rPr>
            <w:rStyle w:val="Hypertextovodkaz"/>
            <w:b/>
            <w:noProof/>
          </w:rPr>
          <w:t xml:space="preserve">Graf č. 32: </w:t>
        </w:r>
        <w:r w:rsidR="005218D2" w:rsidRPr="00CF0ACA">
          <w:rPr>
            <w:rStyle w:val="Hypertextovodkaz"/>
            <w:noProof/>
          </w:rPr>
          <w:t>Energetická a elektroenergetická náročnost tvorby HPH ve stálých cenách</w:t>
        </w:r>
        <w:r w:rsidR="005218D2">
          <w:rPr>
            <w:noProof/>
            <w:webHidden/>
          </w:rPr>
          <w:tab/>
        </w:r>
        <w:r w:rsidR="005218D2">
          <w:rPr>
            <w:noProof/>
            <w:webHidden/>
          </w:rPr>
          <w:fldChar w:fldCharType="begin"/>
        </w:r>
        <w:r w:rsidR="005218D2">
          <w:rPr>
            <w:noProof/>
            <w:webHidden/>
          </w:rPr>
          <w:instrText xml:space="preserve"> PAGEREF _Toc396923148 \h </w:instrText>
        </w:r>
        <w:r w:rsidR="005218D2">
          <w:rPr>
            <w:noProof/>
            <w:webHidden/>
          </w:rPr>
        </w:r>
        <w:r w:rsidR="005218D2">
          <w:rPr>
            <w:noProof/>
            <w:webHidden/>
          </w:rPr>
          <w:fldChar w:fldCharType="separate"/>
        </w:r>
        <w:r w:rsidR="005218D2">
          <w:rPr>
            <w:noProof/>
            <w:webHidden/>
          </w:rPr>
          <w:t>131</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49" w:history="1">
        <w:r w:rsidR="005218D2" w:rsidRPr="00CF0ACA">
          <w:rPr>
            <w:rStyle w:val="Hypertextovodkaz"/>
            <w:b/>
            <w:noProof/>
          </w:rPr>
          <w:t>Graf č. 33:</w:t>
        </w:r>
        <w:r w:rsidR="005218D2" w:rsidRPr="00CF0ACA">
          <w:rPr>
            <w:rStyle w:val="Hypertextovodkaz"/>
            <w:noProof/>
          </w:rPr>
          <w:t xml:space="preserve"> Emise CO</w:t>
        </w:r>
        <w:r w:rsidR="005218D2" w:rsidRPr="00CF0ACA">
          <w:rPr>
            <w:rStyle w:val="Hypertextovodkaz"/>
            <w:noProof/>
            <w:vertAlign w:val="subscript"/>
          </w:rPr>
          <w:t>2</w:t>
        </w:r>
        <w:r w:rsidR="005218D2" w:rsidRPr="00CF0ACA">
          <w:rPr>
            <w:rStyle w:val="Hypertextovodkaz"/>
            <w:noProof/>
          </w:rPr>
          <w:t xml:space="preserve"> ze spalovacích procesů</w:t>
        </w:r>
        <w:r w:rsidR="005218D2">
          <w:rPr>
            <w:noProof/>
            <w:webHidden/>
          </w:rPr>
          <w:tab/>
        </w:r>
        <w:r w:rsidR="005218D2">
          <w:rPr>
            <w:noProof/>
            <w:webHidden/>
          </w:rPr>
          <w:fldChar w:fldCharType="begin"/>
        </w:r>
        <w:r w:rsidR="005218D2">
          <w:rPr>
            <w:noProof/>
            <w:webHidden/>
          </w:rPr>
          <w:instrText xml:space="preserve"> PAGEREF _Toc396923149 \h </w:instrText>
        </w:r>
        <w:r w:rsidR="005218D2">
          <w:rPr>
            <w:noProof/>
            <w:webHidden/>
          </w:rPr>
        </w:r>
        <w:r w:rsidR="005218D2">
          <w:rPr>
            <w:noProof/>
            <w:webHidden/>
          </w:rPr>
          <w:fldChar w:fldCharType="separate"/>
        </w:r>
        <w:r w:rsidR="005218D2">
          <w:rPr>
            <w:noProof/>
            <w:webHidden/>
          </w:rPr>
          <w:t>132</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0" w:history="1">
        <w:r w:rsidR="005218D2" w:rsidRPr="00CF0ACA">
          <w:rPr>
            <w:rStyle w:val="Hypertextovodkaz"/>
            <w:b/>
            <w:noProof/>
          </w:rPr>
          <w:t>Graf č. 34:</w:t>
        </w:r>
        <w:r w:rsidR="005218D2" w:rsidRPr="00CF0ACA">
          <w:rPr>
            <w:rStyle w:val="Hypertextovodkaz"/>
            <w:noProof/>
          </w:rPr>
          <w:t xml:space="preserve"> Vývoj emisí SO</w:t>
        </w:r>
        <w:r w:rsidR="005218D2" w:rsidRPr="00CF0ACA">
          <w:rPr>
            <w:rStyle w:val="Hypertextovodkaz"/>
            <w:noProof/>
            <w:vertAlign w:val="subscript"/>
          </w:rPr>
          <w:t>2</w:t>
        </w:r>
        <w:r w:rsidR="005218D2">
          <w:rPr>
            <w:noProof/>
            <w:webHidden/>
          </w:rPr>
          <w:tab/>
        </w:r>
        <w:r w:rsidR="005218D2">
          <w:rPr>
            <w:noProof/>
            <w:webHidden/>
          </w:rPr>
          <w:fldChar w:fldCharType="begin"/>
        </w:r>
        <w:r w:rsidR="005218D2">
          <w:rPr>
            <w:noProof/>
            <w:webHidden/>
          </w:rPr>
          <w:instrText xml:space="preserve"> PAGEREF _Toc396923150 \h </w:instrText>
        </w:r>
        <w:r w:rsidR="005218D2">
          <w:rPr>
            <w:noProof/>
            <w:webHidden/>
          </w:rPr>
        </w:r>
        <w:r w:rsidR="005218D2">
          <w:rPr>
            <w:noProof/>
            <w:webHidden/>
          </w:rPr>
          <w:fldChar w:fldCharType="separate"/>
        </w:r>
        <w:r w:rsidR="005218D2">
          <w:rPr>
            <w:noProof/>
            <w:webHidden/>
          </w:rPr>
          <w:t>133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1" w:history="1">
        <w:r w:rsidR="005218D2" w:rsidRPr="00CF0ACA">
          <w:rPr>
            <w:rStyle w:val="Hypertextovodkaz"/>
            <w:b/>
            <w:noProof/>
          </w:rPr>
          <w:t xml:space="preserve">Graf č. 35: </w:t>
        </w:r>
        <w:r w:rsidR="005218D2" w:rsidRPr="00CF0ACA">
          <w:rPr>
            <w:rStyle w:val="Hypertextovodkaz"/>
            <w:noProof/>
          </w:rPr>
          <w:t>Vývoj emisí NO</w:t>
        </w:r>
        <w:r w:rsidR="005218D2" w:rsidRPr="00CF0ACA">
          <w:rPr>
            <w:rStyle w:val="Hypertextovodkaz"/>
            <w:noProof/>
            <w:vertAlign w:val="subscript"/>
          </w:rPr>
          <w:t>X</w:t>
        </w:r>
        <w:r w:rsidR="005218D2">
          <w:rPr>
            <w:noProof/>
            <w:webHidden/>
          </w:rPr>
          <w:tab/>
        </w:r>
        <w:r w:rsidR="005218D2">
          <w:rPr>
            <w:noProof/>
            <w:webHidden/>
          </w:rPr>
          <w:fldChar w:fldCharType="begin"/>
        </w:r>
        <w:r w:rsidR="005218D2">
          <w:rPr>
            <w:noProof/>
            <w:webHidden/>
          </w:rPr>
          <w:instrText xml:space="preserve"> PAGEREF _Toc396923151 \h </w:instrText>
        </w:r>
        <w:r w:rsidR="005218D2">
          <w:rPr>
            <w:noProof/>
            <w:webHidden/>
          </w:rPr>
        </w:r>
        <w:r w:rsidR="005218D2">
          <w:rPr>
            <w:noProof/>
            <w:webHidden/>
          </w:rPr>
          <w:fldChar w:fldCharType="separate"/>
        </w:r>
        <w:r w:rsidR="005218D2">
          <w:rPr>
            <w:noProof/>
            <w:webHidden/>
          </w:rPr>
          <w:t>133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2" w:history="1">
        <w:r w:rsidR="005218D2" w:rsidRPr="00CF0ACA">
          <w:rPr>
            <w:rStyle w:val="Hypertextovodkaz"/>
            <w:b/>
            <w:noProof/>
          </w:rPr>
          <w:t xml:space="preserve">Graf č. 36: </w:t>
        </w:r>
        <w:r w:rsidR="005218D2" w:rsidRPr="00CF0ACA">
          <w:rPr>
            <w:rStyle w:val="Hypertextovodkaz"/>
            <w:noProof/>
          </w:rPr>
          <w:t>Vývoj emisí VOC</w:t>
        </w:r>
        <w:r w:rsidR="005218D2">
          <w:rPr>
            <w:noProof/>
            <w:webHidden/>
          </w:rPr>
          <w:tab/>
        </w:r>
        <w:r w:rsidR="005218D2">
          <w:rPr>
            <w:noProof/>
            <w:webHidden/>
          </w:rPr>
          <w:fldChar w:fldCharType="begin"/>
        </w:r>
        <w:r w:rsidR="005218D2">
          <w:rPr>
            <w:noProof/>
            <w:webHidden/>
          </w:rPr>
          <w:instrText xml:space="preserve"> PAGEREF _Toc396923152 \h </w:instrText>
        </w:r>
        <w:r w:rsidR="005218D2">
          <w:rPr>
            <w:noProof/>
            <w:webHidden/>
          </w:rPr>
        </w:r>
        <w:r w:rsidR="005218D2">
          <w:rPr>
            <w:noProof/>
            <w:webHidden/>
          </w:rPr>
          <w:fldChar w:fldCharType="separate"/>
        </w:r>
        <w:r w:rsidR="005218D2">
          <w:rPr>
            <w:noProof/>
            <w:webHidden/>
          </w:rPr>
          <w:t>134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3" w:history="1">
        <w:r w:rsidR="005218D2" w:rsidRPr="00CF0ACA">
          <w:rPr>
            <w:rStyle w:val="Hypertextovodkaz"/>
            <w:b/>
            <w:noProof/>
          </w:rPr>
          <w:t xml:space="preserve">Graf č. 37: </w:t>
        </w:r>
        <w:r w:rsidR="005218D2" w:rsidRPr="00CF0ACA">
          <w:rPr>
            <w:rStyle w:val="Hypertextovodkaz"/>
            <w:noProof/>
          </w:rPr>
          <w:t>Vývoj emisí NH</w:t>
        </w:r>
        <w:r w:rsidR="005218D2" w:rsidRPr="00CF0ACA">
          <w:rPr>
            <w:rStyle w:val="Hypertextovodkaz"/>
            <w:noProof/>
            <w:vertAlign w:val="subscript"/>
          </w:rPr>
          <w:t>3</w:t>
        </w:r>
        <w:r w:rsidR="005218D2">
          <w:rPr>
            <w:noProof/>
            <w:webHidden/>
          </w:rPr>
          <w:tab/>
        </w:r>
        <w:r w:rsidR="005218D2">
          <w:rPr>
            <w:noProof/>
            <w:webHidden/>
          </w:rPr>
          <w:fldChar w:fldCharType="begin"/>
        </w:r>
        <w:r w:rsidR="005218D2">
          <w:rPr>
            <w:noProof/>
            <w:webHidden/>
          </w:rPr>
          <w:instrText xml:space="preserve"> PAGEREF _Toc396923153 \h </w:instrText>
        </w:r>
        <w:r w:rsidR="005218D2">
          <w:rPr>
            <w:noProof/>
            <w:webHidden/>
          </w:rPr>
        </w:r>
        <w:r w:rsidR="005218D2">
          <w:rPr>
            <w:noProof/>
            <w:webHidden/>
          </w:rPr>
          <w:fldChar w:fldCharType="separate"/>
        </w:r>
        <w:r w:rsidR="005218D2">
          <w:rPr>
            <w:noProof/>
            <w:webHidden/>
          </w:rPr>
          <w:t>134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4" w:history="1">
        <w:r w:rsidR="005218D2" w:rsidRPr="00CF0ACA">
          <w:rPr>
            <w:rStyle w:val="Hypertextovodkaz"/>
            <w:b/>
            <w:noProof/>
          </w:rPr>
          <w:t xml:space="preserve">Graf č. 38: </w:t>
        </w:r>
        <w:r w:rsidR="005218D2" w:rsidRPr="00CF0ACA">
          <w:rPr>
            <w:rStyle w:val="Hypertextovodkaz"/>
            <w:noProof/>
          </w:rPr>
          <w:t>Vývoj emisí PM 2,5</w:t>
        </w:r>
        <w:r w:rsidR="005218D2">
          <w:rPr>
            <w:noProof/>
            <w:webHidden/>
          </w:rPr>
          <w:tab/>
        </w:r>
        <w:r w:rsidR="005218D2">
          <w:rPr>
            <w:noProof/>
            <w:webHidden/>
          </w:rPr>
          <w:fldChar w:fldCharType="begin"/>
        </w:r>
        <w:r w:rsidR="005218D2">
          <w:rPr>
            <w:noProof/>
            <w:webHidden/>
          </w:rPr>
          <w:instrText xml:space="preserve"> PAGEREF _Toc396923154 \h </w:instrText>
        </w:r>
        <w:r w:rsidR="005218D2">
          <w:rPr>
            <w:noProof/>
            <w:webHidden/>
          </w:rPr>
        </w:r>
        <w:r w:rsidR="005218D2">
          <w:rPr>
            <w:noProof/>
            <w:webHidden/>
          </w:rPr>
          <w:fldChar w:fldCharType="separate"/>
        </w:r>
        <w:r w:rsidR="005218D2">
          <w:rPr>
            <w:noProof/>
            <w:webHidden/>
          </w:rPr>
          <w:t>135</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5" w:history="1">
        <w:r w:rsidR="005218D2" w:rsidRPr="00CF0ACA">
          <w:rPr>
            <w:rStyle w:val="Hypertextovodkaz"/>
            <w:b/>
            <w:noProof/>
          </w:rPr>
          <w:t xml:space="preserve">Graf č. 39: </w:t>
        </w:r>
        <w:r w:rsidR="005218D2" w:rsidRPr="00CF0ACA">
          <w:rPr>
            <w:rStyle w:val="Hypertextovodkaz"/>
            <w:noProof/>
          </w:rPr>
          <w:t>Závislost na fosilních palivech</w:t>
        </w:r>
        <w:r w:rsidR="005218D2">
          <w:rPr>
            <w:noProof/>
            <w:webHidden/>
          </w:rPr>
          <w:tab/>
        </w:r>
        <w:r w:rsidR="005218D2">
          <w:rPr>
            <w:noProof/>
            <w:webHidden/>
          </w:rPr>
          <w:fldChar w:fldCharType="begin"/>
        </w:r>
        <w:r w:rsidR="005218D2">
          <w:rPr>
            <w:noProof/>
            <w:webHidden/>
          </w:rPr>
          <w:instrText xml:space="preserve"> PAGEREF _Toc396923155 \h </w:instrText>
        </w:r>
        <w:r w:rsidR="005218D2">
          <w:rPr>
            <w:noProof/>
            <w:webHidden/>
          </w:rPr>
        </w:r>
        <w:r w:rsidR="005218D2">
          <w:rPr>
            <w:noProof/>
            <w:webHidden/>
          </w:rPr>
          <w:fldChar w:fldCharType="separate"/>
        </w:r>
        <w:r w:rsidR="005218D2">
          <w:rPr>
            <w:noProof/>
            <w:webHidden/>
          </w:rPr>
          <w:t>135</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6" w:history="1">
        <w:r w:rsidR="005218D2" w:rsidRPr="00CF0ACA">
          <w:rPr>
            <w:rStyle w:val="Hypertextovodkaz"/>
            <w:b/>
            <w:noProof/>
          </w:rPr>
          <w:t>Graf č. 40:</w:t>
        </w:r>
        <w:r w:rsidR="005218D2" w:rsidRPr="00CF0ACA">
          <w:rPr>
            <w:rStyle w:val="Hypertextovodkaz"/>
            <w:noProof/>
          </w:rPr>
          <w:t xml:space="preserve"> Podíl OZE na hrubé konečné spotřebě</w:t>
        </w:r>
        <w:r w:rsidR="005218D2">
          <w:rPr>
            <w:noProof/>
            <w:webHidden/>
          </w:rPr>
          <w:tab/>
        </w:r>
        <w:r w:rsidR="005218D2">
          <w:rPr>
            <w:noProof/>
            <w:webHidden/>
          </w:rPr>
          <w:fldChar w:fldCharType="begin"/>
        </w:r>
        <w:r w:rsidR="005218D2">
          <w:rPr>
            <w:noProof/>
            <w:webHidden/>
          </w:rPr>
          <w:instrText xml:space="preserve"> PAGEREF _Toc396923156 \h </w:instrText>
        </w:r>
        <w:r w:rsidR="005218D2">
          <w:rPr>
            <w:noProof/>
            <w:webHidden/>
          </w:rPr>
        </w:r>
        <w:r w:rsidR="005218D2">
          <w:rPr>
            <w:noProof/>
            <w:webHidden/>
          </w:rPr>
          <w:fldChar w:fldCharType="separate"/>
        </w:r>
        <w:r w:rsidR="005218D2">
          <w:rPr>
            <w:noProof/>
            <w:webHidden/>
          </w:rPr>
          <w:t>136</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7" w:history="1">
        <w:r w:rsidR="005218D2" w:rsidRPr="00CF0ACA">
          <w:rPr>
            <w:rStyle w:val="Hypertextovodkaz"/>
            <w:b/>
            <w:noProof/>
          </w:rPr>
          <w:t>Graf č. 41:</w:t>
        </w:r>
        <w:r w:rsidR="005218D2" w:rsidRPr="00CF0ACA">
          <w:rPr>
            <w:rStyle w:val="Hypertextovodkaz"/>
            <w:noProof/>
          </w:rPr>
          <w:t xml:space="preserve"> Spotřeba elektřiny na obyvatele v EU v roce 2011</w:t>
        </w:r>
        <w:r w:rsidR="005218D2">
          <w:rPr>
            <w:noProof/>
            <w:webHidden/>
          </w:rPr>
          <w:tab/>
        </w:r>
        <w:r w:rsidR="005218D2">
          <w:rPr>
            <w:noProof/>
            <w:webHidden/>
          </w:rPr>
          <w:fldChar w:fldCharType="begin"/>
        </w:r>
        <w:r w:rsidR="005218D2">
          <w:rPr>
            <w:noProof/>
            <w:webHidden/>
          </w:rPr>
          <w:instrText xml:space="preserve"> PAGEREF _Toc396923157 \h </w:instrText>
        </w:r>
        <w:r w:rsidR="005218D2">
          <w:rPr>
            <w:noProof/>
            <w:webHidden/>
          </w:rPr>
        </w:r>
        <w:r w:rsidR="005218D2">
          <w:rPr>
            <w:noProof/>
            <w:webHidden/>
          </w:rPr>
          <w:fldChar w:fldCharType="separate"/>
        </w:r>
        <w:r w:rsidR="005218D2">
          <w:rPr>
            <w:noProof/>
            <w:webHidden/>
          </w:rPr>
          <w:t>137</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8" w:history="1">
        <w:r w:rsidR="005218D2" w:rsidRPr="00CF0ACA">
          <w:rPr>
            <w:rStyle w:val="Hypertextovodkaz"/>
            <w:b/>
            <w:noProof/>
          </w:rPr>
          <w:t xml:space="preserve">Graf č. 42: </w:t>
        </w:r>
        <w:r w:rsidR="005218D2" w:rsidRPr="00CF0ACA">
          <w:rPr>
            <w:rStyle w:val="Hypertextovodkaz"/>
            <w:noProof/>
          </w:rPr>
          <w:t>Spotřeba elektřiny na obyvatele a vývoj počtu obyvatel</w:t>
        </w:r>
        <w:r w:rsidR="005218D2">
          <w:rPr>
            <w:noProof/>
            <w:webHidden/>
          </w:rPr>
          <w:tab/>
        </w:r>
        <w:r w:rsidR="005218D2">
          <w:rPr>
            <w:noProof/>
            <w:webHidden/>
          </w:rPr>
          <w:fldChar w:fldCharType="begin"/>
        </w:r>
        <w:r w:rsidR="005218D2">
          <w:rPr>
            <w:noProof/>
            <w:webHidden/>
          </w:rPr>
          <w:instrText xml:space="preserve"> PAGEREF _Toc396923158 \h </w:instrText>
        </w:r>
        <w:r w:rsidR="005218D2">
          <w:rPr>
            <w:noProof/>
            <w:webHidden/>
          </w:rPr>
        </w:r>
        <w:r w:rsidR="005218D2">
          <w:rPr>
            <w:noProof/>
            <w:webHidden/>
          </w:rPr>
          <w:fldChar w:fldCharType="separate"/>
        </w:r>
        <w:r w:rsidR="005218D2">
          <w:rPr>
            <w:noProof/>
            <w:webHidden/>
          </w:rPr>
          <w:t>138</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59" w:history="1">
        <w:r w:rsidR="005218D2" w:rsidRPr="00CF0ACA">
          <w:rPr>
            <w:rStyle w:val="Hypertextovodkaz"/>
            <w:b/>
            <w:noProof/>
          </w:rPr>
          <w:t xml:space="preserve">Graf č. 43: </w:t>
        </w:r>
        <w:r w:rsidR="005218D2" w:rsidRPr="00CF0ACA">
          <w:rPr>
            <w:rStyle w:val="Hypertextovodkaz"/>
            <w:noProof/>
          </w:rPr>
          <w:t>Podíl OZE na dodávkách tepla ze SZT</w:t>
        </w:r>
        <w:r w:rsidR="005218D2">
          <w:rPr>
            <w:noProof/>
            <w:webHidden/>
          </w:rPr>
          <w:tab/>
        </w:r>
        <w:r w:rsidR="005218D2">
          <w:rPr>
            <w:noProof/>
            <w:webHidden/>
          </w:rPr>
          <w:fldChar w:fldCharType="begin"/>
        </w:r>
        <w:r w:rsidR="005218D2">
          <w:rPr>
            <w:noProof/>
            <w:webHidden/>
          </w:rPr>
          <w:instrText xml:space="preserve"> PAGEREF _Toc396923159 \h </w:instrText>
        </w:r>
        <w:r w:rsidR="005218D2">
          <w:rPr>
            <w:noProof/>
            <w:webHidden/>
          </w:rPr>
        </w:r>
        <w:r w:rsidR="005218D2">
          <w:rPr>
            <w:noProof/>
            <w:webHidden/>
          </w:rPr>
          <w:fldChar w:fldCharType="separate"/>
        </w:r>
        <w:r w:rsidR="005218D2">
          <w:rPr>
            <w:noProof/>
            <w:webHidden/>
          </w:rPr>
          <w:t>139</w:t>
        </w:r>
        <w:r w:rsidR="005218D2">
          <w:rPr>
            <w:noProof/>
            <w:webHidden/>
          </w:rPr>
          <w:fldChar w:fldCharType="end"/>
        </w:r>
      </w:hyperlink>
    </w:p>
    <w:p w:rsidR="005218D2" w:rsidRDefault="00F419EA" w:rsidP="00C33DA5">
      <w:pPr>
        <w:rPr>
          <w:noProof/>
        </w:rPr>
      </w:pPr>
      <w:r>
        <w:fldChar w:fldCharType="end"/>
      </w:r>
      <w:r w:rsidR="00587E53" w:rsidRPr="0092047B">
        <w:fldChar w:fldCharType="begin"/>
      </w:r>
      <w:r w:rsidR="00125990" w:rsidRPr="0092047B">
        <w:instrText xml:space="preserve"> TOC \h \z \c "Tabulka č." </w:instrText>
      </w:r>
      <w:r w:rsidR="00587E53" w:rsidRPr="0092047B">
        <w:fldChar w:fldCharType="separate"/>
      </w:r>
    </w:p>
    <w:p w:rsidR="005218D2" w:rsidRDefault="00D76A86">
      <w:pPr>
        <w:pStyle w:val="Seznamobrzk"/>
        <w:tabs>
          <w:tab w:val="right" w:leader="dot" w:pos="9062"/>
        </w:tabs>
        <w:rPr>
          <w:rFonts w:eastAsiaTheme="minorEastAsia" w:cstheme="minorBidi"/>
          <w:noProof/>
          <w:sz w:val="22"/>
          <w:szCs w:val="22"/>
        </w:rPr>
      </w:pPr>
      <w:hyperlink w:anchor="_Toc396923160" w:history="1">
        <w:r w:rsidR="005218D2" w:rsidRPr="00751123">
          <w:rPr>
            <w:rStyle w:val="Hypertextovodkaz"/>
            <w:b/>
            <w:noProof/>
          </w:rPr>
          <w:t>Tabulka č. 1:</w:t>
        </w:r>
        <w:r w:rsidR="005218D2" w:rsidRPr="00751123">
          <w:rPr>
            <w:rStyle w:val="Hypertextovodkaz"/>
            <w:noProof/>
          </w:rPr>
          <w:t xml:space="preserve"> Vývoj a struktura konečné spotřeby energie</w:t>
        </w:r>
        <w:r w:rsidR="005218D2">
          <w:rPr>
            <w:noProof/>
            <w:webHidden/>
          </w:rPr>
          <w:tab/>
        </w:r>
        <w:r w:rsidR="005218D2">
          <w:rPr>
            <w:noProof/>
            <w:webHidden/>
          </w:rPr>
          <w:fldChar w:fldCharType="begin"/>
        </w:r>
        <w:r w:rsidR="005218D2">
          <w:rPr>
            <w:noProof/>
            <w:webHidden/>
          </w:rPr>
          <w:instrText xml:space="preserve"> PAGEREF _Toc396923160 \h </w:instrText>
        </w:r>
        <w:r w:rsidR="005218D2">
          <w:rPr>
            <w:noProof/>
            <w:webHidden/>
          </w:rPr>
        </w:r>
        <w:r w:rsidR="005218D2">
          <w:rPr>
            <w:noProof/>
            <w:webHidden/>
          </w:rPr>
          <w:fldChar w:fldCharType="separate"/>
        </w:r>
        <w:r w:rsidR="00EA10E8">
          <w:rPr>
            <w:noProof/>
            <w:webHidden/>
          </w:rPr>
          <w:t>100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1" w:history="1">
        <w:r w:rsidR="005218D2" w:rsidRPr="00751123">
          <w:rPr>
            <w:rStyle w:val="Hypertextovodkaz"/>
            <w:b/>
            <w:noProof/>
          </w:rPr>
          <w:t>Tabulka č. 2:</w:t>
        </w:r>
        <w:r w:rsidR="005218D2" w:rsidRPr="00751123">
          <w:rPr>
            <w:rStyle w:val="Hypertextovodkaz"/>
            <w:noProof/>
          </w:rPr>
          <w:t xml:space="preserve"> Vývoj a struktura konečné spotřeby energie v domácnostech</w:t>
        </w:r>
        <w:r w:rsidR="005218D2">
          <w:rPr>
            <w:noProof/>
            <w:webHidden/>
          </w:rPr>
          <w:tab/>
        </w:r>
        <w:r w:rsidR="005218D2">
          <w:rPr>
            <w:noProof/>
            <w:webHidden/>
          </w:rPr>
          <w:fldChar w:fldCharType="begin"/>
        </w:r>
        <w:r w:rsidR="005218D2">
          <w:rPr>
            <w:noProof/>
            <w:webHidden/>
          </w:rPr>
          <w:instrText xml:space="preserve"> PAGEREF _Toc396923161 \h </w:instrText>
        </w:r>
        <w:r w:rsidR="005218D2">
          <w:rPr>
            <w:noProof/>
            <w:webHidden/>
          </w:rPr>
        </w:r>
        <w:r w:rsidR="005218D2">
          <w:rPr>
            <w:noProof/>
            <w:webHidden/>
          </w:rPr>
          <w:fldChar w:fldCharType="separate"/>
        </w:r>
        <w:r w:rsidR="00EA10E8">
          <w:rPr>
            <w:noProof/>
            <w:webHidden/>
          </w:rPr>
          <w:t>101</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2" w:history="1">
        <w:r w:rsidR="005218D2" w:rsidRPr="00751123">
          <w:rPr>
            <w:rStyle w:val="Hypertextovodkaz"/>
            <w:b/>
            <w:noProof/>
          </w:rPr>
          <w:t>Tabulka č. 3:</w:t>
        </w:r>
        <w:r w:rsidR="005218D2" w:rsidRPr="00751123">
          <w:rPr>
            <w:rStyle w:val="Hypertextovodkaz"/>
            <w:noProof/>
          </w:rPr>
          <w:t xml:space="preserve"> Vývoj a struktura konečné spotřeby energie v dopravě</w:t>
        </w:r>
        <w:r w:rsidR="005218D2">
          <w:rPr>
            <w:noProof/>
            <w:webHidden/>
          </w:rPr>
          <w:tab/>
        </w:r>
        <w:r w:rsidR="005218D2">
          <w:rPr>
            <w:noProof/>
            <w:webHidden/>
          </w:rPr>
          <w:fldChar w:fldCharType="begin"/>
        </w:r>
        <w:r w:rsidR="005218D2">
          <w:rPr>
            <w:noProof/>
            <w:webHidden/>
          </w:rPr>
          <w:instrText xml:space="preserve"> PAGEREF _Toc396923162 \h </w:instrText>
        </w:r>
        <w:r w:rsidR="005218D2">
          <w:rPr>
            <w:noProof/>
            <w:webHidden/>
          </w:rPr>
        </w:r>
        <w:r w:rsidR="005218D2">
          <w:rPr>
            <w:noProof/>
            <w:webHidden/>
          </w:rPr>
          <w:fldChar w:fldCharType="separate"/>
        </w:r>
        <w:r w:rsidR="00EA10E8">
          <w:rPr>
            <w:noProof/>
            <w:webHidden/>
          </w:rPr>
          <w:t>103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3" w:history="1">
        <w:r w:rsidR="005218D2" w:rsidRPr="00751123">
          <w:rPr>
            <w:rStyle w:val="Hypertextovodkaz"/>
            <w:b/>
            <w:noProof/>
          </w:rPr>
          <w:t>Tabulka č. 4:</w:t>
        </w:r>
        <w:r w:rsidR="005218D2" w:rsidRPr="00751123">
          <w:rPr>
            <w:rStyle w:val="Hypertextovodkaz"/>
            <w:noProof/>
          </w:rPr>
          <w:t xml:space="preserve"> Vývoj a struktura primárních energetických zdrojů</w:t>
        </w:r>
        <w:r w:rsidR="005218D2">
          <w:rPr>
            <w:noProof/>
            <w:webHidden/>
          </w:rPr>
          <w:tab/>
        </w:r>
        <w:r w:rsidR="005218D2">
          <w:rPr>
            <w:noProof/>
            <w:webHidden/>
          </w:rPr>
          <w:fldChar w:fldCharType="begin"/>
        </w:r>
        <w:r w:rsidR="005218D2">
          <w:rPr>
            <w:noProof/>
            <w:webHidden/>
          </w:rPr>
          <w:instrText xml:space="preserve"> PAGEREF _Toc396923163 \h </w:instrText>
        </w:r>
        <w:r w:rsidR="005218D2">
          <w:rPr>
            <w:noProof/>
            <w:webHidden/>
          </w:rPr>
        </w:r>
        <w:r w:rsidR="005218D2">
          <w:rPr>
            <w:noProof/>
            <w:webHidden/>
          </w:rPr>
          <w:fldChar w:fldCharType="separate"/>
        </w:r>
        <w:r w:rsidR="00EA10E8">
          <w:rPr>
            <w:noProof/>
            <w:webHidden/>
          </w:rPr>
          <w:t>104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4" w:history="1">
        <w:r w:rsidR="005218D2" w:rsidRPr="00751123">
          <w:rPr>
            <w:rStyle w:val="Hypertextovodkaz"/>
            <w:b/>
            <w:noProof/>
          </w:rPr>
          <w:t>Tabulka č. 5:</w:t>
        </w:r>
        <w:r w:rsidR="005218D2" w:rsidRPr="00751123">
          <w:rPr>
            <w:rStyle w:val="Hypertextovodkaz"/>
            <w:noProof/>
          </w:rPr>
          <w:t xml:space="preserve"> Vývoj a struktura OZE na primárních energetických zdrojích</w:t>
        </w:r>
        <w:r w:rsidR="005218D2">
          <w:rPr>
            <w:noProof/>
            <w:webHidden/>
          </w:rPr>
          <w:tab/>
        </w:r>
        <w:r w:rsidR="005218D2">
          <w:rPr>
            <w:noProof/>
            <w:webHidden/>
          </w:rPr>
          <w:fldChar w:fldCharType="begin"/>
        </w:r>
        <w:r w:rsidR="005218D2">
          <w:rPr>
            <w:noProof/>
            <w:webHidden/>
          </w:rPr>
          <w:instrText xml:space="preserve"> PAGEREF _Toc396923164 \h </w:instrText>
        </w:r>
        <w:r w:rsidR="005218D2">
          <w:rPr>
            <w:noProof/>
            <w:webHidden/>
          </w:rPr>
        </w:r>
        <w:r w:rsidR="005218D2">
          <w:rPr>
            <w:noProof/>
            <w:webHidden/>
          </w:rPr>
          <w:fldChar w:fldCharType="separate"/>
        </w:r>
        <w:r w:rsidR="00EA10E8">
          <w:rPr>
            <w:noProof/>
            <w:webHidden/>
          </w:rPr>
          <w:t>106</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5" w:history="1">
        <w:r w:rsidR="005218D2" w:rsidRPr="00751123">
          <w:rPr>
            <w:rStyle w:val="Hypertextovodkaz"/>
            <w:b/>
            <w:noProof/>
          </w:rPr>
          <w:t>Tabulka č. 6:</w:t>
        </w:r>
        <w:r w:rsidR="005218D2" w:rsidRPr="00751123">
          <w:rPr>
            <w:rStyle w:val="Hypertextovodkaz"/>
            <w:noProof/>
          </w:rPr>
          <w:t xml:space="preserve"> Primární energetické zdroje vs. konečná spotřeba energie</w:t>
        </w:r>
        <w:r w:rsidR="005218D2">
          <w:rPr>
            <w:noProof/>
            <w:webHidden/>
          </w:rPr>
          <w:tab/>
        </w:r>
        <w:r w:rsidR="005218D2">
          <w:rPr>
            <w:noProof/>
            <w:webHidden/>
          </w:rPr>
          <w:fldChar w:fldCharType="begin"/>
        </w:r>
        <w:r w:rsidR="005218D2">
          <w:rPr>
            <w:noProof/>
            <w:webHidden/>
          </w:rPr>
          <w:instrText xml:space="preserve"> PAGEREF _Toc396923165 \h </w:instrText>
        </w:r>
        <w:r w:rsidR="005218D2">
          <w:rPr>
            <w:noProof/>
            <w:webHidden/>
          </w:rPr>
        </w:r>
        <w:r w:rsidR="005218D2">
          <w:rPr>
            <w:noProof/>
            <w:webHidden/>
          </w:rPr>
          <w:fldChar w:fldCharType="separate"/>
        </w:r>
        <w:r w:rsidR="00EA10E8">
          <w:rPr>
            <w:noProof/>
            <w:webHidden/>
          </w:rPr>
          <w:t>108</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6" w:history="1">
        <w:r w:rsidR="005218D2" w:rsidRPr="00751123">
          <w:rPr>
            <w:rStyle w:val="Hypertextovodkaz"/>
            <w:b/>
            <w:noProof/>
          </w:rPr>
          <w:t>Tabulka č. 7:</w:t>
        </w:r>
        <w:r w:rsidR="005218D2" w:rsidRPr="00751123">
          <w:rPr>
            <w:rStyle w:val="Hypertextovodkaz"/>
            <w:noProof/>
          </w:rPr>
          <w:t xml:space="preserve"> Vývoj a struktura hrubé výroby elektřiny</w:t>
        </w:r>
        <w:r w:rsidR="005218D2">
          <w:rPr>
            <w:noProof/>
            <w:webHidden/>
          </w:rPr>
          <w:tab/>
        </w:r>
        <w:r w:rsidR="005218D2">
          <w:rPr>
            <w:noProof/>
            <w:webHidden/>
          </w:rPr>
          <w:fldChar w:fldCharType="begin"/>
        </w:r>
        <w:r w:rsidR="005218D2">
          <w:rPr>
            <w:noProof/>
            <w:webHidden/>
          </w:rPr>
          <w:instrText xml:space="preserve"> PAGEREF _Toc396923166 \h </w:instrText>
        </w:r>
        <w:r w:rsidR="005218D2">
          <w:rPr>
            <w:noProof/>
            <w:webHidden/>
          </w:rPr>
        </w:r>
        <w:r w:rsidR="005218D2">
          <w:rPr>
            <w:noProof/>
            <w:webHidden/>
          </w:rPr>
          <w:fldChar w:fldCharType="separate"/>
        </w:r>
        <w:r w:rsidR="00EA10E8">
          <w:rPr>
            <w:noProof/>
            <w:webHidden/>
          </w:rPr>
          <w:t>110</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7" w:history="1">
        <w:r w:rsidR="005218D2" w:rsidRPr="00751123">
          <w:rPr>
            <w:rStyle w:val="Hypertextovodkaz"/>
            <w:b/>
            <w:noProof/>
          </w:rPr>
          <w:t>Tabulka č. 8:</w:t>
        </w:r>
        <w:r w:rsidR="005218D2" w:rsidRPr="00751123">
          <w:rPr>
            <w:rStyle w:val="Hypertextovodkaz"/>
            <w:noProof/>
          </w:rPr>
          <w:t xml:space="preserve"> Vývoj a struktura hrubé výroby elektřiny z OZE</w:t>
        </w:r>
        <w:r w:rsidR="005218D2">
          <w:rPr>
            <w:noProof/>
            <w:webHidden/>
          </w:rPr>
          <w:tab/>
        </w:r>
        <w:r w:rsidR="005218D2">
          <w:rPr>
            <w:noProof/>
            <w:webHidden/>
          </w:rPr>
          <w:fldChar w:fldCharType="begin"/>
        </w:r>
        <w:r w:rsidR="005218D2">
          <w:rPr>
            <w:noProof/>
            <w:webHidden/>
          </w:rPr>
          <w:instrText xml:space="preserve"> PAGEREF _Toc396923167 \h </w:instrText>
        </w:r>
        <w:r w:rsidR="005218D2">
          <w:rPr>
            <w:noProof/>
            <w:webHidden/>
          </w:rPr>
        </w:r>
        <w:r w:rsidR="005218D2">
          <w:rPr>
            <w:noProof/>
            <w:webHidden/>
          </w:rPr>
          <w:fldChar w:fldCharType="separate"/>
        </w:r>
        <w:r w:rsidR="00EA10E8">
          <w:rPr>
            <w:noProof/>
            <w:webHidden/>
          </w:rPr>
          <w:t>113</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8" w:history="1">
        <w:r w:rsidR="005218D2" w:rsidRPr="00751123">
          <w:rPr>
            <w:rStyle w:val="Hypertextovodkaz"/>
            <w:b/>
            <w:noProof/>
          </w:rPr>
          <w:t>Tabulka č. 9:</w:t>
        </w:r>
        <w:r w:rsidR="005218D2" w:rsidRPr="00751123">
          <w:rPr>
            <w:rStyle w:val="Hypertextovodkaz"/>
            <w:noProof/>
          </w:rPr>
          <w:t xml:space="preserve"> Struktura spotřeby elektřiny</w:t>
        </w:r>
        <w:r w:rsidR="005218D2">
          <w:rPr>
            <w:noProof/>
            <w:webHidden/>
          </w:rPr>
          <w:tab/>
        </w:r>
        <w:r w:rsidR="005218D2">
          <w:rPr>
            <w:noProof/>
            <w:webHidden/>
          </w:rPr>
          <w:fldChar w:fldCharType="begin"/>
        </w:r>
        <w:r w:rsidR="005218D2">
          <w:rPr>
            <w:noProof/>
            <w:webHidden/>
          </w:rPr>
          <w:instrText xml:space="preserve"> PAGEREF _Toc396923168 \h </w:instrText>
        </w:r>
        <w:r w:rsidR="005218D2">
          <w:rPr>
            <w:noProof/>
            <w:webHidden/>
          </w:rPr>
        </w:r>
        <w:r w:rsidR="005218D2">
          <w:rPr>
            <w:noProof/>
            <w:webHidden/>
          </w:rPr>
          <w:fldChar w:fldCharType="separate"/>
        </w:r>
        <w:r w:rsidR="00EA10E8">
          <w:rPr>
            <w:noProof/>
            <w:webHidden/>
          </w:rPr>
          <w:t>114</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69" w:history="1">
        <w:r w:rsidR="005218D2" w:rsidRPr="00751123">
          <w:rPr>
            <w:rStyle w:val="Hypertextovodkaz"/>
            <w:b/>
            <w:noProof/>
          </w:rPr>
          <w:t>Tabulka č. 10:</w:t>
        </w:r>
        <w:r w:rsidR="005218D2" w:rsidRPr="00751123">
          <w:rPr>
            <w:rStyle w:val="Hypertextovodkaz"/>
            <w:noProof/>
          </w:rPr>
          <w:t xml:space="preserve"> Vývoj a struktura dodávek tepla ze soustav zásobování teplem</w:t>
        </w:r>
        <w:r w:rsidR="005218D2">
          <w:rPr>
            <w:noProof/>
            <w:webHidden/>
          </w:rPr>
          <w:tab/>
        </w:r>
        <w:r w:rsidR="005218D2">
          <w:rPr>
            <w:noProof/>
            <w:webHidden/>
          </w:rPr>
          <w:fldChar w:fldCharType="begin"/>
        </w:r>
        <w:r w:rsidR="005218D2">
          <w:rPr>
            <w:noProof/>
            <w:webHidden/>
          </w:rPr>
          <w:instrText xml:space="preserve"> PAGEREF _Toc396923169 \h </w:instrText>
        </w:r>
        <w:r w:rsidR="005218D2">
          <w:rPr>
            <w:noProof/>
            <w:webHidden/>
          </w:rPr>
        </w:r>
        <w:r w:rsidR="005218D2">
          <w:rPr>
            <w:noProof/>
            <w:webHidden/>
          </w:rPr>
          <w:fldChar w:fldCharType="separate"/>
        </w:r>
        <w:r w:rsidR="00EA10E8">
          <w:rPr>
            <w:noProof/>
            <w:webHidden/>
          </w:rPr>
          <w:t>115</w:t>
        </w:r>
        <w:r w:rsidR="005218D2">
          <w:rPr>
            <w:noProof/>
            <w:webHidden/>
          </w:rPr>
          <w:fldChar w:fldCharType="end"/>
        </w:r>
      </w:hyperlink>
    </w:p>
    <w:p w:rsidR="00094D1A" w:rsidRDefault="00587E53" w:rsidP="00EE7BCC">
      <w:pPr>
        <w:spacing w:after="0" w:line="23" w:lineRule="atLeast"/>
      </w:pPr>
      <w:r w:rsidRPr="0092047B">
        <w:fldChar w:fldCharType="end"/>
      </w:r>
    </w:p>
    <w:p w:rsidR="005218D2" w:rsidRDefault="00C33DA5">
      <w:pPr>
        <w:pStyle w:val="Seznamobrzk"/>
        <w:tabs>
          <w:tab w:val="right" w:leader="dot" w:pos="9062"/>
        </w:tabs>
        <w:rPr>
          <w:rFonts w:eastAsiaTheme="minorEastAsia" w:cstheme="minorBidi"/>
          <w:noProof/>
          <w:sz w:val="22"/>
          <w:szCs w:val="22"/>
        </w:rPr>
      </w:pPr>
      <w:r>
        <w:fldChar w:fldCharType="begin"/>
      </w:r>
      <w:r>
        <w:instrText xml:space="preserve"> TOC \h \z \c "Obrázek č." </w:instrText>
      </w:r>
      <w:r>
        <w:fldChar w:fldCharType="separate"/>
      </w:r>
      <w:hyperlink w:anchor="_Toc396923170" w:history="1">
        <w:r w:rsidR="005218D2" w:rsidRPr="00586BDD">
          <w:rPr>
            <w:rStyle w:val="Hypertextovodkaz"/>
            <w:b/>
            <w:noProof/>
          </w:rPr>
          <w:t xml:space="preserve">Obrázek č. 1: </w:t>
        </w:r>
        <w:r w:rsidR="005218D2" w:rsidRPr="00586BDD">
          <w:rPr>
            <w:rStyle w:val="Hypertextovodkaz"/>
            <w:rFonts w:cstheme="minorHAnsi"/>
            <w:bCs/>
            <w:noProof/>
          </w:rPr>
          <w:t>Schéma provázanosti strategických a koncepčních materiálů</w:t>
        </w:r>
        <w:r w:rsidR="005218D2">
          <w:rPr>
            <w:noProof/>
            <w:webHidden/>
          </w:rPr>
          <w:tab/>
        </w:r>
        <w:r w:rsidR="005218D2">
          <w:rPr>
            <w:noProof/>
            <w:webHidden/>
          </w:rPr>
          <w:fldChar w:fldCharType="begin"/>
        </w:r>
        <w:r w:rsidR="005218D2">
          <w:rPr>
            <w:noProof/>
            <w:webHidden/>
          </w:rPr>
          <w:instrText xml:space="preserve"> PAGEREF _Toc396923170 \h </w:instrText>
        </w:r>
        <w:r w:rsidR="005218D2">
          <w:rPr>
            <w:noProof/>
            <w:webHidden/>
          </w:rPr>
        </w:r>
        <w:r w:rsidR="005218D2">
          <w:rPr>
            <w:noProof/>
            <w:webHidden/>
          </w:rPr>
          <w:fldChar w:fldCharType="separate"/>
        </w:r>
        <w:r w:rsidR="00EA10E8">
          <w:rPr>
            <w:noProof/>
            <w:webHidden/>
          </w:rPr>
          <w:t>9</w:t>
        </w:r>
        <w:r w:rsidR="005218D2">
          <w:rPr>
            <w:noProof/>
            <w:webHidden/>
          </w:rPr>
          <w:fldChar w:fldCharType="end"/>
        </w:r>
      </w:hyperlink>
    </w:p>
    <w:p w:rsidR="005218D2" w:rsidRDefault="00D76A86">
      <w:pPr>
        <w:pStyle w:val="Seznamobrzk"/>
        <w:tabs>
          <w:tab w:val="right" w:leader="dot" w:pos="9062"/>
        </w:tabs>
        <w:rPr>
          <w:rFonts w:eastAsiaTheme="minorEastAsia" w:cstheme="minorBidi"/>
          <w:noProof/>
          <w:sz w:val="22"/>
          <w:szCs w:val="22"/>
        </w:rPr>
      </w:pPr>
      <w:hyperlink w:anchor="_Toc396923171" w:history="1">
        <w:r w:rsidR="005218D2" w:rsidRPr="00586BDD">
          <w:rPr>
            <w:rStyle w:val="Hypertextovodkaz"/>
            <w:b/>
            <w:noProof/>
          </w:rPr>
          <w:t xml:space="preserve">Obrázek č. 2: </w:t>
        </w:r>
        <w:r w:rsidR="005218D2" w:rsidRPr="00586BDD">
          <w:rPr>
            <w:rStyle w:val="Hypertextovodkaz"/>
            <w:noProof/>
          </w:rPr>
          <w:t>Konkurenční výhody českého energetického sektoru</w:t>
        </w:r>
        <w:r w:rsidR="005218D2">
          <w:rPr>
            <w:noProof/>
            <w:webHidden/>
          </w:rPr>
          <w:tab/>
        </w:r>
        <w:r w:rsidR="005218D2">
          <w:rPr>
            <w:noProof/>
            <w:webHidden/>
          </w:rPr>
          <w:fldChar w:fldCharType="begin"/>
        </w:r>
        <w:r w:rsidR="005218D2">
          <w:rPr>
            <w:noProof/>
            <w:webHidden/>
          </w:rPr>
          <w:instrText xml:space="preserve"> PAGEREF _Toc396923171 \h </w:instrText>
        </w:r>
        <w:r w:rsidR="005218D2">
          <w:rPr>
            <w:noProof/>
            <w:webHidden/>
          </w:rPr>
        </w:r>
        <w:r w:rsidR="005218D2">
          <w:rPr>
            <w:noProof/>
            <w:webHidden/>
          </w:rPr>
          <w:fldChar w:fldCharType="separate"/>
        </w:r>
        <w:r w:rsidR="00EA10E8">
          <w:rPr>
            <w:noProof/>
            <w:webHidden/>
          </w:rPr>
          <w:t>29</w:t>
        </w:r>
        <w:r w:rsidR="005218D2">
          <w:rPr>
            <w:noProof/>
            <w:webHidden/>
          </w:rPr>
          <w:fldChar w:fldCharType="end"/>
        </w:r>
      </w:hyperlink>
    </w:p>
    <w:p w:rsidR="00C33DA5" w:rsidRPr="0092047B" w:rsidRDefault="00C33DA5" w:rsidP="00EE7BCC">
      <w:pPr>
        <w:spacing w:after="0" w:line="23" w:lineRule="atLeast"/>
      </w:pPr>
      <w:r>
        <w:fldChar w:fldCharType="end"/>
      </w:r>
    </w:p>
    <w:sectPr w:rsidR="00C33DA5" w:rsidRPr="0092047B" w:rsidSect="006350D5">
      <w:footerReference w:type="defaul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A86" w:rsidRDefault="00D76A86" w:rsidP="006E3CE4">
      <w:r>
        <w:separator/>
      </w:r>
    </w:p>
  </w:endnote>
  <w:endnote w:type="continuationSeparator" w:id="0">
    <w:p w:rsidR="00D76A86" w:rsidRDefault="00D76A86" w:rsidP="006E3CE4">
      <w:r>
        <w:continuationSeparator/>
      </w:r>
    </w:p>
  </w:endnote>
  <w:endnote w:type="continuationNotice" w:id="1">
    <w:p w:rsidR="00D76A86" w:rsidRDefault="00D76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F8" w:rsidRPr="00FF1D86" w:rsidRDefault="00D76A86" w:rsidP="00F122F7">
    <w:pPr>
      <w:pStyle w:val="Zpat"/>
      <w:spacing w:before="120"/>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alias w:val="Autor"/>
        <w:id w:val="54214575"/>
        <w:dataBinding w:prefixMappings="xmlns:ns0='http://schemas.openxmlformats.org/package/2006/metadata/core-properties' xmlns:ns1='http://purl.org/dc/elements/1.1/'" w:xpath="/ns0:coreProperties[1]/ns1:creator[1]" w:storeItemID="{6C3C8BC8-F283-45AE-878A-BAB7291924A1}"/>
        <w:text/>
      </w:sdtPr>
      <w:sdtEndPr/>
      <w:sdtContent>
        <w:r w:rsidR="00B871F8" w:rsidRPr="00FF1D86">
          <w:rPr>
            <w:rFonts w:asciiTheme="minorHAnsi" w:hAnsiTheme="minorHAnsi" w:cstheme="minorHAnsi"/>
            <w:color w:val="000000" w:themeColor="text1"/>
            <w:sz w:val="22"/>
            <w:szCs w:val="22"/>
          </w:rPr>
          <w:t>Státní energetick</w:t>
        </w:r>
        <w:r w:rsidR="00B871F8">
          <w:rPr>
            <w:rFonts w:asciiTheme="minorHAnsi" w:hAnsiTheme="minorHAnsi" w:cstheme="minorHAnsi"/>
            <w:color w:val="000000" w:themeColor="text1"/>
            <w:sz w:val="22"/>
            <w:szCs w:val="22"/>
          </w:rPr>
          <w:t>á</w:t>
        </w:r>
        <w:r w:rsidR="00B871F8" w:rsidRPr="00FF1D86">
          <w:rPr>
            <w:rFonts w:asciiTheme="minorHAnsi" w:hAnsiTheme="minorHAnsi" w:cstheme="minorHAnsi"/>
            <w:color w:val="000000" w:themeColor="text1"/>
            <w:sz w:val="22"/>
            <w:szCs w:val="22"/>
          </w:rPr>
          <w:t xml:space="preserve"> koncepce</w:t>
        </w:r>
      </w:sdtContent>
    </w:sdt>
  </w:p>
  <w:p w:rsidR="00B871F8" w:rsidRPr="00FF1D86" w:rsidRDefault="00B871F8" w:rsidP="00F122F7">
    <w:pPr>
      <w:pStyle w:val="Zpat"/>
      <w:tabs>
        <w:tab w:val="clear" w:pos="4536"/>
        <w:tab w:val="clear" w:pos="9072"/>
        <w:tab w:val="left" w:pos="6045"/>
      </w:tabs>
      <w:rPr>
        <w:rFonts w:asciiTheme="minorHAnsi" w:hAnsiTheme="minorHAnsi" w:cstheme="minorHAnsi"/>
        <w:sz w:val="22"/>
        <w:szCs w:val="22"/>
      </w:rPr>
    </w:pPr>
    <w:r>
      <w:rPr>
        <w:noProof/>
      </w:rPr>
      <mc:AlternateContent>
        <mc:Choice Requires="wps">
          <w:drawing>
            <wp:anchor distT="0" distB="0" distL="114300" distR="114300" simplePos="0" relativeHeight="251659264" behindDoc="0" locked="0" layoutInCell="1" allowOverlap="1" wp14:anchorId="59E8B8ED" wp14:editId="500B2F6B">
              <wp:simplePos x="0" y="0"/>
              <wp:positionH relativeFrom="margin">
                <wp:align>right</wp:align>
              </wp:positionH>
              <wp:positionV relativeFrom="bottomMargin">
                <wp:align>top</wp:align>
              </wp:positionV>
              <wp:extent cx="1508760" cy="429895"/>
              <wp:effectExtent l="0" t="0" r="0" b="1905"/>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29895"/>
                      </a:xfrm>
                      <a:prstGeom prst="rect">
                        <a:avLst/>
                      </a:prstGeom>
                      <a:noFill/>
                      <a:ln w="6350">
                        <a:noFill/>
                      </a:ln>
                      <a:effectLst/>
                    </wps:spPr>
                    <wps:txbx>
                      <w:txbxContent>
                        <w:p w:rsidR="00B871F8" w:rsidRPr="00FF1D86" w:rsidRDefault="00B871F8" w:rsidP="00FF1D86">
                          <w:pPr>
                            <w:pStyle w:val="Zpat"/>
                            <w:jc w:val="right"/>
                            <w:rPr>
                              <w:rFonts w:asciiTheme="minorHAnsi" w:hAnsiTheme="minorHAnsi" w:cstheme="minorHAnsi"/>
                              <w:color w:val="000000" w:themeColor="text1"/>
                              <w:sz w:val="22"/>
                              <w:szCs w:val="22"/>
                            </w:rPr>
                          </w:pPr>
                          <w:r w:rsidRPr="00FF1D86">
                            <w:rPr>
                              <w:rFonts w:asciiTheme="minorHAnsi" w:hAnsiTheme="minorHAnsi" w:cstheme="minorHAnsi"/>
                              <w:color w:val="000000" w:themeColor="text1"/>
                              <w:sz w:val="22"/>
                              <w:szCs w:val="22"/>
                            </w:rPr>
                            <w:fldChar w:fldCharType="begin"/>
                          </w:r>
                          <w:r w:rsidRPr="00FF1D86">
                            <w:rPr>
                              <w:rFonts w:asciiTheme="minorHAnsi" w:hAnsiTheme="minorHAnsi" w:cstheme="minorHAnsi"/>
                              <w:color w:val="000000" w:themeColor="text1"/>
                              <w:sz w:val="22"/>
                              <w:szCs w:val="22"/>
                            </w:rPr>
                            <w:instrText>PAGE  \* Arabic  \* MERGEFORMAT</w:instrText>
                          </w:r>
                          <w:r w:rsidRPr="00FF1D86">
                            <w:rPr>
                              <w:rFonts w:asciiTheme="minorHAnsi" w:hAnsiTheme="minorHAnsi" w:cstheme="minorHAnsi"/>
                              <w:color w:val="000000" w:themeColor="text1"/>
                              <w:sz w:val="22"/>
                              <w:szCs w:val="22"/>
                            </w:rPr>
                            <w:fldChar w:fldCharType="separate"/>
                          </w:r>
                          <w:r w:rsidR="004C02E6" w:rsidRPr="004C02E6">
                            <w:rPr>
                              <w:rFonts w:asciiTheme="minorHAnsi" w:hAnsiTheme="minorHAnsi" w:cstheme="minorHAnsi"/>
                              <w:noProof/>
                              <w:color w:val="000000" w:themeColor="text1"/>
                              <w:szCs w:val="22"/>
                            </w:rPr>
                            <w:t>14</w:t>
                          </w:r>
                          <w:r w:rsidRPr="00FF1D86">
                            <w:rPr>
                              <w:rFonts w:asciiTheme="minorHAnsi" w:hAnsiTheme="minorHAnsi" w:cstheme="minorHAnsi"/>
                              <w:color w:val="000000" w:themeColor="text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6" o:spid="_x0000_s1026" type="#_x0000_t202" style="position:absolute;left:0;text-align:left;margin-left:67.6pt;margin-top:0;width:118.8pt;height:33.8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" filled="f" stroked="f" strokeweight=".5pt">
              <v:path arrowok="t"/>
              <v:textbox style="mso-fit-shape-to-text:t">
                <w:txbxContent>
                  <w:p w:rsidR="00B871F8" w:rsidRPr="00FF1D86" w:rsidRDefault="00B871F8" w:rsidP="00FF1D86">
                    <w:pPr>
                      <w:pStyle w:val="Zpat"/>
                      <w:jc w:val="right"/>
                      <w:rPr>
                        <w:rFonts w:asciiTheme="minorHAnsi" w:hAnsiTheme="minorHAnsi" w:cstheme="minorHAnsi"/>
                        <w:color w:val="000000" w:themeColor="text1"/>
                        <w:sz w:val="22"/>
                        <w:szCs w:val="22"/>
                      </w:rPr>
                    </w:pPr>
                    <w:r w:rsidRPr="00FF1D86">
                      <w:rPr>
                        <w:rFonts w:asciiTheme="minorHAnsi" w:hAnsiTheme="minorHAnsi" w:cstheme="minorHAnsi"/>
                        <w:color w:val="000000" w:themeColor="text1"/>
                        <w:sz w:val="22"/>
                        <w:szCs w:val="22"/>
                      </w:rPr>
                      <w:fldChar w:fldCharType="begin"/>
                    </w:r>
                    <w:r w:rsidRPr="00FF1D86">
                      <w:rPr>
                        <w:rFonts w:asciiTheme="minorHAnsi" w:hAnsiTheme="minorHAnsi" w:cstheme="minorHAnsi"/>
                        <w:color w:val="000000" w:themeColor="text1"/>
                        <w:sz w:val="22"/>
                        <w:szCs w:val="22"/>
                      </w:rPr>
                      <w:instrText>PAGE  \* Arabic  \* MERGEFORMAT</w:instrText>
                    </w:r>
                    <w:r w:rsidRPr="00FF1D86">
                      <w:rPr>
                        <w:rFonts w:asciiTheme="minorHAnsi" w:hAnsiTheme="minorHAnsi" w:cstheme="minorHAnsi"/>
                        <w:color w:val="000000" w:themeColor="text1"/>
                        <w:sz w:val="22"/>
                        <w:szCs w:val="22"/>
                      </w:rPr>
                      <w:fldChar w:fldCharType="separate"/>
                    </w:r>
                    <w:r w:rsidR="004C02E6" w:rsidRPr="004C02E6">
                      <w:rPr>
                        <w:rFonts w:asciiTheme="minorHAnsi" w:hAnsiTheme="minorHAnsi" w:cstheme="minorHAnsi"/>
                        <w:noProof/>
                        <w:color w:val="000000" w:themeColor="text1"/>
                        <w:szCs w:val="22"/>
                      </w:rPr>
                      <w:t>14</w:t>
                    </w:r>
                    <w:r w:rsidRPr="00FF1D86">
                      <w:rPr>
                        <w:rFonts w:asciiTheme="minorHAnsi" w:hAnsiTheme="minorHAnsi" w:cstheme="minorHAnsi"/>
                        <w:color w:val="000000" w:themeColor="text1"/>
                        <w:sz w:val="22"/>
                        <w:szCs w:val="22"/>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5826F51C" wp14:editId="699619D2">
              <wp:simplePos x="0" y="0"/>
              <wp:positionH relativeFrom="margin">
                <wp:align>center</wp:align>
              </wp:positionH>
              <wp:positionV relativeFrom="bottomMargin">
                <wp:align>top</wp:align>
              </wp:positionV>
              <wp:extent cx="5756910" cy="36195"/>
              <wp:effectExtent l="0" t="0" r="0" b="1905"/>
              <wp:wrapSquare wrapText="bothSides"/>
              <wp:docPr id="58" name="Obdélní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Obdélník 58" o:spid="_x0000_s1026" style="position:absolute;margin-left:0;margin-top:0;width:453.3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" fillcolor="#4f81bd [3204]" stroked="f" strokeweight="2pt">
              <v:path arrowok="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A86" w:rsidRDefault="00D76A86" w:rsidP="006E3CE4">
      <w:r>
        <w:separator/>
      </w:r>
    </w:p>
  </w:footnote>
  <w:footnote w:type="continuationSeparator" w:id="0">
    <w:p w:rsidR="00D76A86" w:rsidRDefault="00D76A86" w:rsidP="006E3CE4">
      <w:r>
        <w:continuationSeparator/>
      </w:r>
    </w:p>
  </w:footnote>
  <w:footnote w:type="continuationNotice" w:id="1">
    <w:p w:rsidR="00D76A86" w:rsidRDefault="00D76A86"/>
  </w:footnote>
  <w:footnote w:id="2">
    <w:p w:rsidR="00B871F8" w:rsidRPr="00E9311C" w:rsidRDefault="00B871F8" w:rsidP="00E17C1F">
      <w:pPr>
        <w:pStyle w:val="Textpoznpodarou"/>
        <w:spacing w:after="0"/>
        <w:rPr>
          <w:rFonts w:cstheme="minorHAnsi"/>
        </w:rPr>
      </w:pPr>
      <w:r w:rsidRPr="00E9311C">
        <w:rPr>
          <w:rStyle w:val="Znakapoznpodarou"/>
          <w:rFonts w:cstheme="minorHAnsi"/>
        </w:rPr>
        <w:footnoteRef/>
      </w:r>
      <w:r w:rsidRPr="00E9311C">
        <w:rPr>
          <w:rFonts w:cstheme="minorHAnsi"/>
        </w:rPr>
        <w:t xml:space="preserve"> </w:t>
      </w:r>
      <w:r w:rsidRPr="00E63CC6">
        <w:rPr>
          <w:rFonts w:cstheme="minorHAnsi"/>
        </w:rPr>
        <w:t>Zákon č. 406/2000 Sb., o hospodaření energi</w:t>
      </w:r>
      <w:r>
        <w:rPr>
          <w:rFonts w:cstheme="minorHAnsi"/>
        </w:rPr>
        <w:t>í, ve znění pozdějších předpisů (dále jen zákon)</w:t>
      </w:r>
    </w:p>
  </w:footnote>
  <w:footnote w:id="3">
    <w:p w:rsidR="00B871F8" w:rsidRDefault="00B871F8">
      <w:pPr>
        <w:pStyle w:val="Textpoznpodarou"/>
      </w:pPr>
      <w:r>
        <w:rPr>
          <w:rStyle w:val="Znakapoznpodarou"/>
        </w:rPr>
        <w:footnoteRef/>
      </w:r>
      <w:r>
        <w:t xml:space="preserve"> V případě zpracování a schválení Hospodářské strategie ČR bude přirozeně tento dokument zohledněn v následujících aktualizacích a vyhodnocováních Státní energetické koncepce. Mezitím s ohledem na jeho neexistenci vychází SEK z dílčích sektorových strategií.</w:t>
      </w:r>
    </w:p>
  </w:footnote>
  <w:footnote w:id="4">
    <w:p w:rsidR="00B871F8" w:rsidRDefault="00B871F8">
      <w:pPr>
        <w:pStyle w:val="Textpoznpodarou"/>
      </w:pPr>
      <w:r>
        <w:rPr>
          <w:rStyle w:val="Znakapoznpodarou"/>
        </w:rPr>
        <w:footnoteRef/>
      </w:r>
      <w:r>
        <w:t xml:space="preserve"> Nejedná se o komplexní výčet všech strategických dokumentů a akčních plánů na úrovni ČR.</w:t>
      </w:r>
    </w:p>
  </w:footnote>
  <w:footnote w:id="5">
    <w:p w:rsidR="00B871F8" w:rsidRDefault="00B871F8">
      <w:pPr>
        <w:pStyle w:val="Textpoznpodarou"/>
      </w:pPr>
      <w:r>
        <w:rPr>
          <w:rStyle w:val="Znakapoznpodarou"/>
        </w:rPr>
        <w:footnoteRef/>
      </w:r>
      <w:r>
        <w:t xml:space="preserve"> V oblasti fungování rafinérských společností se často uplatňuje přepracovací režim, který má určitá specifika.</w:t>
      </w:r>
    </w:p>
  </w:footnote>
  <w:footnote w:id="6">
    <w:p w:rsidR="00B871F8" w:rsidRDefault="00B871F8" w:rsidP="001365E3">
      <w:pPr>
        <w:pStyle w:val="Textpoznpodarou"/>
        <w:spacing w:after="0"/>
      </w:pPr>
      <w:r>
        <w:rPr>
          <w:rStyle w:val="Znakapoznpodarou"/>
        </w:rPr>
        <w:footnoteRef/>
      </w:r>
      <w:r>
        <w:t xml:space="preserve"> Stanovení potenciálu pro využití geotermální energie na území ČR bude předmětem zpracování vyhledávací studie, která vymezí lokality vhodné pro využití tohoto obnovitelného zdroje.</w:t>
      </w:r>
    </w:p>
  </w:footnote>
  <w:footnote w:id="7">
    <w:p w:rsidR="00B871F8" w:rsidRDefault="00B871F8">
      <w:pPr>
        <w:pStyle w:val="Textpoznpodarou"/>
      </w:pPr>
      <w:r>
        <w:rPr>
          <w:rStyle w:val="Znakapoznpodarou"/>
        </w:rPr>
        <w:footnoteRef/>
      </w:r>
      <w:r>
        <w:t xml:space="preserve"> Statistická ročenka životního prostředí České republiky (CENIA, MŽP)</w:t>
      </w:r>
    </w:p>
  </w:footnote>
  <w:footnote w:id="8">
    <w:p w:rsidR="00B871F8" w:rsidRDefault="00B871F8">
      <w:pPr>
        <w:pStyle w:val="Textpoznpodarou"/>
      </w:pPr>
      <w:r>
        <w:rPr>
          <w:rStyle w:val="Znakapoznpodarou"/>
        </w:rPr>
        <w:footnoteRef/>
      </w:r>
      <w:r>
        <w:t xml:space="preserve"> </w:t>
      </w:r>
      <w:r w:rsidRPr="00A616E3">
        <w:t>V roce 2012 představ</w:t>
      </w:r>
      <w:r>
        <w:t>oval</w:t>
      </w:r>
      <w:r w:rsidRPr="00A616E3">
        <w:t xml:space="preserve"> podíl komunálních odpadů odstraněných skládkováním (D1, D5, D12) 54 % z celkové produkce komunálních odpadů</w:t>
      </w:r>
      <w:r>
        <w:t>.</w:t>
      </w:r>
    </w:p>
  </w:footnote>
  <w:footnote w:id="9">
    <w:p w:rsidR="00B871F8" w:rsidRDefault="00B871F8">
      <w:pPr>
        <w:pStyle w:val="Textpoznpodarou"/>
      </w:pPr>
      <w:r>
        <w:rPr>
          <w:rStyle w:val="Znakapoznpodarou"/>
        </w:rPr>
        <w:footnoteRef/>
      </w:r>
      <w:r>
        <w:t>Statistická ročenka životního prostředí České republiky (CENIA, MŽP)</w:t>
      </w:r>
    </w:p>
  </w:footnote>
  <w:footnote w:id="10">
    <w:p w:rsidR="00B871F8" w:rsidRDefault="00B871F8">
      <w:pPr>
        <w:pStyle w:val="Textpoznpodarou"/>
      </w:pPr>
      <w:r>
        <w:rPr>
          <w:rStyle w:val="Znakapoznpodarou"/>
        </w:rPr>
        <w:footnoteRef/>
      </w:r>
      <w:r>
        <w:t xml:space="preserve"> Ukazatele energetické a elektroenergetické náročnosti se mohou zlepšovat nebo zhoršovat nejen v souvislosti se změnami spotřeby energie, případně elektřiny, ale také se změnami celkových hodnot, k nimž jsou vztaženy, tedy HDP, HPH, případně produkce.</w:t>
      </w:r>
    </w:p>
  </w:footnote>
  <w:footnote w:id="11">
    <w:p w:rsidR="00B871F8" w:rsidRDefault="00B871F8">
      <w:pPr>
        <w:pStyle w:val="Textpoznpodarou"/>
      </w:pPr>
      <w:r>
        <w:rPr>
          <w:rStyle w:val="Znakapoznpodarou"/>
        </w:rPr>
        <w:footnoteRef/>
      </w:r>
      <w:r>
        <w:t xml:space="preserve">  V říjnu 2014 bylo dosaženo dohody o výši a závaznosti cílů pro klimaticko-energetický rámec evropské politiky na roky 2020-2030. Součástí balíčku je celoevropský závazný cíl pro redukci emisí skleníkových plynů ve výši 40 % vůči roku 1990, </w:t>
      </w:r>
      <w:r w:rsidRPr="00FB6BA6">
        <w:t xml:space="preserve">indikativní (nezávazný) cíl zvýšení energetické účinnosti o minimálně 27 </w:t>
      </w:r>
      <w:r>
        <w:t>%,</w:t>
      </w:r>
      <w:r w:rsidRPr="00FB6BA6">
        <w:t xml:space="preserve"> závazný cíl pro </w:t>
      </w:r>
      <w:r>
        <w:t xml:space="preserve">podíl </w:t>
      </w:r>
      <w:r w:rsidRPr="00FB6BA6">
        <w:t xml:space="preserve">energie z </w:t>
      </w:r>
      <w:r>
        <w:t>OZE</w:t>
      </w:r>
      <w:r w:rsidRPr="00FB6BA6">
        <w:t xml:space="preserve"> </w:t>
      </w:r>
      <w:r>
        <w:t>na konečné spotřebě</w:t>
      </w:r>
      <w:r w:rsidRPr="00FB6BA6">
        <w:t xml:space="preserve"> minimálně 27 </w:t>
      </w:r>
      <w:r>
        <w:t>%,</w:t>
      </w:r>
      <w:r w:rsidRPr="00FB6BA6">
        <w:t xml:space="preserve"> </w:t>
      </w:r>
      <w:r>
        <w:t>a cíl pro zvyšování přeshraničních propojení elektrizačních soustav.</w:t>
      </w:r>
    </w:p>
  </w:footnote>
  <w:footnote w:id="12">
    <w:p w:rsidR="00B871F8" w:rsidRDefault="00B871F8" w:rsidP="00891F8B">
      <w:pPr>
        <w:pStyle w:val="Textpoznpodarou"/>
        <w:spacing w:after="0"/>
      </w:pPr>
      <w:r>
        <w:rPr>
          <w:rStyle w:val="Znakapoznpodarou"/>
        </w:rPr>
        <w:footnoteRef/>
      </w:r>
      <w:r>
        <w:t xml:space="preserve"> Zásadní vliv na energetickou, potažmo elektroenergetickou náročnost vztaženou k celkové hodnotě HDP nebo HPH má také transfer HPH v rámci tzv. Global Value Chain.</w:t>
      </w:r>
    </w:p>
  </w:footnote>
  <w:footnote w:id="13">
    <w:p w:rsidR="00B871F8" w:rsidRPr="00E8632F" w:rsidRDefault="00B871F8" w:rsidP="00E17C1F">
      <w:pPr>
        <w:pStyle w:val="Textpoznpodarou"/>
        <w:spacing w:after="0"/>
        <w:rPr>
          <w:rFonts w:cstheme="minorHAnsi"/>
        </w:rPr>
      </w:pPr>
      <w:r w:rsidRPr="00E8632F">
        <w:rPr>
          <w:rStyle w:val="Znakapoznpodarou"/>
          <w:rFonts w:cstheme="minorHAnsi"/>
        </w:rPr>
        <w:footnoteRef/>
      </w:r>
      <w:r w:rsidRPr="00E8632F">
        <w:rPr>
          <w:rFonts w:cstheme="minorHAnsi"/>
        </w:rPr>
        <w:t xml:space="preserve"> </w:t>
      </w:r>
      <w:r>
        <w:rPr>
          <w:rFonts w:cstheme="minorHAnsi"/>
        </w:rPr>
        <w:t>Zákon</w:t>
      </w:r>
      <w:r w:rsidRPr="00710ACA">
        <w:rPr>
          <w:rFonts w:cstheme="minorHAnsi"/>
        </w:rPr>
        <w:t xml:space="preserve"> č. 280/2009 Sb., daňový řád</w:t>
      </w:r>
      <w:r w:rsidRPr="00E8632F">
        <w:rPr>
          <w:rFonts w:cstheme="minorHAnsi"/>
        </w:rPr>
        <w:t xml:space="preserve"> ve znění pozdějších předpisů</w:t>
      </w:r>
    </w:p>
  </w:footnote>
  <w:footnote w:id="14">
    <w:p w:rsidR="00B871F8" w:rsidRDefault="00B871F8" w:rsidP="002D287F">
      <w:pPr>
        <w:pStyle w:val="Textpoznpodarou"/>
        <w:spacing w:after="0"/>
      </w:pPr>
      <w:r>
        <w:rPr>
          <w:rStyle w:val="Znakapoznpodarou"/>
        </w:rPr>
        <w:footnoteRef/>
      </w:r>
      <w:r>
        <w:t xml:space="preserve"> V uvedeném grafu nejsou zahrnuty tzv. externí náklady, které postihují fakt, že výrobce nemusí v daném případě nést všechny náklady své činnosti, i když mám k dispozici výnosy v plné míře (negativní externality), což může vést k sub-optimální rovnováze na trhu. Právě neexistence trhu způsobuje obtížnost kvantifikace externích nákladů jednotlivých technologií. Protože jsou výpočty zatíženy velkou chybou i s ohledem na různé metodologické postupy, nebyly náklady, u kterých aktuálně neexistují známé postupy jejich internalizace (kupříkladu trh s emisními povolenkami internalizaci umožňuje) zohledněny. Doplňující analytické</w:t>
      </w:r>
      <w:r w:rsidRPr="00250398">
        <w:t xml:space="preserve"> materiál</w:t>
      </w:r>
      <w:r>
        <w:t>y</w:t>
      </w:r>
      <w:r w:rsidRPr="00250398">
        <w:t xml:space="preserve"> k</w:t>
      </w:r>
      <w:r>
        <w:t xml:space="preserve"> tomuto </w:t>
      </w:r>
      <w:r w:rsidRPr="00250398">
        <w:t>dokumentu</w:t>
      </w:r>
      <w:r>
        <w:t xml:space="preserve"> poskytují dodatečné informace ohledně externích nákladů a jejich kvantifikace.</w:t>
      </w:r>
    </w:p>
  </w:footnote>
  <w:footnote w:id="15">
    <w:p w:rsidR="00B871F8" w:rsidRDefault="00B871F8" w:rsidP="007D2C62">
      <w:pPr>
        <w:spacing w:after="0"/>
      </w:pPr>
      <w:r w:rsidRPr="00813C16">
        <w:rPr>
          <w:rStyle w:val="Znakapoznpodarou"/>
          <w:rFonts w:cstheme="minorHAnsi"/>
          <w:sz w:val="20"/>
          <w:szCs w:val="20"/>
        </w:rPr>
        <w:footnoteRef/>
      </w:r>
      <w:r w:rsidRPr="00813C16">
        <w:rPr>
          <w:rFonts w:cstheme="minorHAnsi"/>
          <w:sz w:val="20"/>
          <w:szCs w:val="20"/>
        </w:rPr>
        <w:t xml:space="preserve"> </w:t>
      </w:r>
      <w:r w:rsidRPr="00863486">
        <w:rPr>
          <w:rFonts w:cstheme="minorHAnsi"/>
          <w:sz w:val="20"/>
          <w:szCs w:val="20"/>
        </w:rPr>
        <w:t>Herfindahl-Hirschmanův Index</w:t>
      </w:r>
      <w:r>
        <w:rPr>
          <w:rFonts w:cstheme="minorHAnsi"/>
          <w:sz w:val="20"/>
          <w:szCs w:val="20"/>
        </w:rPr>
        <w:t xml:space="preserve"> (HHI)</w:t>
      </w:r>
      <w:r w:rsidRPr="00863486">
        <w:rPr>
          <w:rFonts w:cstheme="minorHAnsi"/>
          <w:sz w:val="20"/>
          <w:szCs w:val="20"/>
        </w:rPr>
        <w:t xml:space="preserve">, který nabývá hodnot v intervalu (1/N,1), měří v rámci ekonomické teorie obecně velikost firem relativně k velikosti daného odvětví a je tedy </w:t>
      </w:r>
      <w:r>
        <w:rPr>
          <w:rFonts w:cstheme="minorHAnsi"/>
          <w:sz w:val="20"/>
          <w:szCs w:val="20"/>
        </w:rPr>
        <w:t xml:space="preserve">vlastně </w:t>
      </w:r>
      <w:r w:rsidRPr="00863486">
        <w:rPr>
          <w:rFonts w:cstheme="minorHAnsi"/>
          <w:sz w:val="20"/>
          <w:szCs w:val="20"/>
        </w:rPr>
        <w:t>indikátorem míry tržní konkurence v</w:t>
      </w:r>
      <w:r>
        <w:rPr>
          <w:rFonts w:cstheme="minorHAnsi"/>
          <w:sz w:val="20"/>
          <w:szCs w:val="20"/>
        </w:rPr>
        <w:t xml:space="preserve"> rámci </w:t>
      </w:r>
      <w:r w:rsidRPr="00863486">
        <w:rPr>
          <w:rFonts w:cstheme="minorHAnsi"/>
          <w:sz w:val="20"/>
          <w:szCs w:val="20"/>
        </w:rPr>
        <w:t>odvětví.</w:t>
      </w:r>
    </w:p>
  </w:footnote>
  <w:footnote w:id="16">
    <w:p w:rsidR="00B871F8" w:rsidRPr="00BF496B" w:rsidRDefault="00B871F8" w:rsidP="00081EB4">
      <w:pPr>
        <w:pStyle w:val="Textpoznpodarou"/>
        <w:rPr>
          <w:highlight w:val="yellow"/>
        </w:rPr>
      </w:pPr>
      <w:r w:rsidRPr="003D3018">
        <w:rPr>
          <w:rStyle w:val="Znakapoznpodarou"/>
        </w:rPr>
        <w:footnoteRef/>
      </w:r>
      <w:r w:rsidRPr="003D3018">
        <w:t xml:space="preserve"> V absolutních hodnotách pro různé možnosti vývoje české energetiky se roční výroba elektřiny může pohybovat od 42 882,7 do 5</w:t>
      </w:r>
      <w:r>
        <w:t>7</w:t>
      </w:r>
      <w:r w:rsidRPr="003D3018">
        <w:t> </w:t>
      </w:r>
      <w:r>
        <w:t>948</w:t>
      </w:r>
      <w:r w:rsidRPr="003D3018">
        <w:t>,</w:t>
      </w:r>
      <w:r>
        <w:t>6</w:t>
      </w:r>
      <w:r w:rsidRPr="003D3018">
        <w:t xml:space="preserve"> GWh pro jaderné palivo, od 15 752,8 do 24 </w:t>
      </w:r>
      <w:r>
        <w:t>977</w:t>
      </w:r>
      <w:r w:rsidRPr="003D3018">
        <w:t>,</w:t>
      </w:r>
      <w:r>
        <w:t>8</w:t>
      </w:r>
      <w:r w:rsidRPr="003D3018">
        <w:t xml:space="preserve"> GWh pro obnovitelné a</w:t>
      </w:r>
      <w:r>
        <w:t> </w:t>
      </w:r>
      <w:r w:rsidRPr="003D3018">
        <w:t>druhotné zdroje, od 4 813,4 do 14 </w:t>
      </w:r>
      <w:r>
        <w:t>986</w:t>
      </w:r>
      <w:r w:rsidRPr="003D3018">
        <w:t>,</w:t>
      </w:r>
      <w:r>
        <w:t>7</w:t>
      </w:r>
      <w:r w:rsidRPr="003D3018">
        <w:t xml:space="preserve"> GWh pro zemní plyn a od 9 626,7 do 20 </w:t>
      </w:r>
      <w:r>
        <w:t>981</w:t>
      </w:r>
      <w:r w:rsidRPr="003D3018">
        <w:t>,</w:t>
      </w:r>
      <w:r>
        <w:t>4</w:t>
      </w:r>
      <w:r w:rsidRPr="003D3018">
        <w:t xml:space="preserve"> GWh pro hnědé a</w:t>
      </w:r>
      <w:r>
        <w:t> </w:t>
      </w:r>
      <w:r w:rsidRPr="003D3018">
        <w:t>černé uhlí.</w:t>
      </w:r>
    </w:p>
  </w:footnote>
  <w:footnote w:id="17">
    <w:p w:rsidR="00B871F8" w:rsidRDefault="00B871F8">
      <w:pPr>
        <w:pStyle w:val="Textpoznpodarou"/>
      </w:pPr>
      <w:r w:rsidRPr="003D3018">
        <w:rPr>
          <w:rStyle w:val="Znakapoznpodarou"/>
        </w:rPr>
        <w:footnoteRef/>
      </w:r>
      <w:r w:rsidRPr="003D3018">
        <w:t xml:space="preserve"> V absolutních hodnotách pro různé možnosti vývoje české energetiky se roční spotřeba jejich jednotlivých druhů může pohybovat od 4</w:t>
      </w:r>
      <w:r>
        <w:t>49</w:t>
      </w:r>
      <w:r w:rsidRPr="003D3018">
        <w:t>,</w:t>
      </w:r>
      <w:r>
        <w:t>0</w:t>
      </w:r>
      <w:r w:rsidRPr="003D3018">
        <w:t xml:space="preserve"> do 60</w:t>
      </w:r>
      <w:r>
        <w:t>9</w:t>
      </w:r>
      <w:r w:rsidRPr="003D3018">
        <w:t>,</w:t>
      </w:r>
      <w:r>
        <w:t>9</w:t>
      </w:r>
      <w:r w:rsidRPr="003D3018">
        <w:t xml:space="preserve"> PJ pro jaderné palivo, od 17</w:t>
      </w:r>
      <w:r>
        <w:t>1</w:t>
      </w:r>
      <w:r w:rsidRPr="003D3018">
        <w:t>,</w:t>
      </w:r>
      <w:r>
        <w:t>4</w:t>
      </w:r>
      <w:r w:rsidRPr="003D3018">
        <w:t xml:space="preserve"> do 31</w:t>
      </w:r>
      <w:r>
        <w:t>8</w:t>
      </w:r>
      <w:r w:rsidRPr="003D3018">
        <w:t>,</w:t>
      </w:r>
      <w:r>
        <w:t>7</w:t>
      </w:r>
      <w:r w:rsidRPr="003D3018">
        <w:t xml:space="preserve"> PJ pro tuhá paliva, od 3</w:t>
      </w:r>
      <w:r>
        <w:t>18</w:t>
      </w:r>
      <w:r w:rsidRPr="003D3018">
        <w:t>,</w:t>
      </w:r>
      <w:r>
        <w:t>4</w:t>
      </w:r>
      <w:r w:rsidRPr="003D3018">
        <w:t xml:space="preserve"> do 46</w:t>
      </w:r>
      <w:r>
        <w:t>4</w:t>
      </w:r>
      <w:r w:rsidRPr="003D3018">
        <w:t>,</w:t>
      </w:r>
      <w:r>
        <w:t>4</w:t>
      </w:r>
      <w:r w:rsidRPr="003D3018">
        <w:t xml:space="preserve"> PJ pro plynná paliva, od 22</w:t>
      </w:r>
      <w:r>
        <w:t>0</w:t>
      </w:r>
      <w:r w:rsidRPr="003D3018">
        <w:t>,4 do 31</w:t>
      </w:r>
      <w:r>
        <w:t>8</w:t>
      </w:r>
      <w:r w:rsidRPr="003D3018">
        <w:t>,</w:t>
      </w:r>
      <w:r>
        <w:t>7</w:t>
      </w:r>
      <w:r w:rsidRPr="003D3018">
        <w:t xml:space="preserve"> PJ pro kapalná paliva a od 2</w:t>
      </w:r>
      <w:r>
        <w:t>69</w:t>
      </w:r>
      <w:r w:rsidRPr="003D3018">
        <w:t>,</w:t>
      </w:r>
      <w:r>
        <w:t>4</w:t>
      </w:r>
      <w:r w:rsidRPr="003D3018">
        <w:t xml:space="preserve"> do 40</w:t>
      </w:r>
      <w:r>
        <w:t>9</w:t>
      </w:r>
      <w:r w:rsidRPr="003D3018">
        <w:t>,</w:t>
      </w:r>
      <w:r>
        <w:t>8</w:t>
      </w:r>
      <w:r w:rsidRPr="003D3018">
        <w:t xml:space="preserve"> PJ pro obnovitelné a</w:t>
      </w:r>
      <w:r>
        <w:t> </w:t>
      </w:r>
      <w:r w:rsidRPr="003D3018">
        <w:t>druhotné zdroje.</w:t>
      </w:r>
    </w:p>
  </w:footnote>
  <w:footnote w:id="18">
    <w:p w:rsidR="00B871F8" w:rsidRDefault="00B871F8" w:rsidP="00B55B81">
      <w:pPr>
        <w:pStyle w:val="Textpoznpodarou"/>
      </w:pPr>
      <w:r>
        <w:rPr>
          <w:rStyle w:val="Znakapoznpodarou"/>
        </w:rPr>
        <w:footnoteRef/>
      </w:r>
      <w:r>
        <w:t xml:space="preserve"> </w:t>
      </w:r>
      <w:r w:rsidRPr="004E0E1F">
        <w:t>Směrnice Evropského parlamentu a rady 2012/27/EU ze dne 25. října 2012 o energetické účinnosti, o změně směrnic 2009/125/ES a 2010/30/EU a o zrušení směrnic 2004/8/ES a 2006/32/ES</w:t>
      </w:r>
    </w:p>
  </w:footnote>
  <w:footnote w:id="19">
    <w:p w:rsidR="00B871F8" w:rsidRDefault="00B871F8" w:rsidP="00905529">
      <w:pPr>
        <w:pStyle w:val="Textpoznpodarou"/>
      </w:pPr>
      <w:r>
        <w:rPr>
          <w:rStyle w:val="Znakapoznpodarou"/>
        </w:rPr>
        <w:footnoteRef/>
      </w:r>
      <w:r>
        <w:t xml:space="preserve"> Strategie renovace budov je součástí NAPEE (příloha č. 6) a popisuje 5 scénářů vývoje renovace do roku 2050. </w:t>
      </w:r>
    </w:p>
  </w:footnote>
  <w:footnote w:id="20">
    <w:p w:rsidR="00B871F8" w:rsidRDefault="00B871F8">
      <w:pPr>
        <w:pStyle w:val="Textpoznpodarou"/>
      </w:pPr>
      <w:r>
        <w:rPr>
          <w:rStyle w:val="Znakapoznpodarou"/>
        </w:rPr>
        <w:footnoteRef/>
      </w:r>
      <w:r>
        <w:t xml:space="preserve"> Uplatnění čl. 5 je rozpracováno v dokumentu </w:t>
      </w:r>
      <w:r>
        <w:rPr>
          <w:rFonts w:cstheme="minorHAnsi"/>
        </w:rPr>
        <w:t>Možnosti úspor energie v budovách ústředních institucí (MPO).</w:t>
      </w:r>
    </w:p>
  </w:footnote>
  <w:footnote w:id="21">
    <w:p w:rsidR="00B871F8" w:rsidRDefault="00B871F8">
      <w:pPr>
        <w:pStyle w:val="Textpoznpodarou"/>
      </w:pPr>
      <w:r>
        <w:rPr>
          <w:rStyle w:val="Znakapoznpodarou"/>
        </w:rPr>
        <w:footnoteRef/>
      </w:r>
      <w:r>
        <w:t xml:space="preserve"> Nediskriminačně co do typu technologií, strany výroby a spotřeby a nerozlišujíc mezi stávajícími a novými zdroji výkonu.</w:t>
      </w:r>
    </w:p>
  </w:footnote>
  <w:footnote w:id="22">
    <w:p w:rsidR="00B871F8" w:rsidRDefault="00B871F8">
      <w:pPr>
        <w:pStyle w:val="Textpoznpodarou"/>
      </w:pPr>
      <w:r>
        <w:rPr>
          <w:rStyle w:val="Znakapoznpodarou"/>
        </w:rPr>
        <w:footnoteRef/>
      </w:r>
      <w:r>
        <w:t xml:space="preserve"> Předpokládá se jejich stanovení prováděcím právním předpisem k zákonu o odpadech.</w:t>
      </w:r>
    </w:p>
  </w:footnote>
  <w:footnote w:id="23">
    <w:p w:rsidR="00B871F8" w:rsidRPr="00926E9E" w:rsidRDefault="00B871F8" w:rsidP="00344CD0">
      <w:pPr>
        <w:spacing w:after="0"/>
        <w:rPr>
          <w:sz w:val="20"/>
          <w:szCs w:val="20"/>
        </w:rPr>
      </w:pPr>
      <w:r w:rsidRPr="00926E9E">
        <w:rPr>
          <w:rStyle w:val="Znakapoznpodarou"/>
          <w:sz w:val="20"/>
          <w:szCs w:val="20"/>
        </w:rPr>
        <w:footnoteRef/>
      </w:r>
      <w:r w:rsidRPr="00926E9E">
        <w:rPr>
          <w:sz w:val="20"/>
          <w:szCs w:val="20"/>
        </w:rPr>
        <w:t xml:space="preserve"> ENTSO-E (2013) Scenario Outlook and Adequacy Forecast 2013 </w:t>
      </w:r>
      <w:r>
        <w:rPr>
          <w:sz w:val="20"/>
          <w:szCs w:val="20"/>
        </w:rPr>
        <w:t>–</w:t>
      </w:r>
      <w:r w:rsidRPr="00926E9E">
        <w:rPr>
          <w:sz w:val="20"/>
          <w:szCs w:val="20"/>
        </w:rPr>
        <w:t xml:space="preserve"> 2030</w:t>
      </w:r>
      <w:r>
        <w:rPr>
          <w:sz w:val="20"/>
          <w:szCs w:val="20"/>
        </w:rPr>
        <w:t>, s. 53-54</w:t>
      </w:r>
    </w:p>
  </w:footnote>
  <w:footnote w:id="24">
    <w:p w:rsidR="00B871F8" w:rsidRPr="00926E9E" w:rsidRDefault="00B871F8" w:rsidP="003F472D">
      <w:pPr>
        <w:contextualSpacing/>
        <w:rPr>
          <w:sz w:val="20"/>
          <w:szCs w:val="20"/>
        </w:rPr>
      </w:pPr>
      <w:r w:rsidRPr="00926E9E">
        <w:rPr>
          <w:rStyle w:val="Znakapoznpodarou"/>
          <w:sz w:val="20"/>
          <w:szCs w:val="20"/>
        </w:rPr>
        <w:footnoteRef/>
      </w:r>
      <w:r w:rsidRPr="00926E9E">
        <w:rPr>
          <w:sz w:val="20"/>
          <w:szCs w:val="20"/>
        </w:rPr>
        <w:t xml:space="preserve"> Mezi základní předpoklady scénáře patří: naplnění cílů EU pro výrobu </w:t>
      </w:r>
      <w:r>
        <w:rPr>
          <w:sz w:val="20"/>
          <w:szCs w:val="20"/>
        </w:rPr>
        <w:t>elektrické</w:t>
      </w:r>
      <w:r w:rsidRPr="00926E9E">
        <w:rPr>
          <w:sz w:val="20"/>
          <w:szCs w:val="20"/>
        </w:rPr>
        <w:t xml:space="preserve"> energie</w:t>
      </w:r>
      <w:r>
        <w:rPr>
          <w:sz w:val="20"/>
          <w:szCs w:val="20"/>
        </w:rPr>
        <w:t xml:space="preserve"> z obnovitelných zdrojů do roku </w:t>
      </w:r>
      <w:r w:rsidRPr="00926E9E">
        <w:rPr>
          <w:sz w:val="20"/>
          <w:szCs w:val="20"/>
        </w:rPr>
        <w:t xml:space="preserve">2020, naplnění cílů Národních akčních plánů pro OZE v jednotlivých členských státech či podobných vládních dokumentů, pro utlumování podílu výroby z fosilních paliv brány v potaz jednotlivé národní politiky, v případě nedostatku relevantních dat pak odhady národních </w:t>
      </w:r>
      <w:r>
        <w:rPr>
          <w:sz w:val="20"/>
          <w:szCs w:val="20"/>
        </w:rPr>
        <w:t>PPS</w:t>
      </w:r>
      <w:r w:rsidRPr="00926E9E">
        <w:rPr>
          <w:sz w:val="20"/>
          <w:szCs w:val="20"/>
        </w:rPr>
        <w:t>.</w:t>
      </w:r>
    </w:p>
  </w:footnote>
  <w:footnote w:id="25">
    <w:p w:rsidR="00B871F8" w:rsidRDefault="00B871F8" w:rsidP="00BB09FE">
      <w:pPr>
        <w:pStyle w:val="Textpoznpodarou"/>
        <w:spacing w:after="0"/>
      </w:pPr>
      <w:r>
        <w:rPr>
          <w:rStyle w:val="Znakapoznpodarou"/>
        </w:rPr>
        <w:footnoteRef/>
      </w:r>
      <w:r>
        <w:t xml:space="preserve"> Prezentace zástupce IT W. D´Innocenza na SLT IEA, březen 2013</w:t>
      </w:r>
    </w:p>
  </w:footnote>
  <w:footnote w:id="26">
    <w:p w:rsidR="00B871F8" w:rsidRDefault="00B871F8" w:rsidP="008813B5">
      <w:pPr>
        <w:spacing w:after="0"/>
      </w:pPr>
      <w:r>
        <w:rPr>
          <w:rStyle w:val="Znakapoznpodarou"/>
        </w:rPr>
        <w:footnoteRef/>
      </w:r>
      <w:r>
        <w:t xml:space="preserve"> </w:t>
      </w:r>
      <w:r w:rsidRPr="00A04436">
        <w:t>Electricity Market Reform – listopad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10E4AC"/>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3F2A3D"/>
    <w:multiLevelType w:val="multilevel"/>
    <w:tmpl w:val="E4BA76C8"/>
    <w:lvl w:ilvl="0">
      <w:start w:val="1"/>
      <w:numFmt w:val="lowerLetter"/>
      <w:lvlText w:val="F.%1."/>
      <w:lvlJc w:val="left"/>
      <w:pPr>
        <w:ind w:left="720" w:hanging="360"/>
      </w:pPr>
      <w:rPr>
        <w:rFonts w:hint="default"/>
      </w:rPr>
    </w:lvl>
    <w:lvl w:ilvl="1">
      <w:start w:val="1"/>
      <w:numFmt w:val="decimal"/>
      <w:lvlText w:val="F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0515665"/>
    <w:multiLevelType w:val="hybridMultilevel"/>
    <w:tmpl w:val="1DA0E004"/>
    <w:lvl w:ilvl="0" w:tplc="457AB7D0">
      <w:start w:val="1"/>
      <w:numFmt w:val="decimal"/>
      <w:lvlText w:val="E.%1."/>
      <w:lvlJc w:val="left"/>
      <w:pPr>
        <w:ind w:left="2340" w:hanging="360"/>
      </w:pPr>
      <w:rPr>
        <w:rFonts w:hint="default"/>
      </w:rPr>
    </w:lvl>
    <w:lvl w:ilvl="1" w:tplc="04050019" w:tentative="1">
      <w:start w:val="1"/>
      <w:numFmt w:val="lowerLetter"/>
      <w:lvlText w:val="%2."/>
      <w:lvlJc w:val="left"/>
      <w:pPr>
        <w:ind w:left="3060" w:hanging="360"/>
      </w:pPr>
    </w:lvl>
    <w:lvl w:ilvl="2" w:tplc="0405001B">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3">
    <w:nsid w:val="01350887"/>
    <w:multiLevelType w:val="hybridMultilevel"/>
    <w:tmpl w:val="9C260058"/>
    <w:lvl w:ilvl="0" w:tplc="6CAC75E6">
      <w:start w:val="1"/>
      <w:numFmt w:val="decimal"/>
      <w:lvlText w:val="EI.%1."/>
      <w:lvlJc w:val="left"/>
      <w:pPr>
        <w:ind w:left="2340" w:hanging="360"/>
      </w:pPr>
      <w:rPr>
        <w:rFonts w:hint="default"/>
      </w:rPr>
    </w:lvl>
    <w:lvl w:ilvl="1" w:tplc="04050019" w:tentative="1">
      <w:start w:val="1"/>
      <w:numFmt w:val="lowerLetter"/>
      <w:lvlText w:val="%2."/>
      <w:lvlJc w:val="left"/>
      <w:pPr>
        <w:ind w:left="3060" w:hanging="360"/>
      </w:pPr>
    </w:lvl>
    <w:lvl w:ilvl="2" w:tplc="0405001B">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4">
    <w:nsid w:val="03231648"/>
    <w:multiLevelType w:val="multilevel"/>
    <w:tmpl w:val="44F26528"/>
    <w:lvl w:ilvl="0">
      <w:start w:val="1"/>
      <w:numFmt w:val="decimal"/>
      <w:lvlText w:val="H.%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AA25C0"/>
    <w:multiLevelType w:val="hybridMultilevel"/>
    <w:tmpl w:val="6F9073F4"/>
    <w:lvl w:ilvl="0" w:tplc="5CEAE54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04F1487B"/>
    <w:multiLevelType w:val="multilevel"/>
    <w:tmpl w:val="565A3552"/>
    <w:lvl w:ilvl="0">
      <w:start w:val="1"/>
      <w:numFmt w:val="lowerLetter"/>
      <w:lvlText w:val="C%1."/>
      <w:lvlJc w:val="left"/>
      <w:pPr>
        <w:ind w:left="720" w:hanging="360"/>
      </w:pPr>
      <w:rPr>
        <w:rFonts w:hint="default"/>
      </w:rPr>
    </w:lvl>
    <w:lvl w:ilvl="1">
      <w:start w:val="1"/>
      <w:numFmt w:val="decimal"/>
      <w:lvlText w:val="D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610342B"/>
    <w:multiLevelType w:val="hybridMultilevel"/>
    <w:tmpl w:val="0F5CB990"/>
    <w:lvl w:ilvl="0" w:tplc="CB5E4C90">
      <w:start w:val="1"/>
      <w:numFmt w:val="ordinal"/>
      <w:lvlText w:val="PII.%1"/>
      <w:lvlJc w:val="right"/>
      <w:pPr>
        <w:ind w:left="720" w:hanging="360"/>
      </w:pPr>
      <w:rPr>
        <w:rFonts w:hint="default"/>
      </w:rPr>
    </w:lvl>
    <w:lvl w:ilvl="1" w:tplc="04050019">
      <w:start w:val="1"/>
      <w:numFmt w:val="lowerLetter"/>
      <w:lvlText w:val="%2."/>
      <w:lvlJc w:val="left"/>
      <w:pPr>
        <w:ind w:left="1440" w:hanging="360"/>
      </w:pPr>
    </w:lvl>
    <w:lvl w:ilvl="2" w:tplc="1A58EE36">
      <w:start w:val="1"/>
      <w:numFmt w:val="ordinal"/>
      <w:lvlText w:val="PV.%3"/>
      <w:lvlJc w:val="right"/>
      <w:pPr>
        <w:ind w:left="180"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6D302BC"/>
    <w:multiLevelType w:val="hybridMultilevel"/>
    <w:tmpl w:val="E53850CA"/>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7E10527"/>
    <w:multiLevelType w:val="multilevel"/>
    <w:tmpl w:val="6616AF84"/>
    <w:lvl w:ilvl="0">
      <w:start w:val="1"/>
      <w:numFmt w:val="lowerLetter"/>
      <w:lvlText w:val="F%1."/>
      <w:lvlJc w:val="left"/>
      <w:pPr>
        <w:ind w:left="720" w:hanging="360"/>
      </w:pPr>
      <w:rPr>
        <w:rFonts w:hint="default"/>
      </w:rPr>
    </w:lvl>
    <w:lvl w:ilvl="1">
      <w:start w:val="1"/>
      <w:numFmt w:val="decimal"/>
      <w:lvlText w:val="F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845773E"/>
    <w:multiLevelType w:val="multilevel"/>
    <w:tmpl w:val="D312D438"/>
    <w:lvl w:ilvl="0">
      <w:start w:val="1"/>
      <w:numFmt w:val="lowerLetter"/>
      <w:lvlText w:val="F%1."/>
      <w:lvlJc w:val="left"/>
      <w:pPr>
        <w:ind w:left="644" w:hanging="360"/>
      </w:pPr>
      <w:rPr>
        <w:rFonts w:hint="default"/>
      </w:rPr>
    </w:lvl>
    <w:lvl w:ilvl="1">
      <w:start w:val="1"/>
      <w:numFmt w:val="decimal"/>
      <w:lvlText w:val="Fd.%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1">
    <w:nsid w:val="09B34FB5"/>
    <w:multiLevelType w:val="hybridMultilevel"/>
    <w:tmpl w:val="E7F2CC12"/>
    <w:lvl w:ilvl="0" w:tplc="CB5E4C90">
      <w:start w:val="1"/>
      <w:numFmt w:val="ordinal"/>
      <w:lvlText w:val="PII.%1"/>
      <w:lvlJc w:val="right"/>
      <w:pPr>
        <w:ind w:left="720" w:hanging="360"/>
      </w:pPr>
      <w:rPr>
        <w:rFonts w:hint="default"/>
      </w:rPr>
    </w:lvl>
    <w:lvl w:ilvl="1" w:tplc="04050019">
      <w:start w:val="1"/>
      <w:numFmt w:val="lowerLetter"/>
      <w:lvlText w:val="%2."/>
      <w:lvlJc w:val="left"/>
      <w:pPr>
        <w:ind w:left="1440" w:hanging="360"/>
      </w:pPr>
    </w:lvl>
    <w:lvl w:ilvl="2" w:tplc="90547F4C">
      <w:start w:val="1"/>
      <w:numFmt w:val="ordinal"/>
      <w:lvlText w:val="PI.%3"/>
      <w:lvlJc w:val="right"/>
      <w:pPr>
        <w:tabs>
          <w:tab w:val="num" w:pos="340"/>
        </w:tabs>
        <w:ind w:left="180"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BA7458F"/>
    <w:multiLevelType w:val="multilevel"/>
    <w:tmpl w:val="69FA04B0"/>
    <w:lvl w:ilvl="0">
      <w:start w:val="1"/>
      <w:numFmt w:val="lowerLetter"/>
      <w:lvlText w:val="%1."/>
      <w:lvlJc w:val="left"/>
      <w:pPr>
        <w:ind w:left="720" w:hanging="360"/>
      </w:pPr>
      <w:rPr>
        <w:rFonts w:hint="default"/>
      </w:rPr>
    </w:lvl>
    <w:lvl w:ilvl="1">
      <w:start w:val="1"/>
      <w:numFmt w:val="ordinal"/>
      <w:lvlText w:val="Ag.%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D117EBC"/>
    <w:multiLevelType w:val="hybridMultilevel"/>
    <w:tmpl w:val="83FCF7E4"/>
    <w:lvl w:ilvl="0" w:tplc="7FCAF1F8">
      <w:start w:val="1"/>
      <w:numFmt w:val="bullet"/>
      <w:lvlText w:val=""/>
      <w:lvlJc w:val="left"/>
      <w:pPr>
        <w:tabs>
          <w:tab w:val="num" w:pos="720"/>
        </w:tabs>
        <w:ind w:left="720" w:hanging="360"/>
      </w:pPr>
      <w:rPr>
        <w:rFonts w:ascii="Wingdings" w:hAnsi="Wingdings" w:hint="default"/>
      </w:rPr>
    </w:lvl>
    <w:lvl w:ilvl="1" w:tplc="5B7C0BB2">
      <w:start w:val="1"/>
      <w:numFmt w:val="decimal"/>
      <w:lvlText w:val="%2."/>
      <w:lvlJc w:val="left"/>
      <w:pPr>
        <w:tabs>
          <w:tab w:val="num" w:pos="1440"/>
        </w:tabs>
        <w:ind w:left="1440" w:hanging="360"/>
      </w:pPr>
    </w:lvl>
    <w:lvl w:ilvl="2" w:tplc="1B1A0262" w:tentative="1">
      <w:start w:val="1"/>
      <w:numFmt w:val="bullet"/>
      <w:lvlText w:val=""/>
      <w:lvlJc w:val="left"/>
      <w:pPr>
        <w:tabs>
          <w:tab w:val="num" w:pos="2160"/>
        </w:tabs>
        <w:ind w:left="2160" w:hanging="360"/>
      </w:pPr>
      <w:rPr>
        <w:rFonts w:ascii="Wingdings" w:hAnsi="Wingdings" w:hint="default"/>
      </w:rPr>
    </w:lvl>
    <w:lvl w:ilvl="3" w:tplc="E2986B6C" w:tentative="1">
      <w:start w:val="1"/>
      <w:numFmt w:val="bullet"/>
      <w:lvlText w:val=""/>
      <w:lvlJc w:val="left"/>
      <w:pPr>
        <w:tabs>
          <w:tab w:val="num" w:pos="2880"/>
        </w:tabs>
        <w:ind w:left="2880" w:hanging="360"/>
      </w:pPr>
      <w:rPr>
        <w:rFonts w:ascii="Wingdings" w:hAnsi="Wingdings" w:hint="default"/>
      </w:rPr>
    </w:lvl>
    <w:lvl w:ilvl="4" w:tplc="ADBEBD94" w:tentative="1">
      <w:start w:val="1"/>
      <w:numFmt w:val="bullet"/>
      <w:lvlText w:val=""/>
      <w:lvlJc w:val="left"/>
      <w:pPr>
        <w:tabs>
          <w:tab w:val="num" w:pos="3600"/>
        </w:tabs>
        <w:ind w:left="3600" w:hanging="360"/>
      </w:pPr>
      <w:rPr>
        <w:rFonts w:ascii="Wingdings" w:hAnsi="Wingdings" w:hint="default"/>
      </w:rPr>
    </w:lvl>
    <w:lvl w:ilvl="5" w:tplc="825C6662" w:tentative="1">
      <w:start w:val="1"/>
      <w:numFmt w:val="bullet"/>
      <w:lvlText w:val=""/>
      <w:lvlJc w:val="left"/>
      <w:pPr>
        <w:tabs>
          <w:tab w:val="num" w:pos="4320"/>
        </w:tabs>
        <w:ind w:left="4320" w:hanging="360"/>
      </w:pPr>
      <w:rPr>
        <w:rFonts w:ascii="Wingdings" w:hAnsi="Wingdings" w:hint="default"/>
      </w:rPr>
    </w:lvl>
    <w:lvl w:ilvl="6" w:tplc="5C0A7FC2" w:tentative="1">
      <w:start w:val="1"/>
      <w:numFmt w:val="bullet"/>
      <w:lvlText w:val=""/>
      <w:lvlJc w:val="left"/>
      <w:pPr>
        <w:tabs>
          <w:tab w:val="num" w:pos="5040"/>
        </w:tabs>
        <w:ind w:left="5040" w:hanging="360"/>
      </w:pPr>
      <w:rPr>
        <w:rFonts w:ascii="Wingdings" w:hAnsi="Wingdings" w:hint="default"/>
      </w:rPr>
    </w:lvl>
    <w:lvl w:ilvl="7" w:tplc="9818375E" w:tentative="1">
      <w:start w:val="1"/>
      <w:numFmt w:val="bullet"/>
      <w:lvlText w:val=""/>
      <w:lvlJc w:val="left"/>
      <w:pPr>
        <w:tabs>
          <w:tab w:val="num" w:pos="5760"/>
        </w:tabs>
        <w:ind w:left="5760" w:hanging="360"/>
      </w:pPr>
      <w:rPr>
        <w:rFonts w:ascii="Wingdings" w:hAnsi="Wingdings" w:hint="default"/>
      </w:rPr>
    </w:lvl>
    <w:lvl w:ilvl="8" w:tplc="5E38046E" w:tentative="1">
      <w:start w:val="1"/>
      <w:numFmt w:val="bullet"/>
      <w:lvlText w:val=""/>
      <w:lvlJc w:val="left"/>
      <w:pPr>
        <w:tabs>
          <w:tab w:val="num" w:pos="6480"/>
        </w:tabs>
        <w:ind w:left="6480" w:hanging="360"/>
      </w:pPr>
      <w:rPr>
        <w:rFonts w:ascii="Wingdings" w:hAnsi="Wingdings" w:hint="default"/>
      </w:rPr>
    </w:lvl>
  </w:abstractNum>
  <w:abstractNum w:abstractNumId="14">
    <w:nsid w:val="0D6B014A"/>
    <w:multiLevelType w:val="hybridMultilevel"/>
    <w:tmpl w:val="45F4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03395D"/>
    <w:multiLevelType w:val="multilevel"/>
    <w:tmpl w:val="2284764C"/>
    <w:lvl w:ilvl="0">
      <w:start w:val="1"/>
      <w:numFmt w:val="decimal"/>
      <w:pStyle w:val="FigureHeading"/>
      <w:lvlText w:val="Obrázek %1:"/>
      <w:lvlJc w:val="left"/>
      <w:pPr>
        <w:tabs>
          <w:tab w:val="num" w:pos="2367"/>
        </w:tabs>
        <w:ind w:left="1272" w:hanging="705"/>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16">
    <w:nsid w:val="0EB02D67"/>
    <w:multiLevelType w:val="hybridMultilevel"/>
    <w:tmpl w:val="E4F897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0F2D63F5"/>
    <w:multiLevelType w:val="multilevel"/>
    <w:tmpl w:val="10E80F94"/>
    <w:lvl w:ilvl="0">
      <w:start w:val="1"/>
      <w:numFmt w:val="lowerLetter"/>
      <w:lvlText w:val="F%1."/>
      <w:lvlJc w:val="left"/>
      <w:pPr>
        <w:ind w:left="644" w:hanging="360"/>
      </w:pPr>
      <w:rPr>
        <w:rFonts w:hint="default"/>
      </w:rPr>
    </w:lvl>
    <w:lvl w:ilvl="1">
      <w:start w:val="1"/>
      <w:numFmt w:val="decimal"/>
      <w:lvlText w:val="Fc.%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8">
    <w:nsid w:val="12916990"/>
    <w:multiLevelType w:val="multilevel"/>
    <w:tmpl w:val="B1AEFB7A"/>
    <w:lvl w:ilvl="0">
      <w:start w:val="1"/>
      <w:numFmt w:val="lowerLetter"/>
      <w:lvlText w:val="E%1."/>
      <w:lvlJc w:val="left"/>
      <w:pPr>
        <w:ind w:left="720" w:hanging="360"/>
      </w:pPr>
      <w:rPr>
        <w:rFonts w:hint="default"/>
      </w:rPr>
    </w:lvl>
    <w:lvl w:ilvl="1">
      <w:start w:val="1"/>
      <w:numFmt w:val="decimal"/>
      <w:lvlText w:val="E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14733108"/>
    <w:multiLevelType w:val="hybridMultilevel"/>
    <w:tmpl w:val="670CC986"/>
    <w:lvl w:ilvl="0" w:tplc="DC4AC43A">
      <w:start w:val="1"/>
      <w:numFmt w:val="ordinal"/>
      <w:lvlText w:val="PII.%1"/>
      <w:lvlJc w:val="right"/>
      <w:pPr>
        <w:ind w:left="2160" w:hanging="18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4D305F6"/>
    <w:multiLevelType w:val="multilevel"/>
    <w:tmpl w:val="3800C1A4"/>
    <w:lvl w:ilvl="0">
      <w:start w:val="1"/>
      <w:numFmt w:val="lowerLetter"/>
      <w:lvlText w:val="G%1."/>
      <w:lvlJc w:val="left"/>
      <w:pPr>
        <w:ind w:left="644" w:hanging="360"/>
      </w:pPr>
      <w:rPr>
        <w:rFonts w:hint="default"/>
      </w:rPr>
    </w:lvl>
    <w:lvl w:ilvl="1">
      <w:start w:val="1"/>
      <w:numFmt w:val="decimal"/>
      <w:lvlText w:val="Gb.%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1">
    <w:nsid w:val="190E5E75"/>
    <w:multiLevelType w:val="multilevel"/>
    <w:tmpl w:val="9F9E1E24"/>
    <w:lvl w:ilvl="0">
      <w:start w:val="1"/>
      <w:numFmt w:val="lowerLetter"/>
      <w:lvlText w:val="%1."/>
      <w:lvlJc w:val="left"/>
      <w:pPr>
        <w:ind w:left="720" w:hanging="360"/>
      </w:pPr>
      <w:rPr>
        <w:rFonts w:hint="default"/>
      </w:rPr>
    </w:lvl>
    <w:lvl w:ilvl="1">
      <w:start w:val="1"/>
      <w:numFmt w:val="ordinal"/>
      <w:lvlText w:val="Ab.%2"/>
      <w:lvlJc w:val="right"/>
      <w:pPr>
        <w:ind w:left="1495"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191D176A"/>
    <w:multiLevelType w:val="multilevel"/>
    <w:tmpl w:val="002E3436"/>
    <w:lvl w:ilvl="0">
      <w:start w:val="1"/>
      <w:numFmt w:val="lowerLetter"/>
      <w:lvlText w:val="%1."/>
      <w:lvlJc w:val="left"/>
      <w:pPr>
        <w:ind w:left="720" w:hanging="360"/>
      </w:pPr>
      <w:rPr>
        <w:rFonts w:hint="default"/>
      </w:rPr>
    </w:lvl>
    <w:lvl w:ilvl="1">
      <w:start w:val="1"/>
      <w:numFmt w:val="ordinal"/>
      <w:lvlText w:val="Ac.%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1A833E83"/>
    <w:multiLevelType w:val="hybridMultilevel"/>
    <w:tmpl w:val="E4A896E6"/>
    <w:lvl w:ilvl="0" w:tplc="09AA1CE2">
      <w:start w:val="1"/>
      <w:numFmt w:val="upperLetter"/>
      <w:lvlText w:val="%1)"/>
      <w:lvlJc w:val="left"/>
      <w:pPr>
        <w:ind w:left="720" w:hanging="360"/>
      </w:pPr>
      <w:rPr>
        <w:rFonts w:hint="default"/>
      </w:rPr>
    </w:lvl>
    <w:lvl w:ilvl="1" w:tplc="04050019">
      <w:start w:val="1"/>
      <w:numFmt w:val="lowerLetter"/>
      <w:lvlText w:val="%2."/>
      <w:lvlJc w:val="left"/>
      <w:pPr>
        <w:ind w:left="1494" w:hanging="360"/>
      </w:pPr>
    </w:lvl>
    <w:lvl w:ilvl="2" w:tplc="04050001">
      <w:start w:val="1"/>
      <w:numFmt w:val="bullet"/>
      <w:lvlText w:val=""/>
      <w:lvlJc w:val="left"/>
      <w:pPr>
        <w:ind w:left="2307" w:hanging="180"/>
      </w:pPr>
      <w:rPr>
        <w:rFonts w:ascii="Symbol" w:hAnsi="Symbol" w:hint="default"/>
      </w:rPr>
    </w:lvl>
    <w:lvl w:ilvl="3" w:tplc="04050003">
      <w:start w:val="1"/>
      <w:numFmt w:val="bullet"/>
      <w:lvlText w:val="o"/>
      <w:lvlJc w:val="left"/>
      <w:pPr>
        <w:ind w:left="2880" w:hanging="360"/>
      </w:pPr>
      <w:rPr>
        <w:rFonts w:ascii="Courier New" w:hAnsi="Courier New" w:cs="Courier New"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1B9B2EED"/>
    <w:multiLevelType w:val="multilevel"/>
    <w:tmpl w:val="7BC82B66"/>
    <w:lvl w:ilvl="0">
      <w:start w:val="1"/>
      <w:numFmt w:val="lowerLetter"/>
      <w:lvlText w:val="C%1."/>
      <w:lvlJc w:val="left"/>
      <w:pPr>
        <w:ind w:left="720" w:hanging="360"/>
      </w:pPr>
      <w:rPr>
        <w:rFonts w:hint="default"/>
      </w:rPr>
    </w:lvl>
    <w:lvl w:ilvl="1">
      <w:start w:val="1"/>
      <w:numFmt w:val="decimal"/>
      <w:lvlText w:val="Dc.%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1DFA3454"/>
    <w:multiLevelType w:val="hybridMultilevel"/>
    <w:tmpl w:val="5008931C"/>
    <w:lvl w:ilvl="0" w:tplc="C1E64D6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1FA836B9"/>
    <w:multiLevelType w:val="hybridMultilevel"/>
    <w:tmpl w:val="C2585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0244AE6"/>
    <w:multiLevelType w:val="multilevel"/>
    <w:tmpl w:val="1796306E"/>
    <w:lvl w:ilvl="0">
      <w:start w:val="1"/>
      <w:numFmt w:val="lowerLetter"/>
      <w:lvlText w:val="E%1."/>
      <w:lvlJc w:val="left"/>
      <w:pPr>
        <w:ind w:left="644" w:hanging="360"/>
      </w:pPr>
      <w:rPr>
        <w:rFonts w:hint="default"/>
      </w:rPr>
    </w:lvl>
    <w:lvl w:ilvl="1">
      <w:start w:val="1"/>
      <w:numFmt w:val="decimal"/>
      <w:lvlText w:val="Ed.%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8">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29">
    <w:nsid w:val="23BF156B"/>
    <w:multiLevelType w:val="multilevel"/>
    <w:tmpl w:val="A4D06782"/>
    <w:lvl w:ilvl="0">
      <w:start w:val="1"/>
      <w:numFmt w:val="lowerLetter"/>
      <w:lvlText w:val="G%1."/>
      <w:lvlJc w:val="left"/>
      <w:pPr>
        <w:ind w:left="644" w:hanging="360"/>
      </w:pPr>
      <w:rPr>
        <w:rFonts w:hint="default"/>
      </w:rPr>
    </w:lvl>
    <w:lvl w:ilvl="1">
      <w:start w:val="1"/>
      <w:numFmt w:val="decimal"/>
      <w:lvlText w:val="Ge.%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0">
    <w:nsid w:val="246C76BD"/>
    <w:multiLevelType w:val="hybridMultilevel"/>
    <w:tmpl w:val="1DE678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26DC0355"/>
    <w:multiLevelType w:val="hybridMultilevel"/>
    <w:tmpl w:val="FF82E4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6E271F1"/>
    <w:multiLevelType w:val="hybridMultilevel"/>
    <w:tmpl w:val="E1E25FE8"/>
    <w:lvl w:ilvl="0" w:tplc="1BEEF018">
      <w:start w:val="7"/>
      <w:numFmt w:val="decimal"/>
      <w:lvlText w:val="G.%1."/>
      <w:lvlJc w:val="left"/>
      <w:pPr>
        <w:ind w:left="18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274D6D57"/>
    <w:multiLevelType w:val="hybridMultilevel"/>
    <w:tmpl w:val="42089F98"/>
    <w:lvl w:ilvl="0" w:tplc="04050015">
      <w:start w:val="9"/>
      <w:numFmt w:val="upperLetter"/>
      <w:lvlText w:val="%1."/>
      <w:lvlJc w:val="left"/>
      <w:pPr>
        <w:ind w:left="720" w:hanging="360"/>
      </w:pPr>
      <w:rPr>
        <w:rFonts w:hint="default"/>
      </w:rPr>
    </w:lvl>
    <w:lvl w:ilvl="1" w:tplc="04050019">
      <w:start w:val="1"/>
      <w:numFmt w:val="lowerLetter"/>
      <w:lvlText w:val="%2."/>
      <w:lvlJc w:val="left"/>
      <w:pPr>
        <w:ind w:left="360" w:hanging="360"/>
      </w:pPr>
    </w:lvl>
    <w:lvl w:ilvl="2" w:tplc="0405001B">
      <w:start w:val="1"/>
      <w:numFmt w:val="lowerRoman"/>
      <w:lvlText w:val="%3."/>
      <w:lvlJc w:val="right"/>
      <w:pPr>
        <w:ind w:left="2160" w:hanging="180"/>
      </w:pPr>
    </w:lvl>
    <w:lvl w:ilvl="3" w:tplc="6E88E9CA">
      <w:start w:val="1"/>
      <w:numFmt w:val="lowerLetter"/>
      <w:lvlText w:val="%4)"/>
      <w:lvlJc w:val="left"/>
      <w:pPr>
        <w:ind w:left="2880" w:hanging="360"/>
      </w:pPr>
      <w:rPr>
        <w:rFonts w:hint="default"/>
      </w:rPr>
    </w:lvl>
    <w:lvl w:ilvl="4" w:tplc="F3B63526">
      <w:start w:val="1"/>
      <w:numFmt w:val="decimal"/>
      <w:lvlText w:val="%5."/>
      <w:lvlJc w:val="left"/>
      <w:pPr>
        <w:ind w:left="3600" w:hanging="360"/>
      </w:pPr>
      <w:rPr>
        <w:rFonts w:hint="default"/>
      </w:rPr>
    </w:lvl>
    <w:lvl w:ilvl="5" w:tplc="28220AEA">
      <w:start w:val="3"/>
      <w:numFmt w:val="decimal"/>
      <w:lvlText w:val="%6)"/>
      <w:lvlJc w:val="left"/>
      <w:pPr>
        <w:ind w:left="4500" w:hanging="360"/>
      </w:pPr>
      <w:rPr>
        <w:rFonts w:hint="default"/>
      </w:r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28CC502F"/>
    <w:multiLevelType w:val="multilevel"/>
    <w:tmpl w:val="32A41496"/>
    <w:lvl w:ilvl="0">
      <w:start w:val="1"/>
      <w:numFmt w:val="lowerLetter"/>
      <w:lvlText w:val="G.%1."/>
      <w:lvlJc w:val="left"/>
      <w:pPr>
        <w:ind w:left="360" w:hanging="360"/>
      </w:pPr>
      <w:rPr>
        <w:rFonts w:hint="default"/>
      </w:rPr>
    </w:lvl>
    <w:lvl w:ilvl="1">
      <w:start w:val="1"/>
      <w:numFmt w:val="decimal"/>
      <w:lvlText w:val="F%1.%2."/>
      <w:lvlJc w:val="left"/>
      <w:pPr>
        <w:ind w:left="644" w:hanging="360"/>
      </w:pPr>
      <w:rPr>
        <w:rFonts w:ascii="Calibri" w:hAnsi="Calibri" w:cs="Calibri" w:hint="default"/>
        <w:color w:val="auto"/>
        <w:sz w:val="24"/>
        <w:szCs w:val="24"/>
      </w:rPr>
    </w:lvl>
    <w:lvl w:ilvl="2">
      <w:start w:val="1"/>
      <w:numFmt w:val="decimal"/>
      <w:lvlText w:val="BR.%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29AB48BA"/>
    <w:multiLevelType w:val="hybridMultilevel"/>
    <w:tmpl w:val="9B2C7E9E"/>
    <w:lvl w:ilvl="0" w:tplc="04050015">
      <w:start w:val="9"/>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6E88E9CA">
      <w:start w:val="1"/>
      <w:numFmt w:val="lowerLetter"/>
      <w:lvlText w:val="%4)"/>
      <w:lvlJc w:val="left"/>
      <w:pPr>
        <w:ind w:left="2880" w:hanging="360"/>
      </w:pPr>
      <w:rPr>
        <w:rFonts w:hint="default"/>
      </w:rPr>
    </w:lvl>
    <w:lvl w:ilvl="4" w:tplc="F3B63526">
      <w:start w:val="1"/>
      <w:numFmt w:val="decimal"/>
      <w:lvlText w:val="%5."/>
      <w:lvlJc w:val="left"/>
      <w:pPr>
        <w:ind w:left="3600" w:hanging="360"/>
      </w:pPr>
      <w:rPr>
        <w:rFonts w:hint="default"/>
      </w:rPr>
    </w:lvl>
    <w:lvl w:ilvl="5" w:tplc="28220AEA">
      <w:start w:val="3"/>
      <w:numFmt w:val="decimal"/>
      <w:lvlText w:val="%6)"/>
      <w:lvlJc w:val="left"/>
      <w:pPr>
        <w:ind w:left="4500" w:hanging="360"/>
      </w:pPr>
      <w:rPr>
        <w:rFonts w:hint="default"/>
      </w:r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2AD74013"/>
    <w:multiLevelType w:val="hybridMultilevel"/>
    <w:tmpl w:val="E1EE004C"/>
    <w:lvl w:ilvl="0" w:tplc="04050019">
      <w:start w:val="1"/>
      <w:numFmt w:val="lowerLetter"/>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7">
    <w:nsid w:val="2AE308E7"/>
    <w:multiLevelType w:val="multilevel"/>
    <w:tmpl w:val="758604AC"/>
    <w:lvl w:ilvl="0">
      <w:start w:val="1"/>
      <w:numFmt w:val="lowerLetter"/>
      <w:lvlText w:val="%1."/>
      <w:lvlJc w:val="left"/>
      <w:pPr>
        <w:ind w:left="720" w:hanging="360"/>
      </w:pPr>
      <w:rPr>
        <w:rFonts w:hint="default"/>
      </w:rPr>
    </w:lvl>
    <w:lvl w:ilvl="1">
      <w:start w:val="1"/>
      <w:numFmt w:val="ordinal"/>
      <w:lvlText w:val="Ad.%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2CE32FB5"/>
    <w:multiLevelType w:val="multilevel"/>
    <w:tmpl w:val="D5D04002"/>
    <w:lvl w:ilvl="0">
      <w:start w:val="1"/>
      <w:numFmt w:val="lowerLetter"/>
      <w:lvlText w:val="D%1."/>
      <w:lvlJc w:val="left"/>
      <w:pPr>
        <w:ind w:left="720" w:hanging="360"/>
      </w:pPr>
      <w:rPr>
        <w:rFonts w:hint="default"/>
      </w:rPr>
    </w:lvl>
    <w:lvl w:ilvl="1">
      <w:start w:val="1"/>
      <w:numFmt w:val="decimal"/>
      <w:lvlText w:val="E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D777B78"/>
    <w:multiLevelType w:val="multilevel"/>
    <w:tmpl w:val="E98417FE"/>
    <w:lvl w:ilvl="0">
      <w:start w:val="1"/>
      <w:numFmt w:val="lowerLetter"/>
      <w:lvlText w:val="F%1."/>
      <w:lvlJc w:val="left"/>
      <w:pPr>
        <w:ind w:left="644" w:hanging="360"/>
      </w:pPr>
      <w:rPr>
        <w:rFonts w:hint="default"/>
      </w:rPr>
    </w:lvl>
    <w:lvl w:ilvl="1">
      <w:start w:val="1"/>
      <w:numFmt w:val="decimal"/>
      <w:lvlText w:val="Fb.%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0">
    <w:nsid w:val="2E38468D"/>
    <w:multiLevelType w:val="hybridMultilevel"/>
    <w:tmpl w:val="A0BCCB78"/>
    <w:lvl w:ilvl="0" w:tplc="04050019">
      <w:start w:val="1"/>
      <w:numFmt w:val="lowerLetter"/>
      <w:lvlText w:val="%1."/>
      <w:lvlJc w:val="left"/>
      <w:pPr>
        <w:ind w:left="2880" w:hanging="360"/>
      </w:pPr>
    </w:lvl>
    <w:lvl w:ilvl="1" w:tplc="04050019">
      <w:start w:val="1"/>
      <w:numFmt w:val="lowerLetter"/>
      <w:lvlText w:val="%2."/>
      <w:lvlJc w:val="left"/>
      <w:pPr>
        <w:ind w:left="3600" w:hanging="360"/>
      </w:pPr>
    </w:lvl>
    <w:lvl w:ilvl="2" w:tplc="0405001B">
      <w:start w:val="1"/>
      <w:numFmt w:val="lowerRoman"/>
      <w:lvlText w:val="%3."/>
      <w:lvlJc w:val="right"/>
      <w:pPr>
        <w:ind w:left="4320" w:hanging="180"/>
      </w:pPr>
    </w:lvl>
    <w:lvl w:ilvl="3" w:tplc="0405000F">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41">
    <w:nsid w:val="2F2B4928"/>
    <w:multiLevelType w:val="multilevel"/>
    <w:tmpl w:val="DD48919E"/>
    <w:lvl w:ilvl="0">
      <w:start w:val="1"/>
      <w:numFmt w:val="upperLetter"/>
      <w:lvlText w:val="%1."/>
      <w:lvlJc w:val="left"/>
      <w:pPr>
        <w:ind w:left="720" w:hanging="360"/>
      </w:pPr>
      <w:rPr>
        <w:rFonts w:hint="default"/>
      </w:rPr>
    </w:lvl>
    <w:lvl w:ilvl="1">
      <w:start w:val="1"/>
      <w:numFmt w:val="decimal"/>
      <w:lvlText w:val="G.%2."/>
      <w:lvlJc w:val="lef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2FA45B6D"/>
    <w:multiLevelType w:val="hybridMultilevel"/>
    <w:tmpl w:val="A382333C"/>
    <w:lvl w:ilvl="0" w:tplc="3CF853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0C6E6B"/>
    <w:multiLevelType w:val="multilevel"/>
    <w:tmpl w:val="86B2CB30"/>
    <w:lvl w:ilvl="0">
      <w:start w:val="1"/>
      <w:numFmt w:val="lowerLetter"/>
      <w:lvlText w:val="H.%1."/>
      <w:lvlJc w:val="left"/>
      <w:pPr>
        <w:ind w:left="360" w:hanging="360"/>
      </w:pPr>
      <w:rPr>
        <w:rFonts w:hint="default"/>
      </w:rPr>
    </w:lvl>
    <w:lvl w:ilvl="1">
      <w:start w:val="1"/>
      <w:numFmt w:val="decimal"/>
      <w:lvlText w:val="Ha.%2."/>
      <w:lvlJc w:val="left"/>
      <w:pPr>
        <w:ind w:left="1080" w:hanging="360"/>
      </w:pPr>
      <w:rPr>
        <w:rFonts w:hint="default"/>
        <w:color w:val="auto"/>
        <w:sz w:val="24"/>
        <w:szCs w:val="24"/>
      </w:rPr>
    </w:lvl>
    <w:lvl w:ilvl="2">
      <w:start w:val="1"/>
      <w:numFmt w:val="decimal"/>
      <w:lvlText w:val="BR.%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nsid w:val="33D10845"/>
    <w:multiLevelType w:val="hybridMultilevel"/>
    <w:tmpl w:val="D0F621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2D0EEFEC">
      <w:start w:val="1"/>
      <w:numFmt w:val="decimal"/>
      <w:lvlText w:val="D.%3."/>
      <w:lvlJc w:val="left"/>
      <w:pPr>
        <w:ind w:left="2160"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34195225"/>
    <w:multiLevelType w:val="multilevel"/>
    <w:tmpl w:val="D5D04002"/>
    <w:lvl w:ilvl="0">
      <w:start w:val="1"/>
      <w:numFmt w:val="lowerLetter"/>
      <w:lvlText w:val="D%1."/>
      <w:lvlJc w:val="left"/>
      <w:pPr>
        <w:ind w:left="720" w:hanging="360"/>
      </w:pPr>
      <w:rPr>
        <w:rFonts w:hint="default"/>
      </w:rPr>
    </w:lvl>
    <w:lvl w:ilvl="1">
      <w:start w:val="1"/>
      <w:numFmt w:val="decimal"/>
      <w:lvlText w:val="E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346E21A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4E20761"/>
    <w:multiLevelType w:val="hybridMultilevel"/>
    <w:tmpl w:val="77AA4828"/>
    <w:lvl w:ilvl="0" w:tplc="09AA1CE2">
      <w:start w:val="1"/>
      <w:numFmt w:val="upperLetter"/>
      <w:lvlText w:val="%1)"/>
      <w:lvlJc w:val="left"/>
      <w:pPr>
        <w:ind w:left="720" w:hanging="360"/>
      </w:pPr>
      <w:rPr>
        <w:rFonts w:hint="default"/>
      </w:rPr>
    </w:lvl>
    <w:lvl w:ilvl="1" w:tplc="04050019">
      <w:start w:val="1"/>
      <w:numFmt w:val="lowerLetter"/>
      <w:lvlText w:val="%2."/>
      <w:lvlJc w:val="left"/>
      <w:pPr>
        <w:ind w:left="1494" w:hanging="360"/>
      </w:pPr>
    </w:lvl>
    <w:lvl w:ilvl="2" w:tplc="0405001B">
      <w:start w:val="1"/>
      <w:numFmt w:val="lowerRoman"/>
      <w:lvlText w:val="%3."/>
      <w:lvlJc w:val="right"/>
      <w:pPr>
        <w:ind w:left="2307"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353F6D50"/>
    <w:multiLevelType w:val="multilevel"/>
    <w:tmpl w:val="A27C042C"/>
    <w:lvl w:ilvl="0">
      <w:start w:val="1"/>
      <w:numFmt w:val="lowerLetter"/>
      <w:lvlText w:val="B%1."/>
      <w:lvlJc w:val="left"/>
      <w:pPr>
        <w:ind w:left="720" w:hanging="360"/>
      </w:pPr>
      <w:rPr>
        <w:rFonts w:hint="default"/>
        <w:caps w:val="0"/>
      </w:rPr>
    </w:lvl>
    <w:lvl w:ilvl="1">
      <w:start w:val="1"/>
      <w:numFmt w:val="decimal"/>
      <w:lvlText w:val="B%1%2."/>
      <w:lvlJc w:val="lef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35681CF4"/>
    <w:multiLevelType w:val="multilevel"/>
    <w:tmpl w:val="10E80F94"/>
    <w:lvl w:ilvl="0">
      <w:start w:val="1"/>
      <w:numFmt w:val="lowerLetter"/>
      <w:lvlText w:val="F%1."/>
      <w:lvlJc w:val="left"/>
      <w:pPr>
        <w:ind w:left="644" w:hanging="360"/>
      </w:pPr>
      <w:rPr>
        <w:rFonts w:hint="default"/>
      </w:rPr>
    </w:lvl>
    <w:lvl w:ilvl="1">
      <w:start w:val="1"/>
      <w:numFmt w:val="decimal"/>
      <w:lvlText w:val="Fc.%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50">
    <w:nsid w:val="35D57313"/>
    <w:multiLevelType w:val="hybridMultilevel"/>
    <w:tmpl w:val="5584150A"/>
    <w:lvl w:ilvl="0" w:tplc="CB5E4C90">
      <w:start w:val="1"/>
      <w:numFmt w:val="ordinal"/>
      <w:lvlText w:val="PII.%1"/>
      <w:lvlJc w:val="right"/>
      <w:pPr>
        <w:ind w:left="720" w:hanging="360"/>
      </w:pPr>
      <w:rPr>
        <w:rFonts w:hint="default"/>
      </w:rPr>
    </w:lvl>
    <w:lvl w:ilvl="1" w:tplc="04050019">
      <w:start w:val="1"/>
      <w:numFmt w:val="lowerLetter"/>
      <w:lvlText w:val="%2."/>
      <w:lvlJc w:val="left"/>
      <w:pPr>
        <w:ind w:left="1440" w:hanging="360"/>
      </w:pPr>
    </w:lvl>
    <w:lvl w:ilvl="2" w:tplc="DC4AC43A">
      <w:start w:val="1"/>
      <w:numFmt w:val="ordinal"/>
      <w:lvlText w:val="PII.%3"/>
      <w:lvlJc w:val="right"/>
      <w:pPr>
        <w:ind w:left="2160"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36F649F5"/>
    <w:multiLevelType w:val="multilevel"/>
    <w:tmpl w:val="262E0F8A"/>
    <w:lvl w:ilvl="0">
      <w:start w:val="1"/>
      <w:numFmt w:val="lowerLetter"/>
      <w:lvlText w:val="G%1."/>
      <w:lvlJc w:val="left"/>
      <w:pPr>
        <w:ind w:left="644" w:hanging="360"/>
      </w:pPr>
      <w:rPr>
        <w:rFonts w:hint="default"/>
      </w:rPr>
    </w:lvl>
    <w:lvl w:ilvl="1">
      <w:start w:val="1"/>
      <w:numFmt w:val="decimal"/>
      <w:lvlText w:val="Gf.%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52">
    <w:nsid w:val="37864BF9"/>
    <w:multiLevelType w:val="hybridMultilevel"/>
    <w:tmpl w:val="7E563E88"/>
    <w:lvl w:ilvl="0" w:tplc="A9F844D8">
      <w:start w:val="1"/>
      <w:numFmt w:val="decimal"/>
      <w:lvlText w:val="F.%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3">
    <w:nsid w:val="378C4013"/>
    <w:multiLevelType w:val="multilevel"/>
    <w:tmpl w:val="CD56F532"/>
    <w:lvl w:ilvl="0">
      <w:start w:val="1"/>
      <w:numFmt w:val="lowerLetter"/>
      <w:lvlText w:val="%1."/>
      <w:lvlJc w:val="left"/>
      <w:pPr>
        <w:ind w:left="720" w:hanging="360"/>
      </w:pPr>
      <w:rPr>
        <w:rFonts w:hint="default"/>
      </w:rPr>
    </w:lvl>
    <w:lvl w:ilvl="1">
      <w:start w:val="1"/>
      <w:numFmt w:val="ordinal"/>
      <w:lvlText w:val="Ah.%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3A1F683F"/>
    <w:multiLevelType w:val="multilevel"/>
    <w:tmpl w:val="36A85966"/>
    <w:lvl w:ilvl="0">
      <w:start w:val="1"/>
      <w:numFmt w:val="lowerLetter"/>
      <w:lvlText w:val="D%1."/>
      <w:lvlJc w:val="left"/>
      <w:pPr>
        <w:ind w:left="720" w:hanging="360"/>
      </w:pPr>
      <w:rPr>
        <w:rFonts w:hint="default"/>
      </w:rPr>
    </w:lvl>
    <w:lvl w:ilvl="1">
      <w:start w:val="1"/>
      <w:numFmt w:val="decimal"/>
      <w:lvlText w:val="Ec.%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3BF318D9"/>
    <w:multiLevelType w:val="hybridMultilevel"/>
    <w:tmpl w:val="B072A64C"/>
    <w:lvl w:ilvl="0" w:tplc="58AAF7DC">
      <w:start w:val="1"/>
      <w:numFmt w:val="decimal"/>
      <w:lvlText w:val="Gi.%1."/>
      <w:lvlJc w:val="left"/>
      <w:pPr>
        <w:ind w:left="568"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3CE60691"/>
    <w:multiLevelType w:val="hybridMultilevel"/>
    <w:tmpl w:val="36A82706"/>
    <w:lvl w:ilvl="0" w:tplc="948069A0">
      <w:start w:val="1"/>
      <w:numFmt w:val="bullet"/>
      <w:pStyle w:val="BulletText"/>
      <w:lvlText w:val=""/>
      <w:lvlJc w:val="left"/>
      <w:pPr>
        <w:tabs>
          <w:tab w:val="num" w:pos="927"/>
        </w:tabs>
        <w:ind w:left="927" w:hanging="360"/>
      </w:pPr>
      <w:rPr>
        <w:rFonts w:ascii="Wingdings 2" w:hAnsi="Wingdings 2" w:hint="default"/>
        <w:sz w:val="14"/>
        <w:szCs w:val="14"/>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57">
    <w:nsid w:val="3D0B7FBC"/>
    <w:multiLevelType w:val="hybridMultilevel"/>
    <w:tmpl w:val="E1EE004C"/>
    <w:lvl w:ilvl="0" w:tplc="04050019">
      <w:start w:val="1"/>
      <w:numFmt w:val="lowerLetter"/>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58">
    <w:nsid w:val="3DE96750"/>
    <w:multiLevelType w:val="hybridMultilevel"/>
    <w:tmpl w:val="AC0A9116"/>
    <w:lvl w:ilvl="0" w:tplc="04050005">
      <w:start w:val="1"/>
      <w:numFmt w:val="bullet"/>
      <w:lvlText w:val=""/>
      <w:lvlJc w:val="left"/>
      <w:pPr>
        <w:ind w:left="770" w:hanging="360"/>
      </w:pPr>
      <w:rPr>
        <w:rFonts w:ascii="Wingdings" w:hAnsi="Wingdings" w:hint="default"/>
      </w:rPr>
    </w:lvl>
    <w:lvl w:ilvl="1" w:tplc="04050003">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9">
    <w:nsid w:val="3E0039C3"/>
    <w:multiLevelType w:val="multilevel"/>
    <w:tmpl w:val="0010DADC"/>
    <w:lvl w:ilvl="0">
      <w:start w:val="1"/>
      <w:numFmt w:val="lowerLetter"/>
      <w:lvlText w:val="G%1."/>
      <w:lvlJc w:val="left"/>
      <w:pPr>
        <w:ind w:left="644" w:hanging="360"/>
      </w:pPr>
      <w:rPr>
        <w:rFonts w:hint="default"/>
        <w:sz w:val="24"/>
      </w:rPr>
    </w:lvl>
    <w:lvl w:ilvl="1">
      <w:start w:val="1"/>
      <w:numFmt w:val="decimal"/>
      <w:lvlText w:val="Ga.%2."/>
      <w:lvlJc w:val="left"/>
      <w:pPr>
        <w:ind w:left="1070" w:hanging="360"/>
      </w:pPr>
      <w:rPr>
        <w:rFonts w:asciiTheme="minorHAnsi" w:hAnsiTheme="minorHAnsi" w:cstheme="minorHAnsi" w:hint="default"/>
        <w:color w:val="auto"/>
        <w:sz w:val="24"/>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60">
    <w:nsid w:val="3E5E536F"/>
    <w:multiLevelType w:val="multilevel"/>
    <w:tmpl w:val="8A381D70"/>
    <w:lvl w:ilvl="0">
      <w:start w:val="1"/>
      <w:numFmt w:val="bullet"/>
      <w:lvlText w:val=""/>
      <w:lvlJc w:val="left"/>
      <w:pPr>
        <w:tabs>
          <w:tab w:val="num" w:pos="360"/>
        </w:tabs>
        <w:ind w:left="360" w:hanging="360"/>
      </w:pPr>
      <w:rPr>
        <w:rFonts w:ascii="Symbol" w:hAnsi="Symbol" w:hint="default"/>
      </w:rPr>
    </w:lvl>
    <w:lvl w:ilvl="1">
      <w:start w:val="1"/>
      <w:numFmt w:val="ordinal"/>
      <w:lvlText w:val="Ak.%2"/>
      <w:lvlJc w:val="right"/>
      <w:pPr>
        <w:tabs>
          <w:tab w:val="num" w:pos="792"/>
        </w:tabs>
        <w:ind w:left="792" w:hanging="432"/>
      </w:pPr>
      <w:rPr>
        <w:rFonts w:hint="default"/>
      </w:rPr>
    </w:lvl>
    <w:lvl w:ilvl="2">
      <w:start w:val="1"/>
      <w:numFmt w:val="bullet"/>
      <w:lvlText w:val=""/>
      <w:lvlJc w:val="left"/>
      <w:pPr>
        <w:tabs>
          <w:tab w:val="num" w:pos="1224"/>
        </w:tabs>
        <w:ind w:left="1224" w:hanging="504"/>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nsid w:val="40EC61A2"/>
    <w:multiLevelType w:val="hybridMultilevel"/>
    <w:tmpl w:val="32706D7A"/>
    <w:lvl w:ilvl="0" w:tplc="0BDEBEC6">
      <w:start w:val="1"/>
      <w:numFmt w:val="decimal"/>
      <w:lvlText w:val="A.%1."/>
      <w:lvlJc w:val="left"/>
      <w:pPr>
        <w:ind w:left="720" w:hanging="360"/>
      </w:pPr>
      <w:rPr>
        <w:rFonts w:hint="default"/>
      </w:rPr>
    </w:lvl>
    <w:lvl w:ilvl="1" w:tplc="04050019">
      <w:start w:val="1"/>
      <w:numFmt w:val="lowerLetter"/>
      <w:lvlText w:val="%2."/>
      <w:lvlJc w:val="left"/>
      <w:pPr>
        <w:ind w:left="1440" w:hanging="360"/>
      </w:pPr>
    </w:lvl>
    <w:lvl w:ilvl="2" w:tplc="B51C90B2">
      <w:numFmt w:val="bullet"/>
      <w:lvlText w:val=""/>
      <w:lvlJc w:val="left"/>
      <w:pPr>
        <w:ind w:left="2340" w:hanging="360"/>
      </w:pPr>
      <w:rPr>
        <w:rFonts w:ascii="Arial" w:eastAsia="Times New Roman" w:hAnsi="Arial" w:cs="Aria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41D431B5"/>
    <w:multiLevelType w:val="hybridMultilevel"/>
    <w:tmpl w:val="2FE260A8"/>
    <w:lvl w:ilvl="0" w:tplc="4B962504">
      <w:start w:val="1"/>
      <w:numFmt w:val="decimal"/>
      <w:lvlText w:val="Gh.%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433E69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44DB4552"/>
    <w:multiLevelType w:val="multilevel"/>
    <w:tmpl w:val="CD9464BA"/>
    <w:lvl w:ilvl="0">
      <w:start w:val="1"/>
      <w:numFmt w:val="decimal"/>
      <w:lvlText w:val="I.%1."/>
      <w:lvlJc w:val="left"/>
      <w:pPr>
        <w:ind w:left="360" w:hanging="360"/>
      </w:pPr>
      <w:rPr>
        <w:rFonts w:hint="default"/>
      </w:rPr>
    </w:lvl>
    <w:lvl w:ilvl="1">
      <w:start w:val="1"/>
      <w:numFmt w:val="lowerLetter"/>
      <w:lvlText w:val="I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45905912"/>
    <w:multiLevelType w:val="multilevel"/>
    <w:tmpl w:val="D20C8F5E"/>
    <w:lvl w:ilvl="0">
      <w:start w:val="1"/>
      <w:numFmt w:val="lowerLetter"/>
      <w:lvlText w:val="H.%1."/>
      <w:lvlJc w:val="left"/>
      <w:pPr>
        <w:ind w:left="360" w:hanging="360"/>
      </w:pPr>
      <w:rPr>
        <w:rFonts w:hint="default"/>
      </w:rPr>
    </w:lvl>
    <w:lvl w:ilvl="1">
      <w:start w:val="1"/>
      <w:numFmt w:val="decimal"/>
      <w:lvlText w:val="G%1.%2."/>
      <w:lvlJc w:val="left"/>
      <w:pPr>
        <w:ind w:left="1080" w:hanging="360"/>
      </w:pPr>
      <w:rPr>
        <w:rFonts w:asciiTheme="minorHAnsi" w:hAnsiTheme="minorHAnsi" w:cstheme="minorHAnsi" w:hint="default"/>
        <w:color w:val="auto"/>
        <w:sz w:val="24"/>
        <w:szCs w:val="24"/>
      </w:rPr>
    </w:lvl>
    <w:lvl w:ilvl="2">
      <w:start w:val="1"/>
      <w:numFmt w:val="decimal"/>
      <w:lvlText w:val="BR.%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6">
    <w:nsid w:val="45C83A82"/>
    <w:multiLevelType w:val="multilevel"/>
    <w:tmpl w:val="B18AAA9C"/>
    <w:lvl w:ilvl="0">
      <w:start w:val="3"/>
      <w:numFmt w:val="upperLetter"/>
      <w:lvlText w:val="%1."/>
      <w:lvlJc w:val="left"/>
      <w:pPr>
        <w:ind w:left="720" w:hanging="360"/>
      </w:pPr>
      <w:rPr>
        <w:rFonts w:hint="default"/>
      </w:rPr>
    </w:lvl>
    <w:lvl w:ilvl="1">
      <w:start w:val="1"/>
      <w:numFmt w:val="decimal"/>
      <w:lvlText w:val="%1%2."/>
      <w:lvlJc w:val="left"/>
      <w:pPr>
        <w:ind w:left="1440" w:hanging="360"/>
      </w:pPr>
      <w:rPr>
        <w:rFonts w:hint="default"/>
        <w:color w:val="auto"/>
      </w:rPr>
    </w:lvl>
    <w:lvl w:ilvl="2">
      <w:start w:val="1"/>
      <w:numFmt w:val="decimal"/>
      <w:lvlText w:val="C.%3."/>
      <w:lvlJc w:val="left"/>
      <w:pPr>
        <w:ind w:left="606"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471F3A55"/>
    <w:multiLevelType w:val="multilevel"/>
    <w:tmpl w:val="28662276"/>
    <w:lvl w:ilvl="0">
      <w:start w:val="1"/>
      <w:numFmt w:val="lowerLetter"/>
      <w:lvlText w:val="G%1."/>
      <w:lvlJc w:val="left"/>
      <w:pPr>
        <w:ind w:left="644" w:hanging="360"/>
      </w:pPr>
      <w:rPr>
        <w:rFonts w:hint="default"/>
      </w:rPr>
    </w:lvl>
    <w:lvl w:ilvl="1">
      <w:start w:val="1"/>
      <w:numFmt w:val="decimal"/>
      <w:lvlText w:val="Gc.%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68">
    <w:nsid w:val="4EEB5175"/>
    <w:multiLevelType w:val="multilevel"/>
    <w:tmpl w:val="D5D04002"/>
    <w:lvl w:ilvl="0">
      <w:start w:val="1"/>
      <w:numFmt w:val="lowerLetter"/>
      <w:lvlText w:val="D%1."/>
      <w:lvlJc w:val="left"/>
      <w:pPr>
        <w:ind w:left="720" w:hanging="360"/>
      </w:pPr>
      <w:rPr>
        <w:rFonts w:hint="default"/>
      </w:rPr>
    </w:lvl>
    <w:lvl w:ilvl="1">
      <w:start w:val="1"/>
      <w:numFmt w:val="decimal"/>
      <w:lvlText w:val="E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4F7C2002"/>
    <w:multiLevelType w:val="multilevel"/>
    <w:tmpl w:val="F9107654"/>
    <w:lvl w:ilvl="0">
      <w:start w:val="1"/>
      <w:numFmt w:val="decimal"/>
      <w:pStyle w:val="TableHeading"/>
      <w:lvlText w:val="Tabulka %1:"/>
      <w:lvlJc w:val="left"/>
      <w:pPr>
        <w:tabs>
          <w:tab w:val="num" w:pos="1647"/>
        </w:tabs>
        <w:ind w:left="567" w:firstLine="0"/>
      </w:pPr>
      <w:rPr>
        <w:rFonts w:ascii="Arial" w:hAnsi="Arial" w:hint="default"/>
        <w:b/>
        <w:i w:val="0"/>
        <w:caps w:val="0"/>
        <w:strike w:val="0"/>
        <w:dstrike w:val="0"/>
        <w:vanish w:val="0"/>
        <w:sz w:val="16"/>
        <w:szCs w:val="16"/>
        <w:vertAlign w:val="baseline"/>
      </w:rPr>
    </w:lvl>
    <w:lvl w:ilvl="1">
      <w:start w:val="1"/>
      <w:numFmt w:val="decimal"/>
      <w:lvlText w:val="%1.%2."/>
      <w:lvlJc w:val="left"/>
      <w:pPr>
        <w:tabs>
          <w:tab w:val="num" w:pos="927"/>
        </w:tabs>
        <w:ind w:left="567"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nsid w:val="51E75DBE"/>
    <w:multiLevelType w:val="hybridMultilevel"/>
    <w:tmpl w:val="FD7E91B4"/>
    <w:lvl w:ilvl="0" w:tplc="4710C7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F26F75"/>
    <w:multiLevelType w:val="hybridMultilevel"/>
    <w:tmpl w:val="7AB4F090"/>
    <w:lvl w:ilvl="0" w:tplc="64FED3FA">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527D42E4"/>
    <w:multiLevelType w:val="hybridMultilevel"/>
    <w:tmpl w:val="D38AEF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3">
    <w:nsid w:val="55C35A8F"/>
    <w:multiLevelType w:val="hybridMultilevel"/>
    <w:tmpl w:val="111E1732"/>
    <w:lvl w:ilvl="0" w:tplc="04050019">
      <w:start w:val="1"/>
      <w:numFmt w:val="lowerLetter"/>
      <w:lvlText w:val="%1."/>
      <w:lvlJc w:val="left"/>
      <w:pPr>
        <w:ind w:left="1494" w:hanging="360"/>
      </w:pPr>
    </w:lvl>
    <w:lvl w:ilvl="1" w:tplc="04050019" w:tentative="1">
      <w:start w:val="1"/>
      <w:numFmt w:val="lowerLetter"/>
      <w:lvlText w:val="%2."/>
      <w:lvlJc w:val="left"/>
      <w:pPr>
        <w:ind w:left="2214" w:hanging="360"/>
      </w:pPr>
    </w:lvl>
    <w:lvl w:ilvl="2" w:tplc="0405001B">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74">
    <w:nsid w:val="59486AA9"/>
    <w:multiLevelType w:val="multilevel"/>
    <w:tmpl w:val="0882C93C"/>
    <w:lvl w:ilvl="0">
      <w:start w:val="1"/>
      <w:numFmt w:val="lowerLetter"/>
      <w:lvlText w:val="%1."/>
      <w:lvlJc w:val="left"/>
      <w:pPr>
        <w:ind w:left="720" w:hanging="360"/>
      </w:pPr>
      <w:rPr>
        <w:rFonts w:hint="default"/>
      </w:rPr>
    </w:lvl>
    <w:lvl w:ilvl="1">
      <w:start w:val="1"/>
      <w:numFmt w:val="decimal"/>
      <w:lvlText w:val="A%1.%2."/>
      <w:lvlJc w:val="lef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59DC25D1"/>
    <w:multiLevelType w:val="multilevel"/>
    <w:tmpl w:val="633C8554"/>
    <w:lvl w:ilvl="0">
      <w:start w:val="1"/>
      <w:numFmt w:val="lowerLetter"/>
      <w:lvlText w:val="C%1."/>
      <w:lvlJc w:val="left"/>
      <w:pPr>
        <w:ind w:left="720" w:hanging="360"/>
      </w:pPr>
      <w:rPr>
        <w:rFonts w:hint="default"/>
      </w:rPr>
    </w:lvl>
    <w:lvl w:ilvl="1">
      <w:start w:val="1"/>
      <w:numFmt w:val="decimal"/>
      <w:lvlText w:val="Db.%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5A3973BC"/>
    <w:multiLevelType w:val="multilevel"/>
    <w:tmpl w:val="26F885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A664A69"/>
    <w:multiLevelType w:val="hybridMultilevel"/>
    <w:tmpl w:val="BC048EF4"/>
    <w:lvl w:ilvl="0" w:tplc="CB5E4C90">
      <w:start w:val="1"/>
      <w:numFmt w:val="ordinal"/>
      <w:lvlText w:val="PII.%1"/>
      <w:lvlJc w:val="right"/>
      <w:pPr>
        <w:ind w:left="720" w:hanging="360"/>
      </w:pPr>
      <w:rPr>
        <w:rFonts w:hint="default"/>
      </w:rPr>
    </w:lvl>
    <w:lvl w:ilvl="1" w:tplc="04050019">
      <w:start w:val="1"/>
      <w:numFmt w:val="lowerLetter"/>
      <w:lvlText w:val="%2."/>
      <w:lvlJc w:val="left"/>
      <w:pPr>
        <w:ind w:left="1440" w:hanging="360"/>
      </w:pPr>
    </w:lvl>
    <w:lvl w:ilvl="2" w:tplc="40289AD0">
      <w:start w:val="1"/>
      <w:numFmt w:val="ordinal"/>
      <w:lvlText w:val="PIV.%3"/>
      <w:lvlJc w:val="right"/>
      <w:pPr>
        <w:ind w:left="180"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5B993B94"/>
    <w:multiLevelType w:val="hybridMultilevel"/>
    <w:tmpl w:val="D8084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5BFA46D2"/>
    <w:multiLevelType w:val="hybridMultilevel"/>
    <w:tmpl w:val="5D004E9E"/>
    <w:lvl w:ilvl="0" w:tplc="CB5E4C90">
      <w:start w:val="1"/>
      <w:numFmt w:val="ordinal"/>
      <w:lvlText w:val="PII.%1"/>
      <w:lvlJc w:val="right"/>
      <w:pPr>
        <w:ind w:left="720" w:hanging="360"/>
      </w:pPr>
      <w:rPr>
        <w:rFonts w:hint="default"/>
      </w:rPr>
    </w:lvl>
    <w:lvl w:ilvl="1" w:tplc="04050019">
      <w:start w:val="1"/>
      <w:numFmt w:val="lowerLetter"/>
      <w:lvlText w:val="%2."/>
      <w:lvlJc w:val="left"/>
      <w:pPr>
        <w:ind w:left="1440" w:hanging="360"/>
      </w:pPr>
    </w:lvl>
    <w:lvl w:ilvl="2" w:tplc="3B4ADE96">
      <w:start w:val="1"/>
      <w:numFmt w:val="ordinal"/>
      <w:lvlText w:val="PIII.%3"/>
      <w:lvlJc w:val="right"/>
      <w:pPr>
        <w:ind w:left="748"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5CA56022"/>
    <w:multiLevelType w:val="hybridMultilevel"/>
    <w:tmpl w:val="9F842B82"/>
    <w:lvl w:ilvl="0" w:tplc="A5D2F7CC">
      <w:start w:val="1"/>
      <w:numFmt w:val="bullet"/>
      <w:lvlText w:val=""/>
      <w:lvlJc w:val="left"/>
      <w:pPr>
        <w:tabs>
          <w:tab w:val="num" w:pos="720"/>
        </w:tabs>
        <w:ind w:left="720" w:hanging="360"/>
      </w:pPr>
      <w:rPr>
        <w:rFonts w:ascii="Wingdings" w:hAnsi="Wingdings" w:hint="default"/>
      </w:rPr>
    </w:lvl>
    <w:lvl w:ilvl="1" w:tplc="D452D474" w:tentative="1">
      <w:start w:val="1"/>
      <w:numFmt w:val="bullet"/>
      <w:lvlText w:val=""/>
      <w:lvlJc w:val="left"/>
      <w:pPr>
        <w:tabs>
          <w:tab w:val="num" w:pos="1440"/>
        </w:tabs>
        <w:ind w:left="1440" w:hanging="360"/>
      </w:pPr>
      <w:rPr>
        <w:rFonts w:ascii="Wingdings" w:hAnsi="Wingdings" w:hint="default"/>
      </w:rPr>
    </w:lvl>
    <w:lvl w:ilvl="2" w:tplc="FD7877AA" w:tentative="1">
      <w:start w:val="1"/>
      <w:numFmt w:val="bullet"/>
      <w:lvlText w:val=""/>
      <w:lvlJc w:val="left"/>
      <w:pPr>
        <w:tabs>
          <w:tab w:val="num" w:pos="2160"/>
        </w:tabs>
        <w:ind w:left="2160" w:hanging="360"/>
      </w:pPr>
      <w:rPr>
        <w:rFonts w:ascii="Wingdings" w:hAnsi="Wingdings" w:hint="default"/>
      </w:rPr>
    </w:lvl>
    <w:lvl w:ilvl="3" w:tplc="5516A68A" w:tentative="1">
      <w:start w:val="1"/>
      <w:numFmt w:val="bullet"/>
      <w:lvlText w:val=""/>
      <w:lvlJc w:val="left"/>
      <w:pPr>
        <w:tabs>
          <w:tab w:val="num" w:pos="2880"/>
        </w:tabs>
        <w:ind w:left="2880" w:hanging="360"/>
      </w:pPr>
      <w:rPr>
        <w:rFonts w:ascii="Wingdings" w:hAnsi="Wingdings" w:hint="default"/>
      </w:rPr>
    </w:lvl>
    <w:lvl w:ilvl="4" w:tplc="9126E824" w:tentative="1">
      <w:start w:val="1"/>
      <w:numFmt w:val="bullet"/>
      <w:lvlText w:val=""/>
      <w:lvlJc w:val="left"/>
      <w:pPr>
        <w:tabs>
          <w:tab w:val="num" w:pos="3600"/>
        </w:tabs>
        <w:ind w:left="3600" w:hanging="360"/>
      </w:pPr>
      <w:rPr>
        <w:rFonts w:ascii="Wingdings" w:hAnsi="Wingdings" w:hint="default"/>
      </w:rPr>
    </w:lvl>
    <w:lvl w:ilvl="5" w:tplc="72E4F15A" w:tentative="1">
      <w:start w:val="1"/>
      <w:numFmt w:val="bullet"/>
      <w:lvlText w:val=""/>
      <w:lvlJc w:val="left"/>
      <w:pPr>
        <w:tabs>
          <w:tab w:val="num" w:pos="4320"/>
        </w:tabs>
        <w:ind w:left="4320" w:hanging="360"/>
      </w:pPr>
      <w:rPr>
        <w:rFonts w:ascii="Wingdings" w:hAnsi="Wingdings" w:hint="default"/>
      </w:rPr>
    </w:lvl>
    <w:lvl w:ilvl="6" w:tplc="917E048E" w:tentative="1">
      <w:start w:val="1"/>
      <w:numFmt w:val="bullet"/>
      <w:lvlText w:val=""/>
      <w:lvlJc w:val="left"/>
      <w:pPr>
        <w:tabs>
          <w:tab w:val="num" w:pos="5040"/>
        </w:tabs>
        <w:ind w:left="5040" w:hanging="360"/>
      </w:pPr>
      <w:rPr>
        <w:rFonts w:ascii="Wingdings" w:hAnsi="Wingdings" w:hint="default"/>
      </w:rPr>
    </w:lvl>
    <w:lvl w:ilvl="7" w:tplc="1D989C5C" w:tentative="1">
      <w:start w:val="1"/>
      <w:numFmt w:val="bullet"/>
      <w:lvlText w:val=""/>
      <w:lvlJc w:val="left"/>
      <w:pPr>
        <w:tabs>
          <w:tab w:val="num" w:pos="5760"/>
        </w:tabs>
        <w:ind w:left="5760" w:hanging="360"/>
      </w:pPr>
      <w:rPr>
        <w:rFonts w:ascii="Wingdings" w:hAnsi="Wingdings" w:hint="default"/>
      </w:rPr>
    </w:lvl>
    <w:lvl w:ilvl="8" w:tplc="F07084AE" w:tentative="1">
      <w:start w:val="1"/>
      <w:numFmt w:val="bullet"/>
      <w:lvlText w:val=""/>
      <w:lvlJc w:val="left"/>
      <w:pPr>
        <w:tabs>
          <w:tab w:val="num" w:pos="6480"/>
        </w:tabs>
        <w:ind w:left="6480" w:hanging="360"/>
      </w:pPr>
      <w:rPr>
        <w:rFonts w:ascii="Wingdings" w:hAnsi="Wingdings" w:hint="default"/>
      </w:rPr>
    </w:lvl>
  </w:abstractNum>
  <w:abstractNum w:abstractNumId="81">
    <w:nsid w:val="5E03595C"/>
    <w:multiLevelType w:val="hybridMultilevel"/>
    <w:tmpl w:val="E1EE004C"/>
    <w:lvl w:ilvl="0" w:tplc="04050019">
      <w:start w:val="1"/>
      <w:numFmt w:val="lowerLetter"/>
      <w:lvlText w:val="%1."/>
      <w:lvlJc w:val="left"/>
      <w:pPr>
        <w:ind w:left="1494" w:hanging="360"/>
      </w:pPr>
    </w:lvl>
    <w:lvl w:ilvl="1" w:tplc="04050019" w:tentative="1">
      <w:start w:val="1"/>
      <w:numFmt w:val="lowerLetter"/>
      <w:lvlText w:val="%2."/>
      <w:lvlJc w:val="left"/>
      <w:pPr>
        <w:ind w:left="2214" w:hanging="360"/>
      </w:pPr>
    </w:lvl>
    <w:lvl w:ilvl="2" w:tplc="0405001B">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82">
    <w:nsid w:val="60556EB4"/>
    <w:multiLevelType w:val="multilevel"/>
    <w:tmpl w:val="BB2034BA"/>
    <w:lvl w:ilvl="0">
      <w:start w:val="7"/>
      <w:numFmt w:val="lowerLetter"/>
      <w:lvlText w:val="F%1."/>
      <w:lvlJc w:val="left"/>
      <w:pPr>
        <w:ind w:left="720" w:hanging="360"/>
      </w:pPr>
      <w:rPr>
        <w:rFonts w:hint="default"/>
      </w:rPr>
    </w:lvl>
    <w:lvl w:ilvl="1">
      <w:start w:val="1"/>
      <w:numFmt w:val="decimal"/>
      <w:lvlText w:val="Gg.%2."/>
      <w:lvlJc w:val="left"/>
      <w:pPr>
        <w:ind w:left="502" w:hanging="360"/>
      </w:pPr>
      <w:rPr>
        <w:rFonts w:hint="default"/>
        <w:color w:val="auto"/>
        <w:sz w:val="24"/>
        <w:szCs w:val="24"/>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60805F4E"/>
    <w:multiLevelType w:val="multilevel"/>
    <w:tmpl w:val="991A23B8"/>
    <w:lvl w:ilvl="0">
      <w:start w:val="1"/>
      <w:numFmt w:val="lowerLetter"/>
      <w:lvlText w:val="F%1."/>
      <w:lvlJc w:val="left"/>
      <w:pPr>
        <w:ind w:left="644" w:hanging="360"/>
      </w:pPr>
      <w:rPr>
        <w:rFonts w:hint="default"/>
      </w:rPr>
    </w:lvl>
    <w:lvl w:ilvl="1">
      <w:start w:val="1"/>
      <w:numFmt w:val="decimal"/>
      <w:lvlText w:val="Fe.%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4">
    <w:nsid w:val="60CC4073"/>
    <w:multiLevelType w:val="multilevel"/>
    <w:tmpl w:val="55AAB56E"/>
    <w:lvl w:ilvl="0">
      <w:start w:val="1"/>
      <w:numFmt w:val="decimal"/>
      <w:pStyle w:val="AppendixNo"/>
      <w:lvlText w:val="%1."/>
      <w:lvlJc w:val="left"/>
      <w:pPr>
        <w:tabs>
          <w:tab w:val="num" w:pos="495"/>
        </w:tabs>
        <w:ind w:left="495" w:hanging="495"/>
      </w:pPr>
      <w:rPr>
        <w:rFonts w:ascii="Arial" w:hAnsi="Arial" w:hint="default"/>
        <w:b/>
        <w:i w:val="0"/>
        <w:caps/>
        <w:strike w:val="0"/>
        <w:dstrike w:val="0"/>
        <w:vanish w:val="0"/>
        <w:sz w:val="24"/>
        <w:szCs w:val="24"/>
        <w:vertAlign w:val="baseline"/>
      </w:rPr>
    </w:lvl>
    <w:lvl w:ilvl="1">
      <w:start w:val="1"/>
      <w:numFmt w:val="decimal"/>
      <w:lvlText w:val="%1.%2"/>
      <w:lvlJc w:val="left"/>
      <w:pPr>
        <w:tabs>
          <w:tab w:val="num" w:pos="778"/>
        </w:tabs>
        <w:ind w:left="778" w:hanging="495"/>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85">
    <w:nsid w:val="617E7782"/>
    <w:multiLevelType w:val="hybridMultilevel"/>
    <w:tmpl w:val="2F9CDF08"/>
    <w:name w:val="WW8Num652"/>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6">
    <w:nsid w:val="61A40A2E"/>
    <w:multiLevelType w:val="multilevel"/>
    <w:tmpl w:val="C17EB574"/>
    <w:lvl w:ilvl="0">
      <w:start w:val="1"/>
      <w:numFmt w:val="lowerLetter"/>
      <w:lvlText w:val="B%1."/>
      <w:lvlJc w:val="left"/>
      <w:pPr>
        <w:ind w:left="720" w:hanging="360"/>
      </w:pPr>
      <w:rPr>
        <w:rFonts w:hint="default"/>
      </w:rPr>
    </w:lvl>
    <w:lvl w:ilvl="1">
      <w:start w:val="1"/>
      <w:numFmt w:val="decimal"/>
      <w:lvlText w:val="%1%2."/>
      <w:lvlJc w:val="lef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nsid w:val="63672541"/>
    <w:multiLevelType w:val="multilevel"/>
    <w:tmpl w:val="D5D04002"/>
    <w:lvl w:ilvl="0">
      <w:start w:val="1"/>
      <w:numFmt w:val="lowerLetter"/>
      <w:lvlText w:val="D%1."/>
      <w:lvlJc w:val="left"/>
      <w:pPr>
        <w:ind w:left="720" w:hanging="360"/>
      </w:pPr>
      <w:rPr>
        <w:rFonts w:hint="default"/>
      </w:rPr>
    </w:lvl>
    <w:lvl w:ilvl="1">
      <w:start w:val="1"/>
      <w:numFmt w:val="decimal"/>
      <w:lvlText w:val="Ea.%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nsid w:val="63C420B1"/>
    <w:multiLevelType w:val="multilevel"/>
    <w:tmpl w:val="9F2A8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64B36C21"/>
    <w:multiLevelType w:val="multilevel"/>
    <w:tmpl w:val="0AE8D4BE"/>
    <w:lvl w:ilvl="0">
      <w:start w:val="1"/>
      <w:numFmt w:val="lowerLetter"/>
      <w:lvlText w:val="D%1."/>
      <w:lvlJc w:val="left"/>
      <w:pPr>
        <w:ind w:left="720" w:hanging="360"/>
      </w:pPr>
      <w:rPr>
        <w:rFonts w:hint="default"/>
      </w:rPr>
    </w:lvl>
    <w:lvl w:ilvl="1">
      <w:start w:val="1"/>
      <w:numFmt w:val="decimal"/>
      <w:lvlText w:val="Eb.%2."/>
      <w:lvlJc w:val="left"/>
      <w:pPr>
        <w:ind w:left="1440" w:hanging="360"/>
      </w:pPr>
      <w:rPr>
        <w:rFonts w:hint="default"/>
        <w:color w:val="auto"/>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nsid w:val="64B40A5D"/>
    <w:multiLevelType w:val="hybridMultilevel"/>
    <w:tmpl w:val="8786C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66D674D3"/>
    <w:multiLevelType w:val="hybridMultilevel"/>
    <w:tmpl w:val="5172133C"/>
    <w:lvl w:ilvl="0" w:tplc="68EE02CE">
      <w:start w:val="1"/>
      <w:numFmt w:val="decimal"/>
      <w:lvlText w:val="G.%1."/>
      <w:lvlJc w:val="left"/>
      <w:pPr>
        <w:ind w:left="18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nsid w:val="66FE6273"/>
    <w:multiLevelType w:val="multilevel"/>
    <w:tmpl w:val="439667F4"/>
    <w:lvl w:ilvl="0">
      <w:start w:val="1"/>
      <w:numFmt w:val="lowerLetter"/>
      <w:lvlText w:val="%1."/>
      <w:lvlJc w:val="left"/>
      <w:pPr>
        <w:ind w:left="720" w:hanging="360"/>
      </w:pPr>
      <w:rPr>
        <w:rFonts w:hint="default"/>
      </w:rPr>
    </w:lvl>
    <w:lvl w:ilvl="1">
      <w:start w:val="1"/>
      <w:numFmt w:val="ordinal"/>
      <w:lvlText w:val="Aj.%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nsid w:val="67637EBA"/>
    <w:multiLevelType w:val="multilevel"/>
    <w:tmpl w:val="CF3A69E4"/>
    <w:lvl w:ilvl="0">
      <w:start w:val="1"/>
      <w:numFmt w:val="lowerLetter"/>
      <w:lvlText w:val="%1."/>
      <w:lvlJc w:val="left"/>
      <w:pPr>
        <w:ind w:left="720" w:hanging="360"/>
      </w:pPr>
      <w:rPr>
        <w:rFonts w:hint="default"/>
      </w:rPr>
    </w:lvl>
    <w:lvl w:ilvl="1">
      <w:start w:val="1"/>
      <w:numFmt w:val="ordinal"/>
      <w:lvlText w:val="Ai.%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nsid w:val="68460BD5"/>
    <w:multiLevelType w:val="multilevel"/>
    <w:tmpl w:val="315E41A8"/>
    <w:lvl w:ilvl="0">
      <w:start w:val="1"/>
      <w:numFmt w:val="lowerLetter"/>
      <w:lvlText w:val="BR%1."/>
      <w:lvlJc w:val="left"/>
      <w:pPr>
        <w:ind w:left="720" w:hanging="360"/>
      </w:pPr>
      <w:rPr>
        <w:rFonts w:hint="default"/>
      </w:rPr>
    </w:lvl>
    <w:lvl w:ilvl="1">
      <w:start w:val="1"/>
      <w:numFmt w:val="decimal"/>
      <w:lvlText w:val="Ca.%2."/>
      <w:lvlJc w:val="lef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nsid w:val="68FD6CB4"/>
    <w:multiLevelType w:val="hybridMultilevel"/>
    <w:tmpl w:val="E33858FE"/>
    <w:lvl w:ilvl="0" w:tplc="04050003">
      <w:start w:val="1"/>
      <w:numFmt w:val="bullet"/>
      <w:lvlText w:val="o"/>
      <w:lvlJc w:val="left"/>
      <w:pPr>
        <w:ind w:left="2058" w:hanging="360"/>
      </w:pPr>
      <w:rPr>
        <w:rFonts w:ascii="Courier New" w:hAnsi="Courier New" w:cs="Courier New" w:hint="default"/>
      </w:rPr>
    </w:lvl>
    <w:lvl w:ilvl="1" w:tplc="04050019" w:tentative="1">
      <w:start w:val="1"/>
      <w:numFmt w:val="lowerLetter"/>
      <w:lvlText w:val="%2."/>
      <w:lvlJc w:val="left"/>
      <w:pPr>
        <w:ind w:left="2778" w:hanging="360"/>
      </w:pPr>
    </w:lvl>
    <w:lvl w:ilvl="2" w:tplc="0405001B" w:tentative="1">
      <w:start w:val="1"/>
      <w:numFmt w:val="lowerRoman"/>
      <w:lvlText w:val="%3."/>
      <w:lvlJc w:val="right"/>
      <w:pPr>
        <w:ind w:left="3498" w:hanging="180"/>
      </w:pPr>
    </w:lvl>
    <w:lvl w:ilvl="3" w:tplc="0405000F" w:tentative="1">
      <w:start w:val="1"/>
      <w:numFmt w:val="decimal"/>
      <w:lvlText w:val="%4."/>
      <w:lvlJc w:val="left"/>
      <w:pPr>
        <w:ind w:left="4218" w:hanging="360"/>
      </w:pPr>
    </w:lvl>
    <w:lvl w:ilvl="4" w:tplc="04050019" w:tentative="1">
      <w:start w:val="1"/>
      <w:numFmt w:val="lowerLetter"/>
      <w:lvlText w:val="%5."/>
      <w:lvlJc w:val="left"/>
      <w:pPr>
        <w:ind w:left="4938" w:hanging="360"/>
      </w:pPr>
    </w:lvl>
    <w:lvl w:ilvl="5" w:tplc="0405001B" w:tentative="1">
      <w:start w:val="1"/>
      <w:numFmt w:val="lowerRoman"/>
      <w:lvlText w:val="%6."/>
      <w:lvlJc w:val="right"/>
      <w:pPr>
        <w:ind w:left="5658" w:hanging="180"/>
      </w:pPr>
    </w:lvl>
    <w:lvl w:ilvl="6" w:tplc="0405000F" w:tentative="1">
      <w:start w:val="1"/>
      <w:numFmt w:val="decimal"/>
      <w:lvlText w:val="%7."/>
      <w:lvlJc w:val="left"/>
      <w:pPr>
        <w:ind w:left="6378" w:hanging="360"/>
      </w:pPr>
    </w:lvl>
    <w:lvl w:ilvl="7" w:tplc="04050019" w:tentative="1">
      <w:start w:val="1"/>
      <w:numFmt w:val="lowerLetter"/>
      <w:lvlText w:val="%8."/>
      <w:lvlJc w:val="left"/>
      <w:pPr>
        <w:ind w:left="7098" w:hanging="360"/>
      </w:pPr>
    </w:lvl>
    <w:lvl w:ilvl="8" w:tplc="0405001B" w:tentative="1">
      <w:start w:val="1"/>
      <w:numFmt w:val="lowerRoman"/>
      <w:lvlText w:val="%9."/>
      <w:lvlJc w:val="right"/>
      <w:pPr>
        <w:ind w:left="7818" w:hanging="180"/>
      </w:pPr>
    </w:lvl>
  </w:abstractNum>
  <w:abstractNum w:abstractNumId="96">
    <w:nsid w:val="69117C4C"/>
    <w:multiLevelType w:val="multilevel"/>
    <w:tmpl w:val="F63ABDFA"/>
    <w:lvl w:ilvl="0">
      <w:start w:val="1"/>
      <w:numFmt w:val="lowerLetter"/>
      <w:lvlText w:val="G%1."/>
      <w:lvlJc w:val="left"/>
      <w:pPr>
        <w:ind w:left="644" w:hanging="360"/>
      </w:pPr>
      <w:rPr>
        <w:rFonts w:hint="default"/>
      </w:rPr>
    </w:lvl>
    <w:lvl w:ilvl="1">
      <w:start w:val="1"/>
      <w:numFmt w:val="decimal"/>
      <w:lvlText w:val="Gd.%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97">
    <w:nsid w:val="6A7671AD"/>
    <w:multiLevelType w:val="hybridMultilevel"/>
    <w:tmpl w:val="5EE4B4A2"/>
    <w:lvl w:ilvl="0" w:tplc="09AA1CE2">
      <w:start w:val="1"/>
      <w:numFmt w:val="upperLetter"/>
      <w:lvlText w:val="%1)"/>
      <w:lvlJc w:val="left"/>
      <w:pPr>
        <w:ind w:left="720" w:hanging="360"/>
      </w:pPr>
      <w:rPr>
        <w:rFonts w:hint="default"/>
      </w:rPr>
    </w:lvl>
    <w:lvl w:ilvl="1" w:tplc="04050019">
      <w:start w:val="1"/>
      <w:numFmt w:val="lowerLetter"/>
      <w:lvlText w:val="%2."/>
      <w:lvlJc w:val="left"/>
      <w:pPr>
        <w:ind w:left="1494" w:hanging="360"/>
      </w:pPr>
    </w:lvl>
    <w:lvl w:ilvl="2" w:tplc="04050001">
      <w:start w:val="1"/>
      <w:numFmt w:val="bullet"/>
      <w:lvlText w:val=""/>
      <w:lvlJc w:val="left"/>
      <w:pPr>
        <w:ind w:left="2307" w:hanging="180"/>
      </w:pPr>
      <w:rPr>
        <w:rFonts w:ascii="Symbol" w:hAnsi="Symbol"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6AA053C9"/>
    <w:multiLevelType w:val="multilevel"/>
    <w:tmpl w:val="CEFA04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DED6343"/>
    <w:multiLevelType w:val="hybridMultilevel"/>
    <w:tmpl w:val="E1EE004C"/>
    <w:lvl w:ilvl="0" w:tplc="04050019">
      <w:start w:val="1"/>
      <w:numFmt w:val="lowerLetter"/>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00">
    <w:nsid w:val="70117A58"/>
    <w:multiLevelType w:val="hybridMultilevel"/>
    <w:tmpl w:val="E1EE004C"/>
    <w:lvl w:ilvl="0" w:tplc="04050019">
      <w:start w:val="1"/>
      <w:numFmt w:val="lowerLetter"/>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01">
    <w:nsid w:val="71AE7313"/>
    <w:multiLevelType w:val="multilevel"/>
    <w:tmpl w:val="D312D438"/>
    <w:lvl w:ilvl="0">
      <w:start w:val="1"/>
      <w:numFmt w:val="lowerLetter"/>
      <w:lvlText w:val="F%1."/>
      <w:lvlJc w:val="left"/>
      <w:pPr>
        <w:ind w:left="644" w:hanging="360"/>
      </w:pPr>
      <w:rPr>
        <w:rFonts w:hint="default"/>
      </w:rPr>
    </w:lvl>
    <w:lvl w:ilvl="1">
      <w:start w:val="1"/>
      <w:numFmt w:val="decimal"/>
      <w:lvlText w:val="Fd.%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02">
    <w:nsid w:val="722132E3"/>
    <w:multiLevelType w:val="hybridMultilevel"/>
    <w:tmpl w:val="F62A3842"/>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3">
      <w:start w:val="1"/>
      <w:numFmt w:val="bullet"/>
      <w:lvlText w:val="o"/>
      <w:lvlJc w:val="left"/>
      <w:pPr>
        <w:ind w:left="2880" w:hanging="360"/>
      </w:pPr>
      <w:rPr>
        <w:rFonts w:ascii="Courier New" w:hAnsi="Courier New" w:cs="Courier New"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75A516F9"/>
    <w:multiLevelType w:val="hybridMultilevel"/>
    <w:tmpl w:val="8508F7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75D00635"/>
    <w:multiLevelType w:val="multilevel"/>
    <w:tmpl w:val="8924C414"/>
    <w:lvl w:ilvl="0">
      <w:start w:val="1"/>
      <w:numFmt w:val="lowerLetter"/>
      <w:lvlText w:val="H.%1."/>
      <w:lvlJc w:val="left"/>
      <w:pPr>
        <w:ind w:left="360" w:hanging="360"/>
      </w:pPr>
      <w:rPr>
        <w:rFonts w:hint="default"/>
      </w:rPr>
    </w:lvl>
    <w:lvl w:ilvl="1">
      <w:start w:val="1"/>
      <w:numFmt w:val="decimal"/>
      <w:lvlText w:val="Hc.%2."/>
      <w:lvlJc w:val="left"/>
      <w:pPr>
        <w:ind w:left="1080" w:hanging="360"/>
      </w:pPr>
      <w:rPr>
        <w:rFonts w:hint="default"/>
        <w:color w:val="auto"/>
        <w:sz w:val="24"/>
        <w:szCs w:val="24"/>
      </w:rPr>
    </w:lvl>
    <w:lvl w:ilvl="2">
      <w:start w:val="1"/>
      <w:numFmt w:val="decimal"/>
      <w:lvlText w:val="BR.%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5">
    <w:nsid w:val="779B34BF"/>
    <w:multiLevelType w:val="multilevel"/>
    <w:tmpl w:val="DA860250"/>
    <w:lvl w:ilvl="0">
      <w:start w:val="1"/>
      <w:numFmt w:val="upperRoman"/>
      <w:lvlText w:val="%1."/>
      <w:lvlJc w:val="righ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nsid w:val="78035BAF"/>
    <w:multiLevelType w:val="multilevel"/>
    <w:tmpl w:val="E98417FE"/>
    <w:lvl w:ilvl="0">
      <w:start w:val="1"/>
      <w:numFmt w:val="lowerLetter"/>
      <w:lvlText w:val="F%1."/>
      <w:lvlJc w:val="left"/>
      <w:pPr>
        <w:ind w:left="644" w:hanging="360"/>
      </w:pPr>
      <w:rPr>
        <w:rFonts w:hint="default"/>
      </w:rPr>
    </w:lvl>
    <w:lvl w:ilvl="1">
      <w:start w:val="1"/>
      <w:numFmt w:val="decimal"/>
      <w:lvlText w:val="Fb.%2."/>
      <w:lvlJc w:val="left"/>
      <w:pPr>
        <w:ind w:left="1070" w:hanging="360"/>
      </w:pPr>
      <w:rPr>
        <w:rFonts w:hint="default"/>
        <w:color w:val="auto"/>
      </w:rPr>
    </w:lvl>
    <w:lvl w:ilvl="2">
      <w:start w:val="1"/>
      <w:numFmt w:val="decimal"/>
      <w:lvlText w:val="BR.%3."/>
      <w:lvlJc w:val="lef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07">
    <w:nsid w:val="799360D5"/>
    <w:multiLevelType w:val="multilevel"/>
    <w:tmpl w:val="4EB6078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2293" w:hanging="1584"/>
      </w:pPr>
    </w:lvl>
  </w:abstractNum>
  <w:abstractNum w:abstractNumId="108">
    <w:nsid w:val="7999225A"/>
    <w:multiLevelType w:val="multilevel"/>
    <w:tmpl w:val="04F80E1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B.%3."/>
      <w:lvlJc w:val="left"/>
      <w:pPr>
        <w:ind w:left="606"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nsid w:val="7A2D6ED6"/>
    <w:multiLevelType w:val="hybridMultilevel"/>
    <w:tmpl w:val="80FA969E"/>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0">
    <w:nsid w:val="7A876A6A"/>
    <w:multiLevelType w:val="multilevel"/>
    <w:tmpl w:val="76C2846A"/>
    <w:lvl w:ilvl="0">
      <w:start w:val="1"/>
      <w:numFmt w:val="lowerLetter"/>
      <w:lvlText w:val="H.%1."/>
      <w:lvlJc w:val="left"/>
      <w:pPr>
        <w:ind w:left="360" w:hanging="360"/>
      </w:pPr>
      <w:rPr>
        <w:rFonts w:hint="default"/>
      </w:rPr>
    </w:lvl>
    <w:lvl w:ilvl="1">
      <w:start w:val="1"/>
      <w:numFmt w:val="decimal"/>
      <w:lvlText w:val="Hb.%2."/>
      <w:lvlJc w:val="left"/>
      <w:pPr>
        <w:ind w:left="1080" w:hanging="360"/>
      </w:pPr>
      <w:rPr>
        <w:rFonts w:hint="default"/>
        <w:color w:val="auto"/>
        <w:sz w:val="24"/>
        <w:szCs w:val="24"/>
      </w:rPr>
    </w:lvl>
    <w:lvl w:ilvl="2">
      <w:start w:val="1"/>
      <w:numFmt w:val="decimal"/>
      <w:lvlText w:val="BR.%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1">
    <w:nsid w:val="7D3F3883"/>
    <w:multiLevelType w:val="multilevel"/>
    <w:tmpl w:val="64D6E152"/>
    <w:lvl w:ilvl="0">
      <w:start w:val="1"/>
      <w:numFmt w:val="lowerLetter"/>
      <w:lvlText w:val="%1."/>
      <w:lvlJc w:val="left"/>
      <w:pPr>
        <w:ind w:left="720" w:hanging="360"/>
      </w:pPr>
      <w:rPr>
        <w:rFonts w:hint="default"/>
      </w:rPr>
    </w:lvl>
    <w:lvl w:ilvl="1">
      <w:start w:val="1"/>
      <w:numFmt w:val="ordinal"/>
      <w:lvlText w:val="Ae.%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nsid w:val="7E124630"/>
    <w:multiLevelType w:val="hybridMultilevel"/>
    <w:tmpl w:val="AA503F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nsid w:val="7EE3144C"/>
    <w:multiLevelType w:val="hybridMultilevel"/>
    <w:tmpl w:val="D8C6CC9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7F454ABE"/>
    <w:multiLevelType w:val="multilevel"/>
    <w:tmpl w:val="488EE4A4"/>
    <w:lvl w:ilvl="0">
      <w:start w:val="1"/>
      <w:numFmt w:val="lowerLetter"/>
      <w:lvlText w:val="%1."/>
      <w:lvlJc w:val="left"/>
      <w:pPr>
        <w:ind w:left="720" w:hanging="360"/>
      </w:pPr>
      <w:rPr>
        <w:rFonts w:hint="default"/>
      </w:rPr>
    </w:lvl>
    <w:lvl w:ilvl="1">
      <w:start w:val="1"/>
      <w:numFmt w:val="ordinal"/>
      <w:lvlText w:val="Af.%2"/>
      <w:lvlJc w:val="right"/>
      <w:pPr>
        <w:ind w:left="1440" w:hanging="360"/>
      </w:pPr>
      <w:rPr>
        <w:rFonts w:hint="default"/>
        <w:color w:val="auto"/>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nsid w:val="7FB87B27"/>
    <w:multiLevelType w:val="multilevel"/>
    <w:tmpl w:val="76400884"/>
    <w:lvl w:ilvl="0">
      <w:start w:val="1"/>
      <w:numFmt w:val="lowerLetter"/>
      <w:lvlText w:val="H%1."/>
      <w:lvlJc w:val="left"/>
      <w:pPr>
        <w:ind w:left="720" w:hanging="360"/>
      </w:pPr>
      <w:rPr>
        <w:rFonts w:hint="default"/>
      </w:rPr>
    </w:lvl>
    <w:lvl w:ilvl="1">
      <w:start w:val="1"/>
      <w:numFmt w:val="decimal"/>
      <w:lvlText w:val="Ia.%2."/>
      <w:lvlJc w:val="left"/>
      <w:pPr>
        <w:ind w:left="1440" w:hanging="360"/>
      </w:pPr>
      <w:rPr>
        <w:rFonts w:hint="default"/>
        <w:color w:val="auto"/>
        <w:sz w:val="24"/>
        <w:szCs w:val="24"/>
      </w:rPr>
    </w:lvl>
    <w:lvl w:ilvl="2">
      <w:start w:val="1"/>
      <w:numFmt w:val="decimal"/>
      <w:lvlText w:val="BR.%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5"/>
  </w:num>
  <w:num w:numId="2">
    <w:abstractNumId w:val="28"/>
  </w:num>
  <w:num w:numId="3">
    <w:abstractNumId w:val="0"/>
  </w:num>
  <w:num w:numId="4">
    <w:abstractNumId w:val="69"/>
  </w:num>
  <w:num w:numId="5">
    <w:abstractNumId w:val="15"/>
  </w:num>
  <w:num w:numId="6">
    <w:abstractNumId w:val="56"/>
  </w:num>
  <w:num w:numId="7">
    <w:abstractNumId w:val="84"/>
  </w:num>
  <w:num w:numId="8">
    <w:abstractNumId w:val="60"/>
  </w:num>
  <w:num w:numId="9">
    <w:abstractNumId w:val="33"/>
  </w:num>
  <w:num w:numId="10">
    <w:abstractNumId w:val="8"/>
  </w:num>
  <w:num w:numId="11">
    <w:abstractNumId w:val="26"/>
  </w:num>
  <w:num w:numId="12">
    <w:abstractNumId w:val="47"/>
  </w:num>
  <w:num w:numId="13">
    <w:abstractNumId w:val="40"/>
  </w:num>
  <w:num w:numId="14">
    <w:abstractNumId w:val="72"/>
  </w:num>
  <w:num w:numId="15">
    <w:abstractNumId w:val="35"/>
  </w:num>
  <w:num w:numId="16">
    <w:abstractNumId w:val="102"/>
  </w:num>
  <w:num w:numId="17">
    <w:abstractNumId w:val="97"/>
  </w:num>
  <w:num w:numId="18">
    <w:abstractNumId w:val="73"/>
  </w:num>
  <w:num w:numId="19">
    <w:abstractNumId w:val="36"/>
  </w:num>
  <w:num w:numId="20">
    <w:abstractNumId w:val="23"/>
  </w:num>
  <w:num w:numId="21">
    <w:abstractNumId w:val="57"/>
  </w:num>
  <w:num w:numId="22">
    <w:abstractNumId w:val="100"/>
  </w:num>
  <w:num w:numId="23">
    <w:abstractNumId w:val="99"/>
  </w:num>
  <w:num w:numId="24">
    <w:abstractNumId w:val="95"/>
  </w:num>
  <w:num w:numId="25">
    <w:abstractNumId w:val="81"/>
  </w:num>
  <w:num w:numId="26">
    <w:abstractNumId w:val="58"/>
  </w:num>
  <w:num w:numId="27">
    <w:abstractNumId w:val="98"/>
  </w:num>
  <w:num w:numId="28">
    <w:abstractNumId w:val="46"/>
  </w:num>
  <w:num w:numId="29">
    <w:abstractNumId w:val="88"/>
  </w:num>
  <w:num w:numId="30">
    <w:abstractNumId w:val="76"/>
  </w:num>
  <w:num w:numId="31">
    <w:abstractNumId w:val="63"/>
  </w:num>
  <w:num w:numId="32">
    <w:abstractNumId w:val="90"/>
  </w:num>
  <w:num w:numId="33">
    <w:abstractNumId w:val="30"/>
  </w:num>
  <w:num w:numId="34">
    <w:abstractNumId w:val="11"/>
  </w:num>
  <w:num w:numId="35">
    <w:abstractNumId w:val="61"/>
  </w:num>
  <w:num w:numId="36">
    <w:abstractNumId w:val="50"/>
  </w:num>
  <w:num w:numId="37">
    <w:abstractNumId w:val="79"/>
  </w:num>
  <w:num w:numId="38">
    <w:abstractNumId w:val="77"/>
  </w:num>
  <w:num w:numId="39">
    <w:abstractNumId w:val="7"/>
  </w:num>
  <w:num w:numId="40">
    <w:abstractNumId w:val="74"/>
  </w:num>
  <w:num w:numId="41">
    <w:abstractNumId w:val="21"/>
  </w:num>
  <w:num w:numId="42">
    <w:abstractNumId w:val="22"/>
  </w:num>
  <w:num w:numId="43">
    <w:abstractNumId w:val="37"/>
  </w:num>
  <w:num w:numId="44">
    <w:abstractNumId w:val="111"/>
  </w:num>
  <w:num w:numId="45">
    <w:abstractNumId w:val="114"/>
  </w:num>
  <w:num w:numId="46">
    <w:abstractNumId w:val="12"/>
  </w:num>
  <w:num w:numId="47">
    <w:abstractNumId w:val="53"/>
  </w:num>
  <w:num w:numId="48">
    <w:abstractNumId w:val="93"/>
  </w:num>
  <w:num w:numId="49">
    <w:abstractNumId w:val="92"/>
  </w:num>
  <w:num w:numId="50">
    <w:abstractNumId w:val="108"/>
  </w:num>
  <w:num w:numId="51">
    <w:abstractNumId w:val="48"/>
  </w:num>
  <w:num w:numId="52">
    <w:abstractNumId w:val="86"/>
  </w:num>
  <w:num w:numId="53">
    <w:abstractNumId w:val="66"/>
  </w:num>
  <w:num w:numId="54">
    <w:abstractNumId w:val="94"/>
  </w:num>
  <w:num w:numId="55">
    <w:abstractNumId w:val="44"/>
  </w:num>
  <w:num w:numId="56">
    <w:abstractNumId w:val="6"/>
  </w:num>
  <w:num w:numId="57">
    <w:abstractNumId w:val="75"/>
  </w:num>
  <w:num w:numId="58">
    <w:abstractNumId w:val="24"/>
  </w:num>
  <w:num w:numId="59">
    <w:abstractNumId w:val="2"/>
  </w:num>
  <w:num w:numId="60">
    <w:abstractNumId w:val="3"/>
  </w:num>
  <w:num w:numId="61">
    <w:abstractNumId w:val="68"/>
  </w:num>
  <w:num w:numId="62">
    <w:abstractNumId w:val="89"/>
  </w:num>
  <w:num w:numId="63">
    <w:abstractNumId w:val="54"/>
  </w:num>
  <w:num w:numId="64">
    <w:abstractNumId w:val="52"/>
  </w:num>
  <w:num w:numId="65">
    <w:abstractNumId w:val="9"/>
  </w:num>
  <w:num w:numId="66">
    <w:abstractNumId w:val="41"/>
  </w:num>
  <w:num w:numId="67">
    <w:abstractNumId w:val="91"/>
  </w:num>
  <w:num w:numId="68">
    <w:abstractNumId w:val="34"/>
  </w:num>
  <w:num w:numId="69">
    <w:abstractNumId w:val="82"/>
  </w:num>
  <w:num w:numId="70">
    <w:abstractNumId w:val="4"/>
  </w:num>
  <w:num w:numId="71">
    <w:abstractNumId w:val="65"/>
  </w:num>
  <w:num w:numId="72">
    <w:abstractNumId w:val="64"/>
  </w:num>
  <w:num w:numId="73">
    <w:abstractNumId w:val="115"/>
  </w:num>
  <w:num w:numId="74">
    <w:abstractNumId w:val="25"/>
  </w:num>
  <w:num w:numId="75">
    <w:abstractNumId w:val="113"/>
  </w:num>
  <w:num w:numId="76">
    <w:abstractNumId w:val="62"/>
  </w:num>
  <w:num w:numId="77">
    <w:abstractNumId w:val="55"/>
  </w:num>
  <w:num w:numId="78">
    <w:abstractNumId w:val="43"/>
  </w:num>
  <w:num w:numId="79">
    <w:abstractNumId w:val="110"/>
  </w:num>
  <w:num w:numId="80">
    <w:abstractNumId w:val="104"/>
  </w:num>
  <w:num w:numId="81">
    <w:abstractNumId w:val="85"/>
  </w:num>
  <w:num w:numId="82">
    <w:abstractNumId w:val="70"/>
  </w:num>
  <w:num w:numId="83">
    <w:abstractNumId w:val="42"/>
  </w:num>
  <w:num w:numId="84">
    <w:abstractNumId w:val="13"/>
  </w:num>
  <w:num w:numId="85">
    <w:abstractNumId w:val="80"/>
  </w:num>
  <w:num w:numId="86">
    <w:abstractNumId w:val="107"/>
  </w:num>
  <w:num w:numId="87">
    <w:abstractNumId w:val="31"/>
  </w:num>
  <w:num w:numId="88">
    <w:abstractNumId w:val="109"/>
  </w:num>
  <w:num w:numId="89">
    <w:abstractNumId w:val="112"/>
  </w:num>
  <w:num w:numId="90">
    <w:abstractNumId w:val="16"/>
  </w:num>
  <w:num w:numId="91">
    <w:abstractNumId w:val="38"/>
  </w:num>
  <w:num w:numId="92">
    <w:abstractNumId w:val="45"/>
  </w:num>
  <w:num w:numId="93">
    <w:abstractNumId w:val="87"/>
  </w:num>
  <w:num w:numId="94">
    <w:abstractNumId w:val="18"/>
  </w:num>
  <w:num w:numId="95">
    <w:abstractNumId w:val="1"/>
  </w:num>
  <w:num w:numId="96">
    <w:abstractNumId w:val="39"/>
  </w:num>
  <w:num w:numId="97">
    <w:abstractNumId w:val="27"/>
  </w:num>
  <w:num w:numId="98">
    <w:abstractNumId w:val="106"/>
  </w:num>
  <w:num w:numId="99">
    <w:abstractNumId w:val="17"/>
  </w:num>
  <w:num w:numId="100">
    <w:abstractNumId w:val="49"/>
  </w:num>
  <w:num w:numId="101">
    <w:abstractNumId w:val="10"/>
  </w:num>
  <w:num w:numId="102">
    <w:abstractNumId w:val="101"/>
  </w:num>
  <w:num w:numId="103">
    <w:abstractNumId w:val="83"/>
  </w:num>
  <w:num w:numId="104">
    <w:abstractNumId w:val="32"/>
  </w:num>
  <w:num w:numId="105">
    <w:abstractNumId w:val="59"/>
  </w:num>
  <w:num w:numId="106">
    <w:abstractNumId w:val="20"/>
  </w:num>
  <w:num w:numId="107">
    <w:abstractNumId w:val="67"/>
  </w:num>
  <w:num w:numId="108">
    <w:abstractNumId w:val="96"/>
  </w:num>
  <w:num w:numId="109">
    <w:abstractNumId w:val="29"/>
  </w:num>
  <w:num w:numId="110">
    <w:abstractNumId w:val="51"/>
  </w:num>
  <w:num w:numId="111">
    <w:abstractNumId w:val="78"/>
  </w:num>
  <w:num w:numId="112">
    <w:abstractNumId w:val="5"/>
  </w:num>
  <w:num w:numId="113">
    <w:abstractNumId w:val="71"/>
  </w:num>
  <w:num w:numId="114">
    <w:abstractNumId w:val="107"/>
  </w:num>
  <w:num w:numId="115">
    <w:abstractNumId w:val="103"/>
  </w:num>
  <w:num w:numId="116">
    <w:abstractNumId w:val="19"/>
  </w:num>
  <w:num w:numId="117">
    <w:abstractNumId w:val="1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CE4"/>
    <w:rsid w:val="00000C82"/>
    <w:rsid w:val="000010E0"/>
    <w:rsid w:val="00001B4E"/>
    <w:rsid w:val="00001FEA"/>
    <w:rsid w:val="00002278"/>
    <w:rsid w:val="000025A6"/>
    <w:rsid w:val="000055B1"/>
    <w:rsid w:val="00007E53"/>
    <w:rsid w:val="0001030E"/>
    <w:rsid w:val="00010F6C"/>
    <w:rsid w:val="000115A0"/>
    <w:rsid w:val="00013C5B"/>
    <w:rsid w:val="0001442D"/>
    <w:rsid w:val="000148D0"/>
    <w:rsid w:val="00015BCD"/>
    <w:rsid w:val="00016F45"/>
    <w:rsid w:val="000172D7"/>
    <w:rsid w:val="000172FD"/>
    <w:rsid w:val="0001751A"/>
    <w:rsid w:val="000176FE"/>
    <w:rsid w:val="00017CED"/>
    <w:rsid w:val="00020DA6"/>
    <w:rsid w:val="00022FB2"/>
    <w:rsid w:val="0002333A"/>
    <w:rsid w:val="00023427"/>
    <w:rsid w:val="00024668"/>
    <w:rsid w:val="000248E0"/>
    <w:rsid w:val="00025084"/>
    <w:rsid w:val="00025EB9"/>
    <w:rsid w:val="00026402"/>
    <w:rsid w:val="00030152"/>
    <w:rsid w:val="0003039E"/>
    <w:rsid w:val="00032170"/>
    <w:rsid w:val="000323DD"/>
    <w:rsid w:val="00032CBD"/>
    <w:rsid w:val="000336E8"/>
    <w:rsid w:val="00034502"/>
    <w:rsid w:val="0003516D"/>
    <w:rsid w:val="00035CAF"/>
    <w:rsid w:val="00035F35"/>
    <w:rsid w:val="00035F5F"/>
    <w:rsid w:val="00037548"/>
    <w:rsid w:val="00037AC4"/>
    <w:rsid w:val="00040E53"/>
    <w:rsid w:val="0004232F"/>
    <w:rsid w:val="00042C94"/>
    <w:rsid w:val="000446BD"/>
    <w:rsid w:val="00044E40"/>
    <w:rsid w:val="000452CA"/>
    <w:rsid w:val="000453E7"/>
    <w:rsid w:val="0004579D"/>
    <w:rsid w:val="00046591"/>
    <w:rsid w:val="00046D2C"/>
    <w:rsid w:val="000471C4"/>
    <w:rsid w:val="00050391"/>
    <w:rsid w:val="000509D0"/>
    <w:rsid w:val="00051F92"/>
    <w:rsid w:val="000525A3"/>
    <w:rsid w:val="0005292D"/>
    <w:rsid w:val="0005337C"/>
    <w:rsid w:val="00053407"/>
    <w:rsid w:val="0005399B"/>
    <w:rsid w:val="000539D2"/>
    <w:rsid w:val="00053ACC"/>
    <w:rsid w:val="00055348"/>
    <w:rsid w:val="00055597"/>
    <w:rsid w:val="00055CF5"/>
    <w:rsid w:val="0005698F"/>
    <w:rsid w:val="00056B5E"/>
    <w:rsid w:val="00056B8D"/>
    <w:rsid w:val="00057F87"/>
    <w:rsid w:val="00060108"/>
    <w:rsid w:val="0006037D"/>
    <w:rsid w:val="00061CEB"/>
    <w:rsid w:val="000641AD"/>
    <w:rsid w:val="000649A0"/>
    <w:rsid w:val="000663D1"/>
    <w:rsid w:val="000673D9"/>
    <w:rsid w:val="000704A5"/>
    <w:rsid w:val="00070DAD"/>
    <w:rsid w:val="000715EA"/>
    <w:rsid w:val="000724B3"/>
    <w:rsid w:val="0007295C"/>
    <w:rsid w:val="00073FBD"/>
    <w:rsid w:val="000741D8"/>
    <w:rsid w:val="000744FA"/>
    <w:rsid w:val="000754DE"/>
    <w:rsid w:val="000758AB"/>
    <w:rsid w:val="00075A49"/>
    <w:rsid w:val="00076E2D"/>
    <w:rsid w:val="00076E44"/>
    <w:rsid w:val="00076F03"/>
    <w:rsid w:val="00077A4A"/>
    <w:rsid w:val="00077C5D"/>
    <w:rsid w:val="00080379"/>
    <w:rsid w:val="00081DE4"/>
    <w:rsid w:val="00081EB4"/>
    <w:rsid w:val="00082A37"/>
    <w:rsid w:val="00084ED8"/>
    <w:rsid w:val="000859F4"/>
    <w:rsid w:val="00087970"/>
    <w:rsid w:val="00087E33"/>
    <w:rsid w:val="000904D9"/>
    <w:rsid w:val="00091F11"/>
    <w:rsid w:val="00092A13"/>
    <w:rsid w:val="00092C1F"/>
    <w:rsid w:val="000944F7"/>
    <w:rsid w:val="000945E3"/>
    <w:rsid w:val="00094B9D"/>
    <w:rsid w:val="00094C44"/>
    <w:rsid w:val="00094D1A"/>
    <w:rsid w:val="0009611D"/>
    <w:rsid w:val="00096AD1"/>
    <w:rsid w:val="00096F21"/>
    <w:rsid w:val="000970ED"/>
    <w:rsid w:val="0009735E"/>
    <w:rsid w:val="000A11C9"/>
    <w:rsid w:val="000A1721"/>
    <w:rsid w:val="000A191A"/>
    <w:rsid w:val="000A193B"/>
    <w:rsid w:val="000A24E6"/>
    <w:rsid w:val="000A3891"/>
    <w:rsid w:val="000A4933"/>
    <w:rsid w:val="000A4DD1"/>
    <w:rsid w:val="000A681E"/>
    <w:rsid w:val="000A7020"/>
    <w:rsid w:val="000A753C"/>
    <w:rsid w:val="000B0620"/>
    <w:rsid w:val="000B0CF9"/>
    <w:rsid w:val="000B1384"/>
    <w:rsid w:val="000B1449"/>
    <w:rsid w:val="000B1A46"/>
    <w:rsid w:val="000B25B0"/>
    <w:rsid w:val="000B2EA1"/>
    <w:rsid w:val="000B3749"/>
    <w:rsid w:val="000B41EA"/>
    <w:rsid w:val="000B472D"/>
    <w:rsid w:val="000B4F24"/>
    <w:rsid w:val="000B4FC1"/>
    <w:rsid w:val="000B51B6"/>
    <w:rsid w:val="000B701E"/>
    <w:rsid w:val="000B74F7"/>
    <w:rsid w:val="000C014E"/>
    <w:rsid w:val="000C297C"/>
    <w:rsid w:val="000C3265"/>
    <w:rsid w:val="000C355C"/>
    <w:rsid w:val="000C3715"/>
    <w:rsid w:val="000C3B46"/>
    <w:rsid w:val="000C472C"/>
    <w:rsid w:val="000C4F80"/>
    <w:rsid w:val="000C5B69"/>
    <w:rsid w:val="000C657C"/>
    <w:rsid w:val="000C6E46"/>
    <w:rsid w:val="000C7240"/>
    <w:rsid w:val="000C76EC"/>
    <w:rsid w:val="000C7C9D"/>
    <w:rsid w:val="000C7DA2"/>
    <w:rsid w:val="000D06F7"/>
    <w:rsid w:val="000D121F"/>
    <w:rsid w:val="000D2428"/>
    <w:rsid w:val="000D29D9"/>
    <w:rsid w:val="000D2F63"/>
    <w:rsid w:val="000D4630"/>
    <w:rsid w:val="000D4ABA"/>
    <w:rsid w:val="000D686A"/>
    <w:rsid w:val="000D68E5"/>
    <w:rsid w:val="000D748A"/>
    <w:rsid w:val="000D7EAE"/>
    <w:rsid w:val="000E03A3"/>
    <w:rsid w:val="000E3D9C"/>
    <w:rsid w:val="000E46B7"/>
    <w:rsid w:val="000E4A9A"/>
    <w:rsid w:val="000E5DAF"/>
    <w:rsid w:val="000E7BB4"/>
    <w:rsid w:val="000F01FA"/>
    <w:rsid w:val="000F09F9"/>
    <w:rsid w:val="000F2387"/>
    <w:rsid w:val="000F34BD"/>
    <w:rsid w:val="000F3A78"/>
    <w:rsid w:val="000F5869"/>
    <w:rsid w:val="000F5BEF"/>
    <w:rsid w:val="00100B1B"/>
    <w:rsid w:val="00100C3E"/>
    <w:rsid w:val="001014E4"/>
    <w:rsid w:val="001015F1"/>
    <w:rsid w:val="0010182F"/>
    <w:rsid w:val="00101A9D"/>
    <w:rsid w:val="00101AE6"/>
    <w:rsid w:val="001026C7"/>
    <w:rsid w:val="00102DFD"/>
    <w:rsid w:val="0010323D"/>
    <w:rsid w:val="001032AD"/>
    <w:rsid w:val="0010367D"/>
    <w:rsid w:val="00104029"/>
    <w:rsid w:val="001047F3"/>
    <w:rsid w:val="00105CE7"/>
    <w:rsid w:val="00106D36"/>
    <w:rsid w:val="0011088D"/>
    <w:rsid w:val="00110BA5"/>
    <w:rsid w:val="00110EE1"/>
    <w:rsid w:val="00111416"/>
    <w:rsid w:val="00111487"/>
    <w:rsid w:val="00111BC2"/>
    <w:rsid w:val="001129C0"/>
    <w:rsid w:val="00113CBD"/>
    <w:rsid w:val="00113EC0"/>
    <w:rsid w:val="001156D4"/>
    <w:rsid w:val="001158F6"/>
    <w:rsid w:val="00115F4A"/>
    <w:rsid w:val="001161B7"/>
    <w:rsid w:val="001164BB"/>
    <w:rsid w:val="00120E96"/>
    <w:rsid w:val="001210CE"/>
    <w:rsid w:val="00121478"/>
    <w:rsid w:val="00124040"/>
    <w:rsid w:val="00124555"/>
    <w:rsid w:val="00124757"/>
    <w:rsid w:val="00124B1D"/>
    <w:rsid w:val="0012569C"/>
    <w:rsid w:val="00125933"/>
    <w:rsid w:val="00125955"/>
    <w:rsid w:val="00125990"/>
    <w:rsid w:val="00126A7F"/>
    <w:rsid w:val="00127C2D"/>
    <w:rsid w:val="00132161"/>
    <w:rsid w:val="00132567"/>
    <w:rsid w:val="001346D5"/>
    <w:rsid w:val="001346DF"/>
    <w:rsid w:val="0013601F"/>
    <w:rsid w:val="00136324"/>
    <w:rsid w:val="001365E3"/>
    <w:rsid w:val="00137510"/>
    <w:rsid w:val="00137AB0"/>
    <w:rsid w:val="00140AEA"/>
    <w:rsid w:val="00140B8B"/>
    <w:rsid w:val="00140C12"/>
    <w:rsid w:val="001422B9"/>
    <w:rsid w:val="00144767"/>
    <w:rsid w:val="0014490D"/>
    <w:rsid w:val="00145513"/>
    <w:rsid w:val="00145653"/>
    <w:rsid w:val="0014690B"/>
    <w:rsid w:val="00147BB8"/>
    <w:rsid w:val="00151170"/>
    <w:rsid w:val="001516F2"/>
    <w:rsid w:val="00153DE0"/>
    <w:rsid w:val="00154604"/>
    <w:rsid w:val="001553E5"/>
    <w:rsid w:val="001560D9"/>
    <w:rsid w:val="00156688"/>
    <w:rsid w:val="00156728"/>
    <w:rsid w:val="00161A95"/>
    <w:rsid w:val="00161E78"/>
    <w:rsid w:val="001621F0"/>
    <w:rsid w:val="00162368"/>
    <w:rsid w:val="00162E5F"/>
    <w:rsid w:val="001649BD"/>
    <w:rsid w:val="001670DE"/>
    <w:rsid w:val="00170F7B"/>
    <w:rsid w:val="0017261A"/>
    <w:rsid w:val="00173A33"/>
    <w:rsid w:val="00173F69"/>
    <w:rsid w:val="001756D8"/>
    <w:rsid w:val="00175EBB"/>
    <w:rsid w:val="001761BC"/>
    <w:rsid w:val="001762A7"/>
    <w:rsid w:val="00176B2B"/>
    <w:rsid w:val="001770FC"/>
    <w:rsid w:val="00180AC4"/>
    <w:rsid w:val="00181AE3"/>
    <w:rsid w:val="00181C00"/>
    <w:rsid w:val="00182766"/>
    <w:rsid w:val="00182D34"/>
    <w:rsid w:val="00183867"/>
    <w:rsid w:val="0018445E"/>
    <w:rsid w:val="00184BE9"/>
    <w:rsid w:val="00184DC1"/>
    <w:rsid w:val="00185779"/>
    <w:rsid w:val="001908E9"/>
    <w:rsid w:val="001915F5"/>
    <w:rsid w:val="00191A34"/>
    <w:rsid w:val="001924D6"/>
    <w:rsid w:val="00192F11"/>
    <w:rsid w:val="00192F52"/>
    <w:rsid w:val="0019350F"/>
    <w:rsid w:val="00195CC7"/>
    <w:rsid w:val="00196CF4"/>
    <w:rsid w:val="001A148B"/>
    <w:rsid w:val="001A1667"/>
    <w:rsid w:val="001A2909"/>
    <w:rsid w:val="001A30F2"/>
    <w:rsid w:val="001A4092"/>
    <w:rsid w:val="001A55CB"/>
    <w:rsid w:val="001A6FFB"/>
    <w:rsid w:val="001A7B0D"/>
    <w:rsid w:val="001A7FD1"/>
    <w:rsid w:val="001B0FC0"/>
    <w:rsid w:val="001B33E3"/>
    <w:rsid w:val="001B3861"/>
    <w:rsid w:val="001B4291"/>
    <w:rsid w:val="001B42E5"/>
    <w:rsid w:val="001B5FDF"/>
    <w:rsid w:val="001B784E"/>
    <w:rsid w:val="001C0237"/>
    <w:rsid w:val="001C0749"/>
    <w:rsid w:val="001C0BCB"/>
    <w:rsid w:val="001C0CF7"/>
    <w:rsid w:val="001C2629"/>
    <w:rsid w:val="001C262F"/>
    <w:rsid w:val="001C28E5"/>
    <w:rsid w:val="001C2C2B"/>
    <w:rsid w:val="001C3C29"/>
    <w:rsid w:val="001C3F7A"/>
    <w:rsid w:val="001C4E14"/>
    <w:rsid w:val="001C5C07"/>
    <w:rsid w:val="001D040B"/>
    <w:rsid w:val="001D0BC2"/>
    <w:rsid w:val="001D10AD"/>
    <w:rsid w:val="001D11E1"/>
    <w:rsid w:val="001D20A9"/>
    <w:rsid w:val="001D4FCF"/>
    <w:rsid w:val="001D50A4"/>
    <w:rsid w:val="001D718E"/>
    <w:rsid w:val="001D74E4"/>
    <w:rsid w:val="001D76DA"/>
    <w:rsid w:val="001D7DF9"/>
    <w:rsid w:val="001D7F49"/>
    <w:rsid w:val="001E0FE4"/>
    <w:rsid w:val="001E1368"/>
    <w:rsid w:val="001E14ED"/>
    <w:rsid w:val="001E2173"/>
    <w:rsid w:val="001E2240"/>
    <w:rsid w:val="001E25F3"/>
    <w:rsid w:val="001E3FF1"/>
    <w:rsid w:val="001E4070"/>
    <w:rsid w:val="001E460C"/>
    <w:rsid w:val="001E5670"/>
    <w:rsid w:val="001E5F0E"/>
    <w:rsid w:val="001E665F"/>
    <w:rsid w:val="001E7B9D"/>
    <w:rsid w:val="001E7F95"/>
    <w:rsid w:val="001F2979"/>
    <w:rsid w:val="001F2C28"/>
    <w:rsid w:val="001F3A14"/>
    <w:rsid w:val="001F51CA"/>
    <w:rsid w:val="001F5227"/>
    <w:rsid w:val="001F5D0B"/>
    <w:rsid w:val="001F691F"/>
    <w:rsid w:val="001F72C9"/>
    <w:rsid w:val="00200305"/>
    <w:rsid w:val="0020064D"/>
    <w:rsid w:val="002021F5"/>
    <w:rsid w:val="00203163"/>
    <w:rsid w:val="00203181"/>
    <w:rsid w:val="00203B6C"/>
    <w:rsid w:val="0020510E"/>
    <w:rsid w:val="0020567D"/>
    <w:rsid w:val="002057D3"/>
    <w:rsid w:val="00206B4C"/>
    <w:rsid w:val="00206CB0"/>
    <w:rsid w:val="0020702B"/>
    <w:rsid w:val="00207B89"/>
    <w:rsid w:val="0021155D"/>
    <w:rsid w:val="002121E5"/>
    <w:rsid w:val="00212853"/>
    <w:rsid w:val="002130B4"/>
    <w:rsid w:val="00215A91"/>
    <w:rsid w:val="00216DE1"/>
    <w:rsid w:val="0021747A"/>
    <w:rsid w:val="00217E8D"/>
    <w:rsid w:val="00220607"/>
    <w:rsid w:val="0022078E"/>
    <w:rsid w:val="00220F96"/>
    <w:rsid w:val="002214A3"/>
    <w:rsid w:val="002214E9"/>
    <w:rsid w:val="00221A0B"/>
    <w:rsid w:val="00221D44"/>
    <w:rsid w:val="00222EAB"/>
    <w:rsid w:val="00223FA1"/>
    <w:rsid w:val="00224A03"/>
    <w:rsid w:val="00224D12"/>
    <w:rsid w:val="00226982"/>
    <w:rsid w:val="00231533"/>
    <w:rsid w:val="00231594"/>
    <w:rsid w:val="00231D5C"/>
    <w:rsid w:val="00231EB7"/>
    <w:rsid w:val="00232456"/>
    <w:rsid w:val="00233588"/>
    <w:rsid w:val="0023471A"/>
    <w:rsid w:val="00235496"/>
    <w:rsid w:val="00235C7B"/>
    <w:rsid w:val="0023652B"/>
    <w:rsid w:val="0023787D"/>
    <w:rsid w:val="00237CB0"/>
    <w:rsid w:val="002400C2"/>
    <w:rsid w:val="00240A5D"/>
    <w:rsid w:val="00240F77"/>
    <w:rsid w:val="002411FC"/>
    <w:rsid w:val="002414EE"/>
    <w:rsid w:val="002423B4"/>
    <w:rsid w:val="002424B3"/>
    <w:rsid w:val="00242A3F"/>
    <w:rsid w:val="00243262"/>
    <w:rsid w:val="00245284"/>
    <w:rsid w:val="0024585B"/>
    <w:rsid w:val="00247192"/>
    <w:rsid w:val="00250398"/>
    <w:rsid w:val="00251614"/>
    <w:rsid w:val="002527D1"/>
    <w:rsid w:val="0025325B"/>
    <w:rsid w:val="002570C4"/>
    <w:rsid w:val="00260DF5"/>
    <w:rsid w:val="00262000"/>
    <w:rsid w:val="002623DC"/>
    <w:rsid w:val="00262E2B"/>
    <w:rsid w:val="00262F6D"/>
    <w:rsid w:val="002635FD"/>
    <w:rsid w:val="0026489B"/>
    <w:rsid w:val="00264F39"/>
    <w:rsid w:val="00267163"/>
    <w:rsid w:val="002702A4"/>
    <w:rsid w:val="00270C7B"/>
    <w:rsid w:val="002719B1"/>
    <w:rsid w:val="00271BB6"/>
    <w:rsid w:val="00272270"/>
    <w:rsid w:val="00273174"/>
    <w:rsid w:val="00273EC3"/>
    <w:rsid w:val="00274878"/>
    <w:rsid w:val="00275539"/>
    <w:rsid w:val="00280A8D"/>
    <w:rsid w:val="00281C6C"/>
    <w:rsid w:val="00281D3B"/>
    <w:rsid w:val="00282CA9"/>
    <w:rsid w:val="002834B5"/>
    <w:rsid w:val="00284724"/>
    <w:rsid w:val="00284C43"/>
    <w:rsid w:val="002851E0"/>
    <w:rsid w:val="00285214"/>
    <w:rsid w:val="002918DA"/>
    <w:rsid w:val="002922C5"/>
    <w:rsid w:val="00293435"/>
    <w:rsid w:val="00294D98"/>
    <w:rsid w:val="00295591"/>
    <w:rsid w:val="00295A0A"/>
    <w:rsid w:val="00296889"/>
    <w:rsid w:val="00296DB1"/>
    <w:rsid w:val="002A07EC"/>
    <w:rsid w:val="002A4764"/>
    <w:rsid w:val="002A4C9D"/>
    <w:rsid w:val="002A5E94"/>
    <w:rsid w:val="002A6EE5"/>
    <w:rsid w:val="002A792F"/>
    <w:rsid w:val="002B04BE"/>
    <w:rsid w:val="002B1B92"/>
    <w:rsid w:val="002B2833"/>
    <w:rsid w:val="002B303F"/>
    <w:rsid w:val="002B30D4"/>
    <w:rsid w:val="002B34C0"/>
    <w:rsid w:val="002B4801"/>
    <w:rsid w:val="002B48C0"/>
    <w:rsid w:val="002B4C4D"/>
    <w:rsid w:val="002B4CCA"/>
    <w:rsid w:val="002C0144"/>
    <w:rsid w:val="002C1D30"/>
    <w:rsid w:val="002C2F31"/>
    <w:rsid w:val="002C48C1"/>
    <w:rsid w:val="002C4FDD"/>
    <w:rsid w:val="002C5C99"/>
    <w:rsid w:val="002C617A"/>
    <w:rsid w:val="002D09AD"/>
    <w:rsid w:val="002D0B0E"/>
    <w:rsid w:val="002D10C4"/>
    <w:rsid w:val="002D1A94"/>
    <w:rsid w:val="002D20B0"/>
    <w:rsid w:val="002D287F"/>
    <w:rsid w:val="002D2EF5"/>
    <w:rsid w:val="002D3093"/>
    <w:rsid w:val="002D47B5"/>
    <w:rsid w:val="002D4A68"/>
    <w:rsid w:val="002D5252"/>
    <w:rsid w:val="002D6301"/>
    <w:rsid w:val="002D6612"/>
    <w:rsid w:val="002D6A6C"/>
    <w:rsid w:val="002E0167"/>
    <w:rsid w:val="002E0211"/>
    <w:rsid w:val="002E0FA9"/>
    <w:rsid w:val="002E1BB6"/>
    <w:rsid w:val="002E21E2"/>
    <w:rsid w:val="002E2284"/>
    <w:rsid w:val="002E43FA"/>
    <w:rsid w:val="002E5120"/>
    <w:rsid w:val="002E71EB"/>
    <w:rsid w:val="002E741C"/>
    <w:rsid w:val="002F1CA4"/>
    <w:rsid w:val="002F28B4"/>
    <w:rsid w:val="002F2E84"/>
    <w:rsid w:val="002F35CC"/>
    <w:rsid w:val="002F5DFF"/>
    <w:rsid w:val="002F6A1C"/>
    <w:rsid w:val="002F6E19"/>
    <w:rsid w:val="00300BB3"/>
    <w:rsid w:val="00300C06"/>
    <w:rsid w:val="00301589"/>
    <w:rsid w:val="00301CC6"/>
    <w:rsid w:val="00304014"/>
    <w:rsid w:val="00304CDF"/>
    <w:rsid w:val="003070DB"/>
    <w:rsid w:val="00310641"/>
    <w:rsid w:val="00316715"/>
    <w:rsid w:val="0031683D"/>
    <w:rsid w:val="003171E9"/>
    <w:rsid w:val="003201E2"/>
    <w:rsid w:val="00327817"/>
    <w:rsid w:val="00330B21"/>
    <w:rsid w:val="0033189A"/>
    <w:rsid w:val="003320A6"/>
    <w:rsid w:val="0033397C"/>
    <w:rsid w:val="00334792"/>
    <w:rsid w:val="0033490C"/>
    <w:rsid w:val="00335F2B"/>
    <w:rsid w:val="00340217"/>
    <w:rsid w:val="003406FB"/>
    <w:rsid w:val="003414C0"/>
    <w:rsid w:val="003420C1"/>
    <w:rsid w:val="00342541"/>
    <w:rsid w:val="00342EBF"/>
    <w:rsid w:val="003439D4"/>
    <w:rsid w:val="00343C92"/>
    <w:rsid w:val="00344C70"/>
    <w:rsid w:val="00344CD0"/>
    <w:rsid w:val="00345285"/>
    <w:rsid w:val="00350FBF"/>
    <w:rsid w:val="003521FA"/>
    <w:rsid w:val="00352775"/>
    <w:rsid w:val="0035284D"/>
    <w:rsid w:val="0035393A"/>
    <w:rsid w:val="00354108"/>
    <w:rsid w:val="00354621"/>
    <w:rsid w:val="00354975"/>
    <w:rsid w:val="00355E9B"/>
    <w:rsid w:val="00356706"/>
    <w:rsid w:val="00357A44"/>
    <w:rsid w:val="00360191"/>
    <w:rsid w:val="0036152B"/>
    <w:rsid w:val="0036191A"/>
    <w:rsid w:val="00361A9D"/>
    <w:rsid w:val="00362975"/>
    <w:rsid w:val="00362AC8"/>
    <w:rsid w:val="003631A5"/>
    <w:rsid w:val="003632BF"/>
    <w:rsid w:val="003637D4"/>
    <w:rsid w:val="00363B13"/>
    <w:rsid w:val="003664F1"/>
    <w:rsid w:val="0036664B"/>
    <w:rsid w:val="00366BE8"/>
    <w:rsid w:val="003717FC"/>
    <w:rsid w:val="0037378F"/>
    <w:rsid w:val="0037463C"/>
    <w:rsid w:val="00375317"/>
    <w:rsid w:val="00376000"/>
    <w:rsid w:val="00380DAA"/>
    <w:rsid w:val="00381080"/>
    <w:rsid w:val="00381880"/>
    <w:rsid w:val="003835FA"/>
    <w:rsid w:val="003836CA"/>
    <w:rsid w:val="00383C31"/>
    <w:rsid w:val="00383D38"/>
    <w:rsid w:val="00385351"/>
    <w:rsid w:val="00386A4A"/>
    <w:rsid w:val="00386D0C"/>
    <w:rsid w:val="00387598"/>
    <w:rsid w:val="00387C4B"/>
    <w:rsid w:val="00387D61"/>
    <w:rsid w:val="00390534"/>
    <w:rsid w:val="00390FF5"/>
    <w:rsid w:val="003914C5"/>
    <w:rsid w:val="00391910"/>
    <w:rsid w:val="00393BB5"/>
    <w:rsid w:val="0039408F"/>
    <w:rsid w:val="003945AD"/>
    <w:rsid w:val="00396287"/>
    <w:rsid w:val="003A061C"/>
    <w:rsid w:val="003A0D11"/>
    <w:rsid w:val="003A2414"/>
    <w:rsid w:val="003A2866"/>
    <w:rsid w:val="003A4F5A"/>
    <w:rsid w:val="003A71C7"/>
    <w:rsid w:val="003B08FD"/>
    <w:rsid w:val="003B0AFA"/>
    <w:rsid w:val="003B0DA1"/>
    <w:rsid w:val="003B0E8C"/>
    <w:rsid w:val="003B20AA"/>
    <w:rsid w:val="003B249A"/>
    <w:rsid w:val="003B26E2"/>
    <w:rsid w:val="003B58BB"/>
    <w:rsid w:val="003B5D1E"/>
    <w:rsid w:val="003B5E0B"/>
    <w:rsid w:val="003B628D"/>
    <w:rsid w:val="003B6FB3"/>
    <w:rsid w:val="003B7472"/>
    <w:rsid w:val="003B7535"/>
    <w:rsid w:val="003B7BFC"/>
    <w:rsid w:val="003B7F6A"/>
    <w:rsid w:val="003C11BC"/>
    <w:rsid w:val="003C2805"/>
    <w:rsid w:val="003C28F3"/>
    <w:rsid w:val="003C3194"/>
    <w:rsid w:val="003C3372"/>
    <w:rsid w:val="003C3462"/>
    <w:rsid w:val="003C42E4"/>
    <w:rsid w:val="003C46A2"/>
    <w:rsid w:val="003C4D1C"/>
    <w:rsid w:val="003C58D1"/>
    <w:rsid w:val="003C64DD"/>
    <w:rsid w:val="003C71E5"/>
    <w:rsid w:val="003D184A"/>
    <w:rsid w:val="003D19F8"/>
    <w:rsid w:val="003D1F42"/>
    <w:rsid w:val="003D20EE"/>
    <w:rsid w:val="003D3018"/>
    <w:rsid w:val="003D5007"/>
    <w:rsid w:val="003D6871"/>
    <w:rsid w:val="003D6E54"/>
    <w:rsid w:val="003D7415"/>
    <w:rsid w:val="003E09D1"/>
    <w:rsid w:val="003E12F7"/>
    <w:rsid w:val="003E209C"/>
    <w:rsid w:val="003E489E"/>
    <w:rsid w:val="003E5C78"/>
    <w:rsid w:val="003E68BE"/>
    <w:rsid w:val="003F0134"/>
    <w:rsid w:val="003F0A57"/>
    <w:rsid w:val="003F0ADC"/>
    <w:rsid w:val="003F0DB2"/>
    <w:rsid w:val="003F1963"/>
    <w:rsid w:val="003F217D"/>
    <w:rsid w:val="003F2291"/>
    <w:rsid w:val="003F2B2D"/>
    <w:rsid w:val="003F2C86"/>
    <w:rsid w:val="003F315C"/>
    <w:rsid w:val="003F34C7"/>
    <w:rsid w:val="003F3B73"/>
    <w:rsid w:val="003F3E83"/>
    <w:rsid w:val="003F472D"/>
    <w:rsid w:val="003F4E03"/>
    <w:rsid w:val="003F7D27"/>
    <w:rsid w:val="00400239"/>
    <w:rsid w:val="004008E1"/>
    <w:rsid w:val="004047CD"/>
    <w:rsid w:val="00404AAD"/>
    <w:rsid w:val="0040639D"/>
    <w:rsid w:val="00406708"/>
    <w:rsid w:val="00410BB0"/>
    <w:rsid w:val="00411036"/>
    <w:rsid w:val="004127B1"/>
    <w:rsid w:val="0041288E"/>
    <w:rsid w:val="0041440C"/>
    <w:rsid w:val="0041552E"/>
    <w:rsid w:val="0041553F"/>
    <w:rsid w:val="004161D7"/>
    <w:rsid w:val="00416615"/>
    <w:rsid w:val="00416E9A"/>
    <w:rsid w:val="004209DA"/>
    <w:rsid w:val="00421692"/>
    <w:rsid w:val="00421E63"/>
    <w:rsid w:val="00423946"/>
    <w:rsid w:val="004244B8"/>
    <w:rsid w:val="0042621E"/>
    <w:rsid w:val="00427D48"/>
    <w:rsid w:val="00427EA0"/>
    <w:rsid w:val="004307B8"/>
    <w:rsid w:val="00432F06"/>
    <w:rsid w:val="00435244"/>
    <w:rsid w:val="004354F1"/>
    <w:rsid w:val="00436BC9"/>
    <w:rsid w:val="004405AA"/>
    <w:rsid w:val="00441B16"/>
    <w:rsid w:val="004420BE"/>
    <w:rsid w:val="004421EE"/>
    <w:rsid w:val="00442FF8"/>
    <w:rsid w:val="004432DE"/>
    <w:rsid w:val="00443BCD"/>
    <w:rsid w:val="00443C7D"/>
    <w:rsid w:val="00444C18"/>
    <w:rsid w:val="00445AD1"/>
    <w:rsid w:val="00445B4D"/>
    <w:rsid w:val="00445D2B"/>
    <w:rsid w:val="00446291"/>
    <w:rsid w:val="00446E26"/>
    <w:rsid w:val="00447347"/>
    <w:rsid w:val="004473C8"/>
    <w:rsid w:val="0045059E"/>
    <w:rsid w:val="0045213E"/>
    <w:rsid w:val="004521E2"/>
    <w:rsid w:val="00452B31"/>
    <w:rsid w:val="00454E63"/>
    <w:rsid w:val="00455514"/>
    <w:rsid w:val="00456023"/>
    <w:rsid w:val="00457962"/>
    <w:rsid w:val="00462751"/>
    <w:rsid w:val="00462C99"/>
    <w:rsid w:val="004633B0"/>
    <w:rsid w:val="00464675"/>
    <w:rsid w:val="00466754"/>
    <w:rsid w:val="00466A5B"/>
    <w:rsid w:val="00466AEC"/>
    <w:rsid w:val="004670FC"/>
    <w:rsid w:val="00470E1A"/>
    <w:rsid w:val="00471689"/>
    <w:rsid w:val="0047343E"/>
    <w:rsid w:val="00474895"/>
    <w:rsid w:val="00475979"/>
    <w:rsid w:val="004761E4"/>
    <w:rsid w:val="0047745E"/>
    <w:rsid w:val="00481663"/>
    <w:rsid w:val="00481770"/>
    <w:rsid w:val="00484397"/>
    <w:rsid w:val="00484AB5"/>
    <w:rsid w:val="00485DBD"/>
    <w:rsid w:val="00486243"/>
    <w:rsid w:val="00487133"/>
    <w:rsid w:val="004875ED"/>
    <w:rsid w:val="00487FE8"/>
    <w:rsid w:val="0049103F"/>
    <w:rsid w:val="00491BAB"/>
    <w:rsid w:val="00491FC0"/>
    <w:rsid w:val="00492792"/>
    <w:rsid w:val="00492EE0"/>
    <w:rsid w:val="00493C25"/>
    <w:rsid w:val="00493CBB"/>
    <w:rsid w:val="0049451E"/>
    <w:rsid w:val="004947D3"/>
    <w:rsid w:val="00494E43"/>
    <w:rsid w:val="004955BA"/>
    <w:rsid w:val="004960B4"/>
    <w:rsid w:val="004974AE"/>
    <w:rsid w:val="004A0490"/>
    <w:rsid w:val="004A08F1"/>
    <w:rsid w:val="004A09EF"/>
    <w:rsid w:val="004A0EAA"/>
    <w:rsid w:val="004A1F7A"/>
    <w:rsid w:val="004A44D7"/>
    <w:rsid w:val="004A5065"/>
    <w:rsid w:val="004A6A4B"/>
    <w:rsid w:val="004A6F6E"/>
    <w:rsid w:val="004A7C68"/>
    <w:rsid w:val="004B0031"/>
    <w:rsid w:val="004B0E0E"/>
    <w:rsid w:val="004B1151"/>
    <w:rsid w:val="004B247F"/>
    <w:rsid w:val="004B2A3C"/>
    <w:rsid w:val="004B2A4E"/>
    <w:rsid w:val="004B3FF4"/>
    <w:rsid w:val="004B5666"/>
    <w:rsid w:val="004B5B7D"/>
    <w:rsid w:val="004B7887"/>
    <w:rsid w:val="004B792B"/>
    <w:rsid w:val="004C02E6"/>
    <w:rsid w:val="004C06CC"/>
    <w:rsid w:val="004C1059"/>
    <w:rsid w:val="004C1C0E"/>
    <w:rsid w:val="004C20CD"/>
    <w:rsid w:val="004C251A"/>
    <w:rsid w:val="004C4F4A"/>
    <w:rsid w:val="004D04A7"/>
    <w:rsid w:val="004D1583"/>
    <w:rsid w:val="004D18CA"/>
    <w:rsid w:val="004D1F0E"/>
    <w:rsid w:val="004D23E1"/>
    <w:rsid w:val="004D29ED"/>
    <w:rsid w:val="004D3B04"/>
    <w:rsid w:val="004D3C85"/>
    <w:rsid w:val="004D43B8"/>
    <w:rsid w:val="004D4F84"/>
    <w:rsid w:val="004D5086"/>
    <w:rsid w:val="004D5A73"/>
    <w:rsid w:val="004D6F36"/>
    <w:rsid w:val="004D7E37"/>
    <w:rsid w:val="004E082B"/>
    <w:rsid w:val="004E0FF1"/>
    <w:rsid w:val="004E1065"/>
    <w:rsid w:val="004E2545"/>
    <w:rsid w:val="004E29B7"/>
    <w:rsid w:val="004E37A3"/>
    <w:rsid w:val="004E45CF"/>
    <w:rsid w:val="004E4613"/>
    <w:rsid w:val="004E4625"/>
    <w:rsid w:val="004E5659"/>
    <w:rsid w:val="004E7E90"/>
    <w:rsid w:val="004F0576"/>
    <w:rsid w:val="004F1A7A"/>
    <w:rsid w:val="004F1AF9"/>
    <w:rsid w:val="004F3495"/>
    <w:rsid w:val="004F39EA"/>
    <w:rsid w:val="004F59D5"/>
    <w:rsid w:val="004F6234"/>
    <w:rsid w:val="004F77F1"/>
    <w:rsid w:val="005007B2"/>
    <w:rsid w:val="0050294F"/>
    <w:rsid w:val="00504FD9"/>
    <w:rsid w:val="00505120"/>
    <w:rsid w:val="0050531C"/>
    <w:rsid w:val="00511BC1"/>
    <w:rsid w:val="00512E58"/>
    <w:rsid w:val="00515344"/>
    <w:rsid w:val="00517F04"/>
    <w:rsid w:val="005208ED"/>
    <w:rsid w:val="00520B74"/>
    <w:rsid w:val="00520D1C"/>
    <w:rsid w:val="005214EE"/>
    <w:rsid w:val="005218D2"/>
    <w:rsid w:val="00526DB6"/>
    <w:rsid w:val="005275F9"/>
    <w:rsid w:val="00527EAB"/>
    <w:rsid w:val="005308FF"/>
    <w:rsid w:val="00530A50"/>
    <w:rsid w:val="0053147C"/>
    <w:rsid w:val="00531EC9"/>
    <w:rsid w:val="0053212D"/>
    <w:rsid w:val="00532468"/>
    <w:rsid w:val="0053384C"/>
    <w:rsid w:val="00534633"/>
    <w:rsid w:val="00534DE6"/>
    <w:rsid w:val="00534EB7"/>
    <w:rsid w:val="00535590"/>
    <w:rsid w:val="00537B84"/>
    <w:rsid w:val="00537EAD"/>
    <w:rsid w:val="005409CB"/>
    <w:rsid w:val="005418FD"/>
    <w:rsid w:val="0054288D"/>
    <w:rsid w:val="005428E6"/>
    <w:rsid w:val="00543E99"/>
    <w:rsid w:val="005453D0"/>
    <w:rsid w:val="00545F93"/>
    <w:rsid w:val="005462B1"/>
    <w:rsid w:val="005465B0"/>
    <w:rsid w:val="00547AB9"/>
    <w:rsid w:val="00550EEB"/>
    <w:rsid w:val="00551260"/>
    <w:rsid w:val="00551EB3"/>
    <w:rsid w:val="00552F69"/>
    <w:rsid w:val="00554437"/>
    <w:rsid w:val="00555856"/>
    <w:rsid w:val="00556946"/>
    <w:rsid w:val="005606CF"/>
    <w:rsid w:val="00560B6A"/>
    <w:rsid w:val="005612C0"/>
    <w:rsid w:val="00561828"/>
    <w:rsid w:val="00561CB9"/>
    <w:rsid w:val="00561DD8"/>
    <w:rsid w:val="00562139"/>
    <w:rsid w:val="00562806"/>
    <w:rsid w:val="00563ABE"/>
    <w:rsid w:val="005644A6"/>
    <w:rsid w:val="00566008"/>
    <w:rsid w:val="005667D0"/>
    <w:rsid w:val="00567315"/>
    <w:rsid w:val="005678C6"/>
    <w:rsid w:val="00567B30"/>
    <w:rsid w:val="005710FC"/>
    <w:rsid w:val="0057114D"/>
    <w:rsid w:val="00571BBE"/>
    <w:rsid w:val="00572777"/>
    <w:rsid w:val="005729EF"/>
    <w:rsid w:val="00572B95"/>
    <w:rsid w:val="00573E87"/>
    <w:rsid w:val="005749A8"/>
    <w:rsid w:val="00575CE3"/>
    <w:rsid w:val="0057752E"/>
    <w:rsid w:val="00577633"/>
    <w:rsid w:val="00577F55"/>
    <w:rsid w:val="00580F3D"/>
    <w:rsid w:val="00580F53"/>
    <w:rsid w:val="00581775"/>
    <w:rsid w:val="00581FF9"/>
    <w:rsid w:val="00583ADD"/>
    <w:rsid w:val="005840D6"/>
    <w:rsid w:val="00585D4E"/>
    <w:rsid w:val="00586C41"/>
    <w:rsid w:val="00586F3F"/>
    <w:rsid w:val="005876DC"/>
    <w:rsid w:val="00587E53"/>
    <w:rsid w:val="00587F3E"/>
    <w:rsid w:val="005904CC"/>
    <w:rsid w:val="00593FE6"/>
    <w:rsid w:val="0059400C"/>
    <w:rsid w:val="0059557D"/>
    <w:rsid w:val="0059586E"/>
    <w:rsid w:val="00596010"/>
    <w:rsid w:val="00596A75"/>
    <w:rsid w:val="005A13F4"/>
    <w:rsid w:val="005A1920"/>
    <w:rsid w:val="005A260D"/>
    <w:rsid w:val="005A2FFD"/>
    <w:rsid w:val="005A3861"/>
    <w:rsid w:val="005A5072"/>
    <w:rsid w:val="005A576F"/>
    <w:rsid w:val="005A5F7F"/>
    <w:rsid w:val="005A6003"/>
    <w:rsid w:val="005A61B0"/>
    <w:rsid w:val="005A6CB5"/>
    <w:rsid w:val="005A6F37"/>
    <w:rsid w:val="005B0C34"/>
    <w:rsid w:val="005B299C"/>
    <w:rsid w:val="005B63BB"/>
    <w:rsid w:val="005B6833"/>
    <w:rsid w:val="005B6D9E"/>
    <w:rsid w:val="005B7578"/>
    <w:rsid w:val="005C15FE"/>
    <w:rsid w:val="005C2B5D"/>
    <w:rsid w:val="005C2D78"/>
    <w:rsid w:val="005C4A55"/>
    <w:rsid w:val="005C4C5F"/>
    <w:rsid w:val="005C585A"/>
    <w:rsid w:val="005C7807"/>
    <w:rsid w:val="005D0F76"/>
    <w:rsid w:val="005D0FFC"/>
    <w:rsid w:val="005D15BB"/>
    <w:rsid w:val="005D1C7F"/>
    <w:rsid w:val="005D3105"/>
    <w:rsid w:val="005D4621"/>
    <w:rsid w:val="005D47A4"/>
    <w:rsid w:val="005D6AE3"/>
    <w:rsid w:val="005D7FFC"/>
    <w:rsid w:val="005E12AA"/>
    <w:rsid w:val="005E1922"/>
    <w:rsid w:val="005E25DD"/>
    <w:rsid w:val="005E26D4"/>
    <w:rsid w:val="005E2A88"/>
    <w:rsid w:val="005E368F"/>
    <w:rsid w:val="005E3B91"/>
    <w:rsid w:val="005E4F18"/>
    <w:rsid w:val="005E583B"/>
    <w:rsid w:val="005E5C5B"/>
    <w:rsid w:val="005E6672"/>
    <w:rsid w:val="005E770F"/>
    <w:rsid w:val="005E7A7C"/>
    <w:rsid w:val="005F0372"/>
    <w:rsid w:val="005F30F1"/>
    <w:rsid w:val="005F3BEF"/>
    <w:rsid w:val="005F3E84"/>
    <w:rsid w:val="005F3F99"/>
    <w:rsid w:val="005F47AC"/>
    <w:rsid w:val="005F7B6F"/>
    <w:rsid w:val="00601CD6"/>
    <w:rsid w:val="006028DF"/>
    <w:rsid w:val="00602CC6"/>
    <w:rsid w:val="006030FD"/>
    <w:rsid w:val="006039AF"/>
    <w:rsid w:val="00603CBF"/>
    <w:rsid w:val="00603D18"/>
    <w:rsid w:val="006059D3"/>
    <w:rsid w:val="00605D91"/>
    <w:rsid w:val="00606615"/>
    <w:rsid w:val="00607055"/>
    <w:rsid w:val="00610AB7"/>
    <w:rsid w:val="00611D8C"/>
    <w:rsid w:val="00611FD7"/>
    <w:rsid w:val="0061243C"/>
    <w:rsid w:val="0061253E"/>
    <w:rsid w:val="0061342E"/>
    <w:rsid w:val="006142E2"/>
    <w:rsid w:val="006162A5"/>
    <w:rsid w:val="00616DF9"/>
    <w:rsid w:val="00617C5F"/>
    <w:rsid w:val="0062302D"/>
    <w:rsid w:val="00623D17"/>
    <w:rsid w:val="006243EB"/>
    <w:rsid w:val="00624E82"/>
    <w:rsid w:val="00626194"/>
    <w:rsid w:val="006265E8"/>
    <w:rsid w:val="00627428"/>
    <w:rsid w:val="00627A82"/>
    <w:rsid w:val="00630A0E"/>
    <w:rsid w:val="00632225"/>
    <w:rsid w:val="0063423E"/>
    <w:rsid w:val="006350D5"/>
    <w:rsid w:val="0063569E"/>
    <w:rsid w:val="00635F13"/>
    <w:rsid w:val="00636961"/>
    <w:rsid w:val="006370E2"/>
    <w:rsid w:val="006377C6"/>
    <w:rsid w:val="006402A1"/>
    <w:rsid w:val="00640884"/>
    <w:rsid w:val="00641020"/>
    <w:rsid w:val="006414DF"/>
    <w:rsid w:val="006415AD"/>
    <w:rsid w:val="00642F3A"/>
    <w:rsid w:val="00642FFA"/>
    <w:rsid w:val="006431CD"/>
    <w:rsid w:val="00643B02"/>
    <w:rsid w:val="00643BB8"/>
    <w:rsid w:val="00643E6B"/>
    <w:rsid w:val="0064420E"/>
    <w:rsid w:val="00644D66"/>
    <w:rsid w:val="00645B67"/>
    <w:rsid w:val="00645BF9"/>
    <w:rsid w:val="006466BD"/>
    <w:rsid w:val="00646EE3"/>
    <w:rsid w:val="006477DA"/>
    <w:rsid w:val="00647AD2"/>
    <w:rsid w:val="00647ECB"/>
    <w:rsid w:val="0065014A"/>
    <w:rsid w:val="006511F4"/>
    <w:rsid w:val="006526A7"/>
    <w:rsid w:val="006533C4"/>
    <w:rsid w:val="006550A3"/>
    <w:rsid w:val="00655158"/>
    <w:rsid w:val="00655A14"/>
    <w:rsid w:val="0065748B"/>
    <w:rsid w:val="006574BF"/>
    <w:rsid w:val="006579E3"/>
    <w:rsid w:val="00660EB4"/>
    <w:rsid w:val="00661556"/>
    <w:rsid w:val="00661AC1"/>
    <w:rsid w:val="00661B63"/>
    <w:rsid w:val="006630C2"/>
    <w:rsid w:val="006658DD"/>
    <w:rsid w:val="00666048"/>
    <w:rsid w:val="00667791"/>
    <w:rsid w:val="00667EBF"/>
    <w:rsid w:val="00670D6A"/>
    <w:rsid w:val="00671AE5"/>
    <w:rsid w:val="00672070"/>
    <w:rsid w:val="00673AFE"/>
    <w:rsid w:val="00675798"/>
    <w:rsid w:val="00675AA7"/>
    <w:rsid w:val="0067613D"/>
    <w:rsid w:val="00676926"/>
    <w:rsid w:val="00676C5A"/>
    <w:rsid w:val="0067741F"/>
    <w:rsid w:val="00680080"/>
    <w:rsid w:val="00680B99"/>
    <w:rsid w:val="00680DB8"/>
    <w:rsid w:val="00680E54"/>
    <w:rsid w:val="006822E3"/>
    <w:rsid w:val="00682700"/>
    <w:rsid w:val="00682A81"/>
    <w:rsid w:val="00683FE8"/>
    <w:rsid w:val="0068563D"/>
    <w:rsid w:val="00694069"/>
    <w:rsid w:val="006946C9"/>
    <w:rsid w:val="006948F2"/>
    <w:rsid w:val="00695A14"/>
    <w:rsid w:val="00695DED"/>
    <w:rsid w:val="00696710"/>
    <w:rsid w:val="006972FD"/>
    <w:rsid w:val="00697BE8"/>
    <w:rsid w:val="006A0B06"/>
    <w:rsid w:val="006A0CF8"/>
    <w:rsid w:val="006A16E5"/>
    <w:rsid w:val="006A230E"/>
    <w:rsid w:val="006A273F"/>
    <w:rsid w:val="006A2857"/>
    <w:rsid w:val="006A384E"/>
    <w:rsid w:val="006A39DA"/>
    <w:rsid w:val="006A3A52"/>
    <w:rsid w:val="006A44D4"/>
    <w:rsid w:val="006B0ED0"/>
    <w:rsid w:val="006B16CA"/>
    <w:rsid w:val="006B1EE3"/>
    <w:rsid w:val="006B3BB3"/>
    <w:rsid w:val="006B505E"/>
    <w:rsid w:val="006B518E"/>
    <w:rsid w:val="006B5276"/>
    <w:rsid w:val="006B64F9"/>
    <w:rsid w:val="006B67FB"/>
    <w:rsid w:val="006B690A"/>
    <w:rsid w:val="006B6F2D"/>
    <w:rsid w:val="006B72D9"/>
    <w:rsid w:val="006B73AE"/>
    <w:rsid w:val="006C2D93"/>
    <w:rsid w:val="006C3080"/>
    <w:rsid w:val="006C4286"/>
    <w:rsid w:val="006C46D5"/>
    <w:rsid w:val="006C4C3A"/>
    <w:rsid w:val="006C4F9F"/>
    <w:rsid w:val="006C51FA"/>
    <w:rsid w:val="006C5E73"/>
    <w:rsid w:val="006C5F12"/>
    <w:rsid w:val="006C7EEF"/>
    <w:rsid w:val="006D0E65"/>
    <w:rsid w:val="006D135C"/>
    <w:rsid w:val="006D15C6"/>
    <w:rsid w:val="006D2655"/>
    <w:rsid w:val="006D26D7"/>
    <w:rsid w:val="006D2AAA"/>
    <w:rsid w:val="006D2C91"/>
    <w:rsid w:val="006D3348"/>
    <w:rsid w:val="006D4C90"/>
    <w:rsid w:val="006D5A7D"/>
    <w:rsid w:val="006D61C8"/>
    <w:rsid w:val="006D6301"/>
    <w:rsid w:val="006D688B"/>
    <w:rsid w:val="006E0D68"/>
    <w:rsid w:val="006E121D"/>
    <w:rsid w:val="006E3CE4"/>
    <w:rsid w:val="006E3D2A"/>
    <w:rsid w:val="006E41B2"/>
    <w:rsid w:val="006E4472"/>
    <w:rsid w:val="006E6CF9"/>
    <w:rsid w:val="006F2313"/>
    <w:rsid w:val="006F2974"/>
    <w:rsid w:val="006F2BCE"/>
    <w:rsid w:val="006F3F45"/>
    <w:rsid w:val="006F448D"/>
    <w:rsid w:val="006F4718"/>
    <w:rsid w:val="006F48CC"/>
    <w:rsid w:val="006F5290"/>
    <w:rsid w:val="006F6CF7"/>
    <w:rsid w:val="00701C03"/>
    <w:rsid w:val="00703293"/>
    <w:rsid w:val="0070478E"/>
    <w:rsid w:val="00704B7F"/>
    <w:rsid w:val="00704FC0"/>
    <w:rsid w:val="00707639"/>
    <w:rsid w:val="0070778D"/>
    <w:rsid w:val="0071057D"/>
    <w:rsid w:val="00710ACA"/>
    <w:rsid w:val="00713971"/>
    <w:rsid w:val="0071542A"/>
    <w:rsid w:val="00715D94"/>
    <w:rsid w:val="00715DF0"/>
    <w:rsid w:val="0071737A"/>
    <w:rsid w:val="0072023F"/>
    <w:rsid w:val="0072045A"/>
    <w:rsid w:val="00720E2D"/>
    <w:rsid w:val="00720ED5"/>
    <w:rsid w:val="00720EF6"/>
    <w:rsid w:val="00720F71"/>
    <w:rsid w:val="007217B7"/>
    <w:rsid w:val="007221AC"/>
    <w:rsid w:val="00722E17"/>
    <w:rsid w:val="00724009"/>
    <w:rsid w:val="007244CE"/>
    <w:rsid w:val="00724CFF"/>
    <w:rsid w:val="007265A7"/>
    <w:rsid w:val="0072701E"/>
    <w:rsid w:val="0073101B"/>
    <w:rsid w:val="0073126D"/>
    <w:rsid w:val="00731566"/>
    <w:rsid w:val="00731EF3"/>
    <w:rsid w:val="00733AB1"/>
    <w:rsid w:val="00733CF5"/>
    <w:rsid w:val="0073494A"/>
    <w:rsid w:val="00736B8B"/>
    <w:rsid w:val="0073786E"/>
    <w:rsid w:val="00740729"/>
    <w:rsid w:val="00740915"/>
    <w:rsid w:val="0074220A"/>
    <w:rsid w:val="00742326"/>
    <w:rsid w:val="00744B76"/>
    <w:rsid w:val="007468A8"/>
    <w:rsid w:val="00751764"/>
    <w:rsid w:val="007537AF"/>
    <w:rsid w:val="00753F7C"/>
    <w:rsid w:val="00754488"/>
    <w:rsid w:val="00755095"/>
    <w:rsid w:val="007559AE"/>
    <w:rsid w:val="00755B8E"/>
    <w:rsid w:val="00756024"/>
    <w:rsid w:val="00756E56"/>
    <w:rsid w:val="00756EAC"/>
    <w:rsid w:val="00757B24"/>
    <w:rsid w:val="00761A43"/>
    <w:rsid w:val="0076206F"/>
    <w:rsid w:val="0076284A"/>
    <w:rsid w:val="00765771"/>
    <w:rsid w:val="00766BC5"/>
    <w:rsid w:val="00767E55"/>
    <w:rsid w:val="00771358"/>
    <w:rsid w:val="00772A5C"/>
    <w:rsid w:val="00773E22"/>
    <w:rsid w:val="00774381"/>
    <w:rsid w:val="007754D9"/>
    <w:rsid w:val="00775E58"/>
    <w:rsid w:val="007763CD"/>
    <w:rsid w:val="00776ABA"/>
    <w:rsid w:val="0077720A"/>
    <w:rsid w:val="00777F75"/>
    <w:rsid w:val="00780C15"/>
    <w:rsid w:val="00780CC9"/>
    <w:rsid w:val="0078140F"/>
    <w:rsid w:val="00782659"/>
    <w:rsid w:val="0078343C"/>
    <w:rsid w:val="00783509"/>
    <w:rsid w:val="00784043"/>
    <w:rsid w:val="00784702"/>
    <w:rsid w:val="00784A89"/>
    <w:rsid w:val="00784BA4"/>
    <w:rsid w:val="00784EB9"/>
    <w:rsid w:val="00784F14"/>
    <w:rsid w:val="00785819"/>
    <w:rsid w:val="00785977"/>
    <w:rsid w:val="007863CA"/>
    <w:rsid w:val="0078642D"/>
    <w:rsid w:val="00786EAD"/>
    <w:rsid w:val="0078727F"/>
    <w:rsid w:val="0079069A"/>
    <w:rsid w:val="00790744"/>
    <w:rsid w:val="00790EF6"/>
    <w:rsid w:val="0079134D"/>
    <w:rsid w:val="00791B1E"/>
    <w:rsid w:val="007924BC"/>
    <w:rsid w:val="0079309F"/>
    <w:rsid w:val="007937FE"/>
    <w:rsid w:val="00794675"/>
    <w:rsid w:val="00794884"/>
    <w:rsid w:val="00794C6A"/>
    <w:rsid w:val="007969F1"/>
    <w:rsid w:val="00796E05"/>
    <w:rsid w:val="0079781D"/>
    <w:rsid w:val="00797B1E"/>
    <w:rsid w:val="007A0386"/>
    <w:rsid w:val="007A04C1"/>
    <w:rsid w:val="007A22A1"/>
    <w:rsid w:val="007A4287"/>
    <w:rsid w:val="007A4322"/>
    <w:rsid w:val="007A4E29"/>
    <w:rsid w:val="007A4F47"/>
    <w:rsid w:val="007A5007"/>
    <w:rsid w:val="007A5E72"/>
    <w:rsid w:val="007A65FF"/>
    <w:rsid w:val="007A6FA1"/>
    <w:rsid w:val="007B038A"/>
    <w:rsid w:val="007B163D"/>
    <w:rsid w:val="007B21F6"/>
    <w:rsid w:val="007B24D7"/>
    <w:rsid w:val="007B25B0"/>
    <w:rsid w:val="007B2DD5"/>
    <w:rsid w:val="007B414D"/>
    <w:rsid w:val="007B52D2"/>
    <w:rsid w:val="007B5989"/>
    <w:rsid w:val="007B68EE"/>
    <w:rsid w:val="007B6B9A"/>
    <w:rsid w:val="007B716F"/>
    <w:rsid w:val="007B7553"/>
    <w:rsid w:val="007B76F7"/>
    <w:rsid w:val="007B7BFB"/>
    <w:rsid w:val="007C14C1"/>
    <w:rsid w:val="007C29E3"/>
    <w:rsid w:val="007C2CA7"/>
    <w:rsid w:val="007C31D2"/>
    <w:rsid w:val="007C59ED"/>
    <w:rsid w:val="007C5C73"/>
    <w:rsid w:val="007C63C9"/>
    <w:rsid w:val="007C6CB3"/>
    <w:rsid w:val="007C71FA"/>
    <w:rsid w:val="007D0BBB"/>
    <w:rsid w:val="007D11BB"/>
    <w:rsid w:val="007D2C62"/>
    <w:rsid w:val="007D63E0"/>
    <w:rsid w:val="007D74C7"/>
    <w:rsid w:val="007D76F8"/>
    <w:rsid w:val="007D7D76"/>
    <w:rsid w:val="007E2CC1"/>
    <w:rsid w:val="007E343C"/>
    <w:rsid w:val="007E49B3"/>
    <w:rsid w:val="007E7735"/>
    <w:rsid w:val="007E7DB7"/>
    <w:rsid w:val="007F0176"/>
    <w:rsid w:val="007F22F2"/>
    <w:rsid w:val="007F2961"/>
    <w:rsid w:val="007F2F49"/>
    <w:rsid w:val="007F35C8"/>
    <w:rsid w:val="007F3AD4"/>
    <w:rsid w:val="007F3F0D"/>
    <w:rsid w:val="007F4BE0"/>
    <w:rsid w:val="007F505D"/>
    <w:rsid w:val="007F61B8"/>
    <w:rsid w:val="007F6202"/>
    <w:rsid w:val="007F6F6F"/>
    <w:rsid w:val="007F7458"/>
    <w:rsid w:val="008015ED"/>
    <w:rsid w:val="008020B5"/>
    <w:rsid w:val="008024C4"/>
    <w:rsid w:val="00802F07"/>
    <w:rsid w:val="00803A4B"/>
    <w:rsid w:val="00804310"/>
    <w:rsid w:val="00804352"/>
    <w:rsid w:val="008066B0"/>
    <w:rsid w:val="00807B6B"/>
    <w:rsid w:val="008106C3"/>
    <w:rsid w:val="00812E53"/>
    <w:rsid w:val="00813C16"/>
    <w:rsid w:val="00814FF9"/>
    <w:rsid w:val="008153A2"/>
    <w:rsid w:val="008153E9"/>
    <w:rsid w:val="008160E1"/>
    <w:rsid w:val="0081637E"/>
    <w:rsid w:val="00816BC0"/>
    <w:rsid w:val="00817060"/>
    <w:rsid w:val="00817724"/>
    <w:rsid w:val="008201A6"/>
    <w:rsid w:val="00820754"/>
    <w:rsid w:val="008208EF"/>
    <w:rsid w:val="00821484"/>
    <w:rsid w:val="00821858"/>
    <w:rsid w:val="008227F5"/>
    <w:rsid w:val="008228AC"/>
    <w:rsid w:val="00822914"/>
    <w:rsid w:val="00822A13"/>
    <w:rsid w:val="00822AD0"/>
    <w:rsid w:val="00823EBE"/>
    <w:rsid w:val="00824F1D"/>
    <w:rsid w:val="00825677"/>
    <w:rsid w:val="00826AF2"/>
    <w:rsid w:val="00827070"/>
    <w:rsid w:val="00832E2D"/>
    <w:rsid w:val="00833811"/>
    <w:rsid w:val="00834098"/>
    <w:rsid w:val="008344F0"/>
    <w:rsid w:val="00835605"/>
    <w:rsid w:val="00840B25"/>
    <w:rsid w:val="008415F8"/>
    <w:rsid w:val="0084292E"/>
    <w:rsid w:val="008434BD"/>
    <w:rsid w:val="00843C79"/>
    <w:rsid w:val="00845AA5"/>
    <w:rsid w:val="0084605F"/>
    <w:rsid w:val="00846970"/>
    <w:rsid w:val="008479DA"/>
    <w:rsid w:val="00847C2A"/>
    <w:rsid w:val="00851C6F"/>
    <w:rsid w:val="00852DA4"/>
    <w:rsid w:val="0085369C"/>
    <w:rsid w:val="00855258"/>
    <w:rsid w:val="008566F8"/>
    <w:rsid w:val="00857534"/>
    <w:rsid w:val="00857B73"/>
    <w:rsid w:val="00860177"/>
    <w:rsid w:val="00860558"/>
    <w:rsid w:val="00860695"/>
    <w:rsid w:val="00862832"/>
    <w:rsid w:val="008638D1"/>
    <w:rsid w:val="00863E8E"/>
    <w:rsid w:val="00865317"/>
    <w:rsid w:val="00865842"/>
    <w:rsid w:val="00866D8B"/>
    <w:rsid w:val="00867127"/>
    <w:rsid w:val="00867536"/>
    <w:rsid w:val="008701B1"/>
    <w:rsid w:val="00871ED3"/>
    <w:rsid w:val="00873BC4"/>
    <w:rsid w:val="008756E7"/>
    <w:rsid w:val="008766FF"/>
    <w:rsid w:val="008776AA"/>
    <w:rsid w:val="00880632"/>
    <w:rsid w:val="008813B5"/>
    <w:rsid w:val="00881439"/>
    <w:rsid w:val="0088168F"/>
    <w:rsid w:val="00882640"/>
    <w:rsid w:val="00885359"/>
    <w:rsid w:val="0088571E"/>
    <w:rsid w:val="00885BBC"/>
    <w:rsid w:val="00885D08"/>
    <w:rsid w:val="00887911"/>
    <w:rsid w:val="00890DDA"/>
    <w:rsid w:val="0089134C"/>
    <w:rsid w:val="008913BF"/>
    <w:rsid w:val="00891F8B"/>
    <w:rsid w:val="008924DB"/>
    <w:rsid w:val="00892D10"/>
    <w:rsid w:val="00893936"/>
    <w:rsid w:val="00893F0B"/>
    <w:rsid w:val="00894302"/>
    <w:rsid w:val="0089461D"/>
    <w:rsid w:val="0089568D"/>
    <w:rsid w:val="0089569A"/>
    <w:rsid w:val="00895E4F"/>
    <w:rsid w:val="00896797"/>
    <w:rsid w:val="00896BB6"/>
    <w:rsid w:val="00897063"/>
    <w:rsid w:val="00897AF9"/>
    <w:rsid w:val="008A0A8D"/>
    <w:rsid w:val="008A1A58"/>
    <w:rsid w:val="008A313A"/>
    <w:rsid w:val="008A41E7"/>
    <w:rsid w:val="008A440F"/>
    <w:rsid w:val="008A4D84"/>
    <w:rsid w:val="008A4DDD"/>
    <w:rsid w:val="008A6204"/>
    <w:rsid w:val="008A6741"/>
    <w:rsid w:val="008A6826"/>
    <w:rsid w:val="008A7C2D"/>
    <w:rsid w:val="008B0F22"/>
    <w:rsid w:val="008B196F"/>
    <w:rsid w:val="008B1DC6"/>
    <w:rsid w:val="008B2531"/>
    <w:rsid w:val="008B341A"/>
    <w:rsid w:val="008B4A27"/>
    <w:rsid w:val="008B4D09"/>
    <w:rsid w:val="008B5140"/>
    <w:rsid w:val="008B5FE9"/>
    <w:rsid w:val="008B72CE"/>
    <w:rsid w:val="008C052F"/>
    <w:rsid w:val="008C0B5E"/>
    <w:rsid w:val="008C2223"/>
    <w:rsid w:val="008C358C"/>
    <w:rsid w:val="008C5257"/>
    <w:rsid w:val="008C6377"/>
    <w:rsid w:val="008C6EAA"/>
    <w:rsid w:val="008D0524"/>
    <w:rsid w:val="008D186F"/>
    <w:rsid w:val="008D2F03"/>
    <w:rsid w:val="008D33FF"/>
    <w:rsid w:val="008D3BE6"/>
    <w:rsid w:val="008D3DC7"/>
    <w:rsid w:val="008D40F5"/>
    <w:rsid w:val="008D4821"/>
    <w:rsid w:val="008D4981"/>
    <w:rsid w:val="008D59CE"/>
    <w:rsid w:val="008D6F58"/>
    <w:rsid w:val="008E15A7"/>
    <w:rsid w:val="008E1847"/>
    <w:rsid w:val="008E5141"/>
    <w:rsid w:val="008E52DE"/>
    <w:rsid w:val="008E758E"/>
    <w:rsid w:val="008F1044"/>
    <w:rsid w:val="008F1AF2"/>
    <w:rsid w:val="008F2C01"/>
    <w:rsid w:val="008F3178"/>
    <w:rsid w:val="008F45F7"/>
    <w:rsid w:val="008F50A1"/>
    <w:rsid w:val="008F57E4"/>
    <w:rsid w:val="008F682C"/>
    <w:rsid w:val="008F6CA5"/>
    <w:rsid w:val="008F7790"/>
    <w:rsid w:val="008F7A69"/>
    <w:rsid w:val="008F7AC8"/>
    <w:rsid w:val="008F7B38"/>
    <w:rsid w:val="00900339"/>
    <w:rsid w:val="009006DA"/>
    <w:rsid w:val="00901156"/>
    <w:rsid w:val="009028DE"/>
    <w:rsid w:val="00902CEC"/>
    <w:rsid w:val="00903149"/>
    <w:rsid w:val="009034C5"/>
    <w:rsid w:val="00903E4A"/>
    <w:rsid w:val="00903EC3"/>
    <w:rsid w:val="00905529"/>
    <w:rsid w:val="00905737"/>
    <w:rsid w:val="00911BB8"/>
    <w:rsid w:val="00913C4D"/>
    <w:rsid w:val="00913CA4"/>
    <w:rsid w:val="00914297"/>
    <w:rsid w:val="00914D7D"/>
    <w:rsid w:val="0091532C"/>
    <w:rsid w:val="0092047B"/>
    <w:rsid w:val="009207A6"/>
    <w:rsid w:val="009218A5"/>
    <w:rsid w:val="0092274D"/>
    <w:rsid w:val="009241A7"/>
    <w:rsid w:val="00926E9E"/>
    <w:rsid w:val="00927752"/>
    <w:rsid w:val="00927E67"/>
    <w:rsid w:val="00930D4D"/>
    <w:rsid w:val="00931FCC"/>
    <w:rsid w:val="00934F24"/>
    <w:rsid w:val="009358D2"/>
    <w:rsid w:val="009358F9"/>
    <w:rsid w:val="00936248"/>
    <w:rsid w:val="00936500"/>
    <w:rsid w:val="00936822"/>
    <w:rsid w:val="00937ACF"/>
    <w:rsid w:val="00937CD6"/>
    <w:rsid w:val="0094019D"/>
    <w:rsid w:val="00940EEB"/>
    <w:rsid w:val="00943B36"/>
    <w:rsid w:val="00943B39"/>
    <w:rsid w:val="009453A3"/>
    <w:rsid w:val="00946537"/>
    <w:rsid w:val="009473ED"/>
    <w:rsid w:val="0094758A"/>
    <w:rsid w:val="00951B28"/>
    <w:rsid w:val="00951CE6"/>
    <w:rsid w:val="00952EDA"/>
    <w:rsid w:val="00953643"/>
    <w:rsid w:val="00953D15"/>
    <w:rsid w:val="00953DD4"/>
    <w:rsid w:val="00954520"/>
    <w:rsid w:val="00957EC5"/>
    <w:rsid w:val="00957FC8"/>
    <w:rsid w:val="00960817"/>
    <w:rsid w:val="0096423F"/>
    <w:rsid w:val="00964E77"/>
    <w:rsid w:val="009650F6"/>
    <w:rsid w:val="00965F08"/>
    <w:rsid w:val="00966278"/>
    <w:rsid w:val="00966C9C"/>
    <w:rsid w:val="009675A8"/>
    <w:rsid w:val="00967C17"/>
    <w:rsid w:val="009711A8"/>
    <w:rsid w:val="009712D3"/>
    <w:rsid w:val="009724DD"/>
    <w:rsid w:val="00972736"/>
    <w:rsid w:val="00973815"/>
    <w:rsid w:val="00973944"/>
    <w:rsid w:val="00974595"/>
    <w:rsid w:val="009764F5"/>
    <w:rsid w:val="00977FDF"/>
    <w:rsid w:val="00981491"/>
    <w:rsid w:val="00981C19"/>
    <w:rsid w:val="00982067"/>
    <w:rsid w:val="009823BC"/>
    <w:rsid w:val="00982DD8"/>
    <w:rsid w:val="009831FE"/>
    <w:rsid w:val="009837A9"/>
    <w:rsid w:val="00983E34"/>
    <w:rsid w:val="00984F32"/>
    <w:rsid w:val="009852E2"/>
    <w:rsid w:val="009866E6"/>
    <w:rsid w:val="009868C0"/>
    <w:rsid w:val="00986FE6"/>
    <w:rsid w:val="009879AF"/>
    <w:rsid w:val="00991533"/>
    <w:rsid w:val="009920CA"/>
    <w:rsid w:val="009922BF"/>
    <w:rsid w:val="009933DF"/>
    <w:rsid w:val="00996906"/>
    <w:rsid w:val="009A0B37"/>
    <w:rsid w:val="009A13B2"/>
    <w:rsid w:val="009A19C8"/>
    <w:rsid w:val="009A19EF"/>
    <w:rsid w:val="009A2193"/>
    <w:rsid w:val="009A2687"/>
    <w:rsid w:val="009A34F0"/>
    <w:rsid w:val="009A3985"/>
    <w:rsid w:val="009A442E"/>
    <w:rsid w:val="009A45F8"/>
    <w:rsid w:val="009A5258"/>
    <w:rsid w:val="009A52B7"/>
    <w:rsid w:val="009A5404"/>
    <w:rsid w:val="009A594F"/>
    <w:rsid w:val="009A6A14"/>
    <w:rsid w:val="009A7925"/>
    <w:rsid w:val="009B04F7"/>
    <w:rsid w:val="009B2A56"/>
    <w:rsid w:val="009B4D57"/>
    <w:rsid w:val="009B5CE2"/>
    <w:rsid w:val="009B622C"/>
    <w:rsid w:val="009B71F1"/>
    <w:rsid w:val="009B739B"/>
    <w:rsid w:val="009B79B5"/>
    <w:rsid w:val="009C0EC8"/>
    <w:rsid w:val="009C17D3"/>
    <w:rsid w:val="009C1A4B"/>
    <w:rsid w:val="009C31D3"/>
    <w:rsid w:val="009C48D9"/>
    <w:rsid w:val="009C4CA5"/>
    <w:rsid w:val="009C4F85"/>
    <w:rsid w:val="009C5F79"/>
    <w:rsid w:val="009C67A5"/>
    <w:rsid w:val="009C6BA1"/>
    <w:rsid w:val="009C767E"/>
    <w:rsid w:val="009C7979"/>
    <w:rsid w:val="009D1875"/>
    <w:rsid w:val="009D1E12"/>
    <w:rsid w:val="009D23F1"/>
    <w:rsid w:val="009D305F"/>
    <w:rsid w:val="009D3D5D"/>
    <w:rsid w:val="009D62B7"/>
    <w:rsid w:val="009D63DF"/>
    <w:rsid w:val="009D7B9E"/>
    <w:rsid w:val="009E02E4"/>
    <w:rsid w:val="009E0491"/>
    <w:rsid w:val="009E04A0"/>
    <w:rsid w:val="009E2655"/>
    <w:rsid w:val="009E40F9"/>
    <w:rsid w:val="009E4A4B"/>
    <w:rsid w:val="009E52C5"/>
    <w:rsid w:val="009E604B"/>
    <w:rsid w:val="009E67A3"/>
    <w:rsid w:val="009E7898"/>
    <w:rsid w:val="009F2373"/>
    <w:rsid w:val="009F37D6"/>
    <w:rsid w:val="009F5452"/>
    <w:rsid w:val="009F5880"/>
    <w:rsid w:val="00A01837"/>
    <w:rsid w:val="00A01A21"/>
    <w:rsid w:val="00A023A6"/>
    <w:rsid w:val="00A02D62"/>
    <w:rsid w:val="00A04F34"/>
    <w:rsid w:val="00A06BFF"/>
    <w:rsid w:val="00A0702D"/>
    <w:rsid w:val="00A07B16"/>
    <w:rsid w:val="00A118DF"/>
    <w:rsid w:val="00A12DBA"/>
    <w:rsid w:val="00A12E4E"/>
    <w:rsid w:val="00A12FA2"/>
    <w:rsid w:val="00A13AA1"/>
    <w:rsid w:val="00A13B90"/>
    <w:rsid w:val="00A13EA6"/>
    <w:rsid w:val="00A14F42"/>
    <w:rsid w:val="00A157D2"/>
    <w:rsid w:val="00A1694E"/>
    <w:rsid w:val="00A16991"/>
    <w:rsid w:val="00A21BBC"/>
    <w:rsid w:val="00A222C3"/>
    <w:rsid w:val="00A22CCB"/>
    <w:rsid w:val="00A22F8A"/>
    <w:rsid w:val="00A239EB"/>
    <w:rsid w:val="00A24250"/>
    <w:rsid w:val="00A267AD"/>
    <w:rsid w:val="00A30505"/>
    <w:rsid w:val="00A31E98"/>
    <w:rsid w:val="00A33CB4"/>
    <w:rsid w:val="00A34737"/>
    <w:rsid w:val="00A350BE"/>
    <w:rsid w:val="00A35152"/>
    <w:rsid w:val="00A35F6C"/>
    <w:rsid w:val="00A3640C"/>
    <w:rsid w:val="00A36691"/>
    <w:rsid w:val="00A410D2"/>
    <w:rsid w:val="00A41D3E"/>
    <w:rsid w:val="00A42D77"/>
    <w:rsid w:val="00A433C8"/>
    <w:rsid w:val="00A43EEE"/>
    <w:rsid w:val="00A45218"/>
    <w:rsid w:val="00A464DA"/>
    <w:rsid w:val="00A46BE0"/>
    <w:rsid w:val="00A46F79"/>
    <w:rsid w:val="00A478AF"/>
    <w:rsid w:val="00A50011"/>
    <w:rsid w:val="00A5126F"/>
    <w:rsid w:val="00A5496F"/>
    <w:rsid w:val="00A54EA5"/>
    <w:rsid w:val="00A554A6"/>
    <w:rsid w:val="00A55A83"/>
    <w:rsid w:val="00A560AF"/>
    <w:rsid w:val="00A56624"/>
    <w:rsid w:val="00A56E89"/>
    <w:rsid w:val="00A5770B"/>
    <w:rsid w:val="00A605B9"/>
    <w:rsid w:val="00A616E3"/>
    <w:rsid w:val="00A6300D"/>
    <w:rsid w:val="00A651CE"/>
    <w:rsid w:val="00A66844"/>
    <w:rsid w:val="00A66B41"/>
    <w:rsid w:val="00A67631"/>
    <w:rsid w:val="00A678EC"/>
    <w:rsid w:val="00A67E2B"/>
    <w:rsid w:val="00A708AF"/>
    <w:rsid w:val="00A714ED"/>
    <w:rsid w:val="00A71607"/>
    <w:rsid w:val="00A71CA9"/>
    <w:rsid w:val="00A71CB0"/>
    <w:rsid w:val="00A72B07"/>
    <w:rsid w:val="00A738B0"/>
    <w:rsid w:val="00A74F1A"/>
    <w:rsid w:val="00A76172"/>
    <w:rsid w:val="00A77DA5"/>
    <w:rsid w:val="00A77EA9"/>
    <w:rsid w:val="00A80E07"/>
    <w:rsid w:val="00A81258"/>
    <w:rsid w:val="00A81454"/>
    <w:rsid w:val="00A8147D"/>
    <w:rsid w:val="00A8286D"/>
    <w:rsid w:val="00A83CB4"/>
    <w:rsid w:val="00A83D7F"/>
    <w:rsid w:val="00A8475B"/>
    <w:rsid w:val="00A84813"/>
    <w:rsid w:val="00A85095"/>
    <w:rsid w:val="00A85C30"/>
    <w:rsid w:val="00A87AB8"/>
    <w:rsid w:val="00A90B82"/>
    <w:rsid w:val="00A910E7"/>
    <w:rsid w:val="00A91A47"/>
    <w:rsid w:val="00A91B3E"/>
    <w:rsid w:val="00A93A7D"/>
    <w:rsid w:val="00A93F9F"/>
    <w:rsid w:val="00A95CC8"/>
    <w:rsid w:val="00A966AB"/>
    <w:rsid w:val="00A96C7D"/>
    <w:rsid w:val="00AA05F2"/>
    <w:rsid w:val="00AA1E65"/>
    <w:rsid w:val="00AA2EE3"/>
    <w:rsid w:val="00AA3018"/>
    <w:rsid w:val="00AA31B9"/>
    <w:rsid w:val="00AA430D"/>
    <w:rsid w:val="00AA4833"/>
    <w:rsid w:val="00AA4ABC"/>
    <w:rsid w:val="00AA4D09"/>
    <w:rsid w:val="00AA4E3D"/>
    <w:rsid w:val="00AA530F"/>
    <w:rsid w:val="00AA590F"/>
    <w:rsid w:val="00AA5D0D"/>
    <w:rsid w:val="00AA6041"/>
    <w:rsid w:val="00AA7A41"/>
    <w:rsid w:val="00AB09AF"/>
    <w:rsid w:val="00AB1BD7"/>
    <w:rsid w:val="00AB1FB5"/>
    <w:rsid w:val="00AB2213"/>
    <w:rsid w:val="00AB3FB4"/>
    <w:rsid w:val="00AB51E7"/>
    <w:rsid w:val="00AB53F9"/>
    <w:rsid w:val="00AB6C54"/>
    <w:rsid w:val="00AB6E17"/>
    <w:rsid w:val="00AB708C"/>
    <w:rsid w:val="00AB71CC"/>
    <w:rsid w:val="00AB7C49"/>
    <w:rsid w:val="00AB7CFD"/>
    <w:rsid w:val="00AC017B"/>
    <w:rsid w:val="00AC1B61"/>
    <w:rsid w:val="00AC21AF"/>
    <w:rsid w:val="00AC24FF"/>
    <w:rsid w:val="00AC25A0"/>
    <w:rsid w:val="00AC3760"/>
    <w:rsid w:val="00AC40A4"/>
    <w:rsid w:val="00AC5DB8"/>
    <w:rsid w:val="00AD0000"/>
    <w:rsid w:val="00AD1A51"/>
    <w:rsid w:val="00AD28A3"/>
    <w:rsid w:val="00AD4299"/>
    <w:rsid w:val="00AD47C7"/>
    <w:rsid w:val="00AD5BCD"/>
    <w:rsid w:val="00AD5FDB"/>
    <w:rsid w:val="00AD6451"/>
    <w:rsid w:val="00AD6ADA"/>
    <w:rsid w:val="00AE0183"/>
    <w:rsid w:val="00AE1873"/>
    <w:rsid w:val="00AE19C9"/>
    <w:rsid w:val="00AE28FF"/>
    <w:rsid w:val="00AE2F60"/>
    <w:rsid w:val="00AE3CAF"/>
    <w:rsid w:val="00AE3D01"/>
    <w:rsid w:val="00AE4A41"/>
    <w:rsid w:val="00AE673B"/>
    <w:rsid w:val="00AE6ED3"/>
    <w:rsid w:val="00AE6F73"/>
    <w:rsid w:val="00AE70E6"/>
    <w:rsid w:val="00AF03D6"/>
    <w:rsid w:val="00AF0893"/>
    <w:rsid w:val="00AF0E75"/>
    <w:rsid w:val="00AF1E90"/>
    <w:rsid w:val="00AF1FA6"/>
    <w:rsid w:val="00AF2960"/>
    <w:rsid w:val="00AF3FCB"/>
    <w:rsid w:val="00AF41D1"/>
    <w:rsid w:val="00AF41E9"/>
    <w:rsid w:val="00AF4BD1"/>
    <w:rsid w:val="00AF53B6"/>
    <w:rsid w:val="00AF55F5"/>
    <w:rsid w:val="00AF56E3"/>
    <w:rsid w:val="00AF75C8"/>
    <w:rsid w:val="00B0058F"/>
    <w:rsid w:val="00B015A3"/>
    <w:rsid w:val="00B03D7A"/>
    <w:rsid w:val="00B041D7"/>
    <w:rsid w:val="00B04775"/>
    <w:rsid w:val="00B053A8"/>
    <w:rsid w:val="00B05E82"/>
    <w:rsid w:val="00B10371"/>
    <w:rsid w:val="00B11FD7"/>
    <w:rsid w:val="00B12376"/>
    <w:rsid w:val="00B124A1"/>
    <w:rsid w:val="00B129D7"/>
    <w:rsid w:val="00B131D9"/>
    <w:rsid w:val="00B1696C"/>
    <w:rsid w:val="00B17832"/>
    <w:rsid w:val="00B17991"/>
    <w:rsid w:val="00B20150"/>
    <w:rsid w:val="00B2099C"/>
    <w:rsid w:val="00B20B05"/>
    <w:rsid w:val="00B21320"/>
    <w:rsid w:val="00B22FF4"/>
    <w:rsid w:val="00B2382A"/>
    <w:rsid w:val="00B246AC"/>
    <w:rsid w:val="00B25070"/>
    <w:rsid w:val="00B258C5"/>
    <w:rsid w:val="00B26322"/>
    <w:rsid w:val="00B26D64"/>
    <w:rsid w:val="00B279DC"/>
    <w:rsid w:val="00B30E28"/>
    <w:rsid w:val="00B316D3"/>
    <w:rsid w:val="00B31F5F"/>
    <w:rsid w:val="00B32DB0"/>
    <w:rsid w:val="00B33033"/>
    <w:rsid w:val="00B33D06"/>
    <w:rsid w:val="00B352F9"/>
    <w:rsid w:val="00B36EA8"/>
    <w:rsid w:val="00B374A6"/>
    <w:rsid w:val="00B3777E"/>
    <w:rsid w:val="00B4006F"/>
    <w:rsid w:val="00B40D93"/>
    <w:rsid w:val="00B43230"/>
    <w:rsid w:val="00B432F6"/>
    <w:rsid w:val="00B445C6"/>
    <w:rsid w:val="00B465E0"/>
    <w:rsid w:val="00B50CE2"/>
    <w:rsid w:val="00B511E4"/>
    <w:rsid w:val="00B51C36"/>
    <w:rsid w:val="00B52F10"/>
    <w:rsid w:val="00B53981"/>
    <w:rsid w:val="00B54478"/>
    <w:rsid w:val="00B54E1B"/>
    <w:rsid w:val="00B54F01"/>
    <w:rsid w:val="00B557A2"/>
    <w:rsid w:val="00B557DA"/>
    <w:rsid w:val="00B55A6D"/>
    <w:rsid w:val="00B55B81"/>
    <w:rsid w:val="00B56213"/>
    <w:rsid w:val="00B61028"/>
    <w:rsid w:val="00B632B2"/>
    <w:rsid w:val="00B63354"/>
    <w:rsid w:val="00B64355"/>
    <w:rsid w:val="00B64895"/>
    <w:rsid w:val="00B66418"/>
    <w:rsid w:val="00B72547"/>
    <w:rsid w:val="00B72EE0"/>
    <w:rsid w:val="00B7562F"/>
    <w:rsid w:val="00B769EB"/>
    <w:rsid w:val="00B76AA0"/>
    <w:rsid w:val="00B77316"/>
    <w:rsid w:val="00B77626"/>
    <w:rsid w:val="00B81022"/>
    <w:rsid w:val="00B822F0"/>
    <w:rsid w:val="00B844A9"/>
    <w:rsid w:val="00B853E8"/>
    <w:rsid w:val="00B85FB4"/>
    <w:rsid w:val="00B871F8"/>
    <w:rsid w:val="00B900DF"/>
    <w:rsid w:val="00B90385"/>
    <w:rsid w:val="00B9137B"/>
    <w:rsid w:val="00B9191D"/>
    <w:rsid w:val="00B92658"/>
    <w:rsid w:val="00B92897"/>
    <w:rsid w:val="00B93425"/>
    <w:rsid w:val="00B94070"/>
    <w:rsid w:val="00B94370"/>
    <w:rsid w:val="00B964E2"/>
    <w:rsid w:val="00B96558"/>
    <w:rsid w:val="00B96F42"/>
    <w:rsid w:val="00B979B7"/>
    <w:rsid w:val="00BA17F1"/>
    <w:rsid w:val="00BA1A7E"/>
    <w:rsid w:val="00BA31DA"/>
    <w:rsid w:val="00BA323B"/>
    <w:rsid w:val="00BA3917"/>
    <w:rsid w:val="00BA3B99"/>
    <w:rsid w:val="00BA55CA"/>
    <w:rsid w:val="00BA5F02"/>
    <w:rsid w:val="00BA6BD2"/>
    <w:rsid w:val="00BA7B58"/>
    <w:rsid w:val="00BA7E36"/>
    <w:rsid w:val="00BB049C"/>
    <w:rsid w:val="00BB08E2"/>
    <w:rsid w:val="00BB09FE"/>
    <w:rsid w:val="00BB0C23"/>
    <w:rsid w:val="00BB0ECC"/>
    <w:rsid w:val="00BB30A2"/>
    <w:rsid w:val="00BB3B7E"/>
    <w:rsid w:val="00BB3C6E"/>
    <w:rsid w:val="00BB3E4C"/>
    <w:rsid w:val="00BB4279"/>
    <w:rsid w:val="00BB4722"/>
    <w:rsid w:val="00BB5555"/>
    <w:rsid w:val="00BB677A"/>
    <w:rsid w:val="00BB6F6C"/>
    <w:rsid w:val="00BC00E7"/>
    <w:rsid w:val="00BC1771"/>
    <w:rsid w:val="00BC1900"/>
    <w:rsid w:val="00BC23C9"/>
    <w:rsid w:val="00BC253A"/>
    <w:rsid w:val="00BC30D2"/>
    <w:rsid w:val="00BC3374"/>
    <w:rsid w:val="00BC3FF0"/>
    <w:rsid w:val="00BC4398"/>
    <w:rsid w:val="00BC4CD9"/>
    <w:rsid w:val="00BC4DA0"/>
    <w:rsid w:val="00BC50A4"/>
    <w:rsid w:val="00BC6FAA"/>
    <w:rsid w:val="00BC7739"/>
    <w:rsid w:val="00BD040F"/>
    <w:rsid w:val="00BD09C9"/>
    <w:rsid w:val="00BD0E77"/>
    <w:rsid w:val="00BD1065"/>
    <w:rsid w:val="00BD1A04"/>
    <w:rsid w:val="00BD1D30"/>
    <w:rsid w:val="00BD2ADE"/>
    <w:rsid w:val="00BD35CF"/>
    <w:rsid w:val="00BD3B94"/>
    <w:rsid w:val="00BD3E7F"/>
    <w:rsid w:val="00BD7277"/>
    <w:rsid w:val="00BD753F"/>
    <w:rsid w:val="00BE0727"/>
    <w:rsid w:val="00BE1321"/>
    <w:rsid w:val="00BE24B7"/>
    <w:rsid w:val="00BE24FE"/>
    <w:rsid w:val="00BE44C4"/>
    <w:rsid w:val="00BE7945"/>
    <w:rsid w:val="00BE7FA1"/>
    <w:rsid w:val="00BF2286"/>
    <w:rsid w:val="00BF28D1"/>
    <w:rsid w:val="00BF2F4C"/>
    <w:rsid w:val="00BF496B"/>
    <w:rsid w:val="00BF4B7E"/>
    <w:rsid w:val="00BF5327"/>
    <w:rsid w:val="00BF68FD"/>
    <w:rsid w:val="00C0041F"/>
    <w:rsid w:val="00C01879"/>
    <w:rsid w:val="00C01886"/>
    <w:rsid w:val="00C02535"/>
    <w:rsid w:val="00C02952"/>
    <w:rsid w:val="00C03AC6"/>
    <w:rsid w:val="00C0508B"/>
    <w:rsid w:val="00C05C6E"/>
    <w:rsid w:val="00C06197"/>
    <w:rsid w:val="00C11B10"/>
    <w:rsid w:val="00C11D05"/>
    <w:rsid w:val="00C120EB"/>
    <w:rsid w:val="00C1219B"/>
    <w:rsid w:val="00C1340B"/>
    <w:rsid w:val="00C13560"/>
    <w:rsid w:val="00C13D74"/>
    <w:rsid w:val="00C142B3"/>
    <w:rsid w:val="00C14AC8"/>
    <w:rsid w:val="00C14D4C"/>
    <w:rsid w:val="00C16996"/>
    <w:rsid w:val="00C17BFE"/>
    <w:rsid w:val="00C17EB4"/>
    <w:rsid w:val="00C2003E"/>
    <w:rsid w:val="00C2111A"/>
    <w:rsid w:val="00C239E1"/>
    <w:rsid w:val="00C2458D"/>
    <w:rsid w:val="00C25E7C"/>
    <w:rsid w:val="00C26986"/>
    <w:rsid w:val="00C2707A"/>
    <w:rsid w:val="00C31200"/>
    <w:rsid w:val="00C333CF"/>
    <w:rsid w:val="00C33DA5"/>
    <w:rsid w:val="00C35744"/>
    <w:rsid w:val="00C359BE"/>
    <w:rsid w:val="00C35CBD"/>
    <w:rsid w:val="00C4006C"/>
    <w:rsid w:val="00C4045A"/>
    <w:rsid w:val="00C407D0"/>
    <w:rsid w:val="00C42003"/>
    <w:rsid w:val="00C423BE"/>
    <w:rsid w:val="00C4280D"/>
    <w:rsid w:val="00C42CA7"/>
    <w:rsid w:val="00C42DCC"/>
    <w:rsid w:val="00C42DFF"/>
    <w:rsid w:val="00C44BB4"/>
    <w:rsid w:val="00C4523F"/>
    <w:rsid w:val="00C45AFA"/>
    <w:rsid w:val="00C47CE9"/>
    <w:rsid w:val="00C504F5"/>
    <w:rsid w:val="00C545BE"/>
    <w:rsid w:val="00C56047"/>
    <w:rsid w:val="00C57D63"/>
    <w:rsid w:val="00C613D8"/>
    <w:rsid w:val="00C61FA2"/>
    <w:rsid w:val="00C65385"/>
    <w:rsid w:val="00C658E8"/>
    <w:rsid w:val="00C677F4"/>
    <w:rsid w:val="00C7123C"/>
    <w:rsid w:val="00C7389D"/>
    <w:rsid w:val="00C7477F"/>
    <w:rsid w:val="00C75309"/>
    <w:rsid w:val="00C7699A"/>
    <w:rsid w:val="00C776DF"/>
    <w:rsid w:val="00C80711"/>
    <w:rsid w:val="00C80DC5"/>
    <w:rsid w:val="00C81B14"/>
    <w:rsid w:val="00C82482"/>
    <w:rsid w:val="00C831FD"/>
    <w:rsid w:val="00C8326E"/>
    <w:rsid w:val="00C83D5D"/>
    <w:rsid w:val="00C8417C"/>
    <w:rsid w:val="00C84587"/>
    <w:rsid w:val="00C87874"/>
    <w:rsid w:val="00C87CBE"/>
    <w:rsid w:val="00C87DBF"/>
    <w:rsid w:val="00C905F9"/>
    <w:rsid w:val="00C916C7"/>
    <w:rsid w:val="00C91B3B"/>
    <w:rsid w:val="00C91C2F"/>
    <w:rsid w:val="00C9206F"/>
    <w:rsid w:val="00C922E8"/>
    <w:rsid w:val="00C93E9A"/>
    <w:rsid w:val="00C93EFF"/>
    <w:rsid w:val="00C96EEA"/>
    <w:rsid w:val="00C97F26"/>
    <w:rsid w:val="00CA13D4"/>
    <w:rsid w:val="00CA182D"/>
    <w:rsid w:val="00CA1CA4"/>
    <w:rsid w:val="00CA5015"/>
    <w:rsid w:val="00CA5357"/>
    <w:rsid w:val="00CA7D47"/>
    <w:rsid w:val="00CB0100"/>
    <w:rsid w:val="00CB0351"/>
    <w:rsid w:val="00CB1134"/>
    <w:rsid w:val="00CB1408"/>
    <w:rsid w:val="00CB14B4"/>
    <w:rsid w:val="00CB15DF"/>
    <w:rsid w:val="00CB1B3D"/>
    <w:rsid w:val="00CB1CA6"/>
    <w:rsid w:val="00CB4C6B"/>
    <w:rsid w:val="00CB4C90"/>
    <w:rsid w:val="00CB4E8D"/>
    <w:rsid w:val="00CB6954"/>
    <w:rsid w:val="00CB7F93"/>
    <w:rsid w:val="00CC13EB"/>
    <w:rsid w:val="00CC15FC"/>
    <w:rsid w:val="00CC1A90"/>
    <w:rsid w:val="00CC2883"/>
    <w:rsid w:val="00CC2AB2"/>
    <w:rsid w:val="00CC32A8"/>
    <w:rsid w:val="00CC32FC"/>
    <w:rsid w:val="00CC3731"/>
    <w:rsid w:val="00CC3E15"/>
    <w:rsid w:val="00CC3EDF"/>
    <w:rsid w:val="00CC3FF9"/>
    <w:rsid w:val="00CC4B8D"/>
    <w:rsid w:val="00CC5C30"/>
    <w:rsid w:val="00CC5C3E"/>
    <w:rsid w:val="00CC65A8"/>
    <w:rsid w:val="00CC6E4F"/>
    <w:rsid w:val="00CC6ED4"/>
    <w:rsid w:val="00CC7641"/>
    <w:rsid w:val="00CC7E71"/>
    <w:rsid w:val="00CD2A59"/>
    <w:rsid w:val="00CD3EAF"/>
    <w:rsid w:val="00CD4481"/>
    <w:rsid w:val="00CD4BD1"/>
    <w:rsid w:val="00CD52C4"/>
    <w:rsid w:val="00CD6B61"/>
    <w:rsid w:val="00CD78BA"/>
    <w:rsid w:val="00CE109E"/>
    <w:rsid w:val="00CE12AF"/>
    <w:rsid w:val="00CE1748"/>
    <w:rsid w:val="00CE1F79"/>
    <w:rsid w:val="00CE201A"/>
    <w:rsid w:val="00CE21F3"/>
    <w:rsid w:val="00CE2A5B"/>
    <w:rsid w:val="00CE2BAF"/>
    <w:rsid w:val="00CE330C"/>
    <w:rsid w:val="00CE364D"/>
    <w:rsid w:val="00CE566C"/>
    <w:rsid w:val="00CE77DA"/>
    <w:rsid w:val="00CE7854"/>
    <w:rsid w:val="00CF2F8B"/>
    <w:rsid w:val="00CF418C"/>
    <w:rsid w:val="00CF4253"/>
    <w:rsid w:val="00CF577D"/>
    <w:rsid w:val="00CF6ECF"/>
    <w:rsid w:val="00CF6FE0"/>
    <w:rsid w:val="00D00105"/>
    <w:rsid w:val="00D01169"/>
    <w:rsid w:val="00D011F8"/>
    <w:rsid w:val="00D01800"/>
    <w:rsid w:val="00D0294E"/>
    <w:rsid w:val="00D02F51"/>
    <w:rsid w:val="00D03117"/>
    <w:rsid w:val="00D03733"/>
    <w:rsid w:val="00D05948"/>
    <w:rsid w:val="00D05BFE"/>
    <w:rsid w:val="00D060A6"/>
    <w:rsid w:val="00D068EF"/>
    <w:rsid w:val="00D06FA4"/>
    <w:rsid w:val="00D10FF1"/>
    <w:rsid w:val="00D119DD"/>
    <w:rsid w:val="00D1210A"/>
    <w:rsid w:val="00D124B0"/>
    <w:rsid w:val="00D12817"/>
    <w:rsid w:val="00D12F20"/>
    <w:rsid w:val="00D1434E"/>
    <w:rsid w:val="00D14BFE"/>
    <w:rsid w:val="00D20FE9"/>
    <w:rsid w:val="00D21998"/>
    <w:rsid w:val="00D22F40"/>
    <w:rsid w:val="00D2364C"/>
    <w:rsid w:val="00D238F9"/>
    <w:rsid w:val="00D2393A"/>
    <w:rsid w:val="00D256A9"/>
    <w:rsid w:val="00D265AA"/>
    <w:rsid w:val="00D26B58"/>
    <w:rsid w:val="00D26F29"/>
    <w:rsid w:val="00D2744D"/>
    <w:rsid w:val="00D278FA"/>
    <w:rsid w:val="00D301D1"/>
    <w:rsid w:val="00D30AA3"/>
    <w:rsid w:val="00D312D9"/>
    <w:rsid w:val="00D319E5"/>
    <w:rsid w:val="00D31F27"/>
    <w:rsid w:val="00D32F8F"/>
    <w:rsid w:val="00D355B4"/>
    <w:rsid w:val="00D36399"/>
    <w:rsid w:val="00D37101"/>
    <w:rsid w:val="00D37C48"/>
    <w:rsid w:val="00D40413"/>
    <w:rsid w:val="00D410C0"/>
    <w:rsid w:val="00D41C11"/>
    <w:rsid w:val="00D43BC4"/>
    <w:rsid w:val="00D451AE"/>
    <w:rsid w:val="00D4529C"/>
    <w:rsid w:val="00D45A30"/>
    <w:rsid w:val="00D468BC"/>
    <w:rsid w:val="00D4710C"/>
    <w:rsid w:val="00D47A1D"/>
    <w:rsid w:val="00D47F8E"/>
    <w:rsid w:val="00D5011D"/>
    <w:rsid w:val="00D50900"/>
    <w:rsid w:val="00D50E7C"/>
    <w:rsid w:val="00D54B72"/>
    <w:rsid w:val="00D560A3"/>
    <w:rsid w:val="00D566DD"/>
    <w:rsid w:val="00D56819"/>
    <w:rsid w:val="00D56B60"/>
    <w:rsid w:val="00D56D24"/>
    <w:rsid w:val="00D57197"/>
    <w:rsid w:val="00D57749"/>
    <w:rsid w:val="00D60B84"/>
    <w:rsid w:val="00D61165"/>
    <w:rsid w:val="00D6171B"/>
    <w:rsid w:val="00D62215"/>
    <w:rsid w:val="00D62B9C"/>
    <w:rsid w:val="00D62F7A"/>
    <w:rsid w:val="00D63431"/>
    <w:rsid w:val="00D63E89"/>
    <w:rsid w:val="00D6434D"/>
    <w:rsid w:val="00D649D8"/>
    <w:rsid w:val="00D65F4F"/>
    <w:rsid w:val="00D6775C"/>
    <w:rsid w:val="00D70E2E"/>
    <w:rsid w:val="00D731D1"/>
    <w:rsid w:val="00D7366A"/>
    <w:rsid w:val="00D74291"/>
    <w:rsid w:val="00D74BEC"/>
    <w:rsid w:val="00D75351"/>
    <w:rsid w:val="00D762C7"/>
    <w:rsid w:val="00D76655"/>
    <w:rsid w:val="00D76A86"/>
    <w:rsid w:val="00D76C86"/>
    <w:rsid w:val="00D7726E"/>
    <w:rsid w:val="00D81B10"/>
    <w:rsid w:val="00D81E70"/>
    <w:rsid w:val="00D84042"/>
    <w:rsid w:val="00D84AB8"/>
    <w:rsid w:val="00D84EE8"/>
    <w:rsid w:val="00D85136"/>
    <w:rsid w:val="00D85741"/>
    <w:rsid w:val="00D85FF2"/>
    <w:rsid w:val="00D8671F"/>
    <w:rsid w:val="00D87393"/>
    <w:rsid w:val="00D87B40"/>
    <w:rsid w:val="00D87C78"/>
    <w:rsid w:val="00D87F82"/>
    <w:rsid w:val="00D90165"/>
    <w:rsid w:val="00D90F5A"/>
    <w:rsid w:val="00D910FD"/>
    <w:rsid w:val="00D917F6"/>
    <w:rsid w:val="00D91A93"/>
    <w:rsid w:val="00D91FAA"/>
    <w:rsid w:val="00D940C3"/>
    <w:rsid w:val="00D945EA"/>
    <w:rsid w:val="00D945EE"/>
    <w:rsid w:val="00D9525B"/>
    <w:rsid w:val="00D954EA"/>
    <w:rsid w:val="00D95D02"/>
    <w:rsid w:val="00D9684B"/>
    <w:rsid w:val="00DA2C6C"/>
    <w:rsid w:val="00DA402A"/>
    <w:rsid w:val="00DA45E8"/>
    <w:rsid w:val="00DA520D"/>
    <w:rsid w:val="00DA52D8"/>
    <w:rsid w:val="00DA5A47"/>
    <w:rsid w:val="00DA68B7"/>
    <w:rsid w:val="00DA72BD"/>
    <w:rsid w:val="00DA7CB3"/>
    <w:rsid w:val="00DB1B6B"/>
    <w:rsid w:val="00DB2943"/>
    <w:rsid w:val="00DB2B76"/>
    <w:rsid w:val="00DB4AA6"/>
    <w:rsid w:val="00DB5AF3"/>
    <w:rsid w:val="00DB6E36"/>
    <w:rsid w:val="00DC01D4"/>
    <w:rsid w:val="00DC0C15"/>
    <w:rsid w:val="00DC14F0"/>
    <w:rsid w:val="00DC16D0"/>
    <w:rsid w:val="00DC1835"/>
    <w:rsid w:val="00DC46B0"/>
    <w:rsid w:val="00DC578E"/>
    <w:rsid w:val="00DC6DC1"/>
    <w:rsid w:val="00DC6E1C"/>
    <w:rsid w:val="00DC7A63"/>
    <w:rsid w:val="00DD12AF"/>
    <w:rsid w:val="00DD24EF"/>
    <w:rsid w:val="00DD2D82"/>
    <w:rsid w:val="00DD2DFC"/>
    <w:rsid w:val="00DD343C"/>
    <w:rsid w:val="00DD4F29"/>
    <w:rsid w:val="00DD55E7"/>
    <w:rsid w:val="00DD5E2E"/>
    <w:rsid w:val="00DD6A42"/>
    <w:rsid w:val="00DD6FE7"/>
    <w:rsid w:val="00DD7D8C"/>
    <w:rsid w:val="00DE155F"/>
    <w:rsid w:val="00DE20DF"/>
    <w:rsid w:val="00DE379A"/>
    <w:rsid w:val="00DE3E00"/>
    <w:rsid w:val="00DE3F68"/>
    <w:rsid w:val="00DE64BD"/>
    <w:rsid w:val="00DE699E"/>
    <w:rsid w:val="00DF11E6"/>
    <w:rsid w:val="00DF1AE3"/>
    <w:rsid w:val="00DF1EF5"/>
    <w:rsid w:val="00DF3917"/>
    <w:rsid w:val="00DF404F"/>
    <w:rsid w:val="00DF6370"/>
    <w:rsid w:val="00DF7910"/>
    <w:rsid w:val="00E001D6"/>
    <w:rsid w:val="00E002F6"/>
    <w:rsid w:val="00E007EF"/>
    <w:rsid w:val="00E008E1"/>
    <w:rsid w:val="00E015FA"/>
    <w:rsid w:val="00E0345E"/>
    <w:rsid w:val="00E04492"/>
    <w:rsid w:val="00E0554B"/>
    <w:rsid w:val="00E056E3"/>
    <w:rsid w:val="00E056ED"/>
    <w:rsid w:val="00E058C4"/>
    <w:rsid w:val="00E0593C"/>
    <w:rsid w:val="00E0597F"/>
    <w:rsid w:val="00E06BB6"/>
    <w:rsid w:val="00E06BED"/>
    <w:rsid w:val="00E0701D"/>
    <w:rsid w:val="00E07CB1"/>
    <w:rsid w:val="00E10DCB"/>
    <w:rsid w:val="00E116C2"/>
    <w:rsid w:val="00E11B05"/>
    <w:rsid w:val="00E12719"/>
    <w:rsid w:val="00E13F8D"/>
    <w:rsid w:val="00E140AC"/>
    <w:rsid w:val="00E144C7"/>
    <w:rsid w:val="00E14BEC"/>
    <w:rsid w:val="00E15F91"/>
    <w:rsid w:val="00E1628E"/>
    <w:rsid w:val="00E163BC"/>
    <w:rsid w:val="00E16455"/>
    <w:rsid w:val="00E17B7F"/>
    <w:rsid w:val="00E17C1F"/>
    <w:rsid w:val="00E17C83"/>
    <w:rsid w:val="00E17E44"/>
    <w:rsid w:val="00E2074A"/>
    <w:rsid w:val="00E21990"/>
    <w:rsid w:val="00E21A15"/>
    <w:rsid w:val="00E22629"/>
    <w:rsid w:val="00E22F74"/>
    <w:rsid w:val="00E239B0"/>
    <w:rsid w:val="00E2547A"/>
    <w:rsid w:val="00E26755"/>
    <w:rsid w:val="00E278F9"/>
    <w:rsid w:val="00E3011E"/>
    <w:rsid w:val="00E3192D"/>
    <w:rsid w:val="00E33374"/>
    <w:rsid w:val="00E3350F"/>
    <w:rsid w:val="00E354AA"/>
    <w:rsid w:val="00E3552A"/>
    <w:rsid w:val="00E36300"/>
    <w:rsid w:val="00E37840"/>
    <w:rsid w:val="00E42D66"/>
    <w:rsid w:val="00E43D85"/>
    <w:rsid w:val="00E4410B"/>
    <w:rsid w:val="00E44487"/>
    <w:rsid w:val="00E44894"/>
    <w:rsid w:val="00E461EF"/>
    <w:rsid w:val="00E46BE8"/>
    <w:rsid w:val="00E4778D"/>
    <w:rsid w:val="00E50D8A"/>
    <w:rsid w:val="00E50E9C"/>
    <w:rsid w:val="00E51112"/>
    <w:rsid w:val="00E516ED"/>
    <w:rsid w:val="00E54F94"/>
    <w:rsid w:val="00E56201"/>
    <w:rsid w:val="00E562B8"/>
    <w:rsid w:val="00E57506"/>
    <w:rsid w:val="00E57EC6"/>
    <w:rsid w:val="00E60766"/>
    <w:rsid w:val="00E6188A"/>
    <w:rsid w:val="00E61D15"/>
    <w:rsid w:val="00E6206F"/>
    <w:rsid w:val="00E620DB"/>
    <w:rsid w:val="00E63CC6"/>
    <w:rsid w:val="00E63F7E"/>
    <w:rsid w:val="00E64319"/>
    <w:rsid w:val="00E64D09"/>
    <w:rsid w:val="00E670F6"/>
    <w:rsid w:val="00E67891"/>
    <w:rsid w:val="00E70C4B"/>
    <w:rsid w:val="00E713AA"/>
    <w:rsid w:val="00E7177D"/>
    <w:rsid w:val="00E71B17"/>
    <w:rsid w:val="00E73528"/>
    <w:rsid w:val="00E735D6"/>
    <w:rsid w:val="00E73D4E"/>
    <w:rsid w:val="00E742AE"/>
    <w:rsid w:val="00E745E3"/>
    <w:rsid w:val="00E74A43"/>
    <w:rsid w:val="00E74BF3"/>
    <w:rsid w:val="00E75008"/>
    <w:rsid w:val="00E76791"/>
    <w:rsid w:val="00E76C02"/>
    <w:rsid w:val="00E76EB5"/>
    <w:rsid w:val="00E776EF"/>
    <w:rsid w:val="00E7794C"/>
    <w:rsid w:val="00E814DA"/>
    <w:rsid w:val="00E81BAE"/>
    <w:rsid w:val="00E81D72"/>
    <w:rsid w:val="00E8217E"/>
    <w:rsid w:val="00E829D1"/>
    <w:rsid w:val="00E82E52"/>
    <w:rsid w:val="00E834EB"/>
    <w:rsid w:val="00E83979"/>
    <w:rsid w:val="00E840D1"/>
    <w:rsid w:val="00E84965"/>
    <w:rsid w:val="00E8632F"/>
    <w:rsid w:val="00E868B5"/>
    <w:rsid w:val="00E869B2"/>
    <w:rsid w:val="00E874C1"/>
    <w:rsid w:val="00E8794B"/>
    <w:rsid w:val="00E902BA"/>
    <w:rsid w:val="00E9164C"/>
    <w:rsid w:val="00E92066"/>
    <w:rsid w:val="00E9311C"/>
    <w:rsid w:val="00E93C83"/>
    <w:rsid w:val="00E94F4D"/>
    <w:rsid w:val="00E95454"/>
    <w:rsid w:val="00E95981"/>
    <w:rsid w:val="00E96C9F"/>
    <w:rsid w:val="00E97147"/>
    <w:rsid w:val="00E97471"/>
    <w:rsid w:val="00E9771C"/>
    <w:rsid w:val="00EA0906"/>
    <w:rsid w:val="00EA0E05"/>
    <w:rsid w:val="00EA10E8"/>
    <w:rsid w:val="00EA1A5A"/>
    <w:rsid w:val="00EA24A9"/>
    <w:rsid w:val="00EA3EA8"/>
    <w:rsid w:val="00EA4825"/>
    <w:rsid w:val="00EA49C7"/>
    <w:rsid w:val="00EA606D"/>
    <w:rsid w:val="00EA6278"/>
    <w:rsid w:val="00EA6EED"/>
    <w:rsid w:val="00EB139B"/>
    <w:rsid w:val="00EB1565"/>
    <w:rsid w:val="00EB22F6"/>
    <w:rsid w:val="00EB3067"/>
    <w:rsid w:val="00EB3258"/>
    <w:rsid w:val="00EB415B"/>
    <w:rsid w:val="00EB4C56"/>
    <w:rsid w:val="00EB5EBB"/>
    <w:rsid w:val="00EB64F5"/>
    <w:rsid w:val="00EC02A6"/>
    <w:rsid w:val="00EC1629"/>
    <w:rsid w:val="00EC27F8"/>
    <w:rsid w:val="00EC73B2"/>
    <w:rsid w:val="00ED1057"/>
    <w:rsid w:val="00ED34C2"/>
    <w:rsid w:val="00ED489C"/>
    <w:rsid w:val="00ED5476"/>
    <w:rsid w:val="00ED75EE"/>
    <w:rsid w:val="00EE00AF"/>
    <w:rsid w:val="00EE124D"/>
    <w:rsid w:val="00EE39D5"/>
    <w:rsid w:val="00EE41D1"/>
    <w:rsid w:val="00EE42E6"/>
    <w:rsid w:val="00EE4BFC"/>
    <w:rsid w:val="00EE559D"/>
    <w:rsid w:val="00EE5D39"/>
    <w:rsid w:val="00EE5D45"/>
    <w:rsid w:val="00EE68CD"/>
    <w:rsid w:val="00EE77CF"/>
    <w:rsid w:val="00EE7BCC"/>
    <w:rsid w:val="00EF045E"/>
    <w:rsid w:val="00EF38BB"/>
    <w:rsid w:val="00EF3CB0"/>
    <w:rsid w:val="00EF4023"/>
    <w:rsid w:val="00EF477A"/>
    <w:rsid w:val="00EF4B01"/>
    <w:rsid w:val="00EF573E"/>
    <w:rsid w:val="00EF5D91"/>
    <w:rsid w:val="00EF6D12"/>
    <w:rsid w:val="00EF7A26"/>
    <w:rsid w:val="00EF7F5C"/>
    <w:rsid w:val="00F00057"/>
    <w:rsid w:val="00F01020"/>
    <w:rsid w:val="00F01338"/>
    <w:rsid w:val="00F01796"/>
    <w:rsid w:val="00F022F3"/>
    <w:rsid w:val="00F0352C"/>
    <w:rsid w:val="00F05DFD"/>
    <w:rsid w:val="00F06485"/>
    <w:rsid w:val="00F06C56"/>
    <w:rsid w:val="00F06EAC"/>
    <w:rsid w:val="00F078C7"/>
    <w:rsid w:val="00F07E20"/>
    <w:rsid w:val="00F112F4"/>
    <w:rsid w:val="00F11C78"/>
    <w:rsid w:val="00F122F7"/>
    <w:rsid w:val="00F12FFF"/>
    <w:rsid w:val="00F132E8"/>
    <w:rsid w:val="00F135E1"/>
    <w:rsid w:val="00F139F3"/>
    <w:rsid w:val="00F13E24"/>
    <w:rsid w:val="00F165DC"/>
    <w:rsid w:val="00F172A9"/>
    <w:rsid w:val="00F2061D"/>
    <w:rsid w:val="00F20B79"/>
    <w:rsid w:val="00F225F6"/>
    <w:rsid w:val="00F256D4"/>
    <w:rsid w:val="00F260DC"/>
    <w:rsid w:val="00F302CE"/>
    <w:rsid w:val="00F31873"/>
    <w:rsid w:val="00F34678"/>
    <w:rsid w:val="00F3593B"/>
    <w:rsid w:val="00F35A23"/>
    <w:rsid w:val="00F35CBE"/>
    <w:rsid w:val="00F35EF1"/>
    <w:rsid w:val="00F37982"/>
    <w:rsid w:val="00F40334"/>
    <w:rsid w:val="00F40457"/>
    <w:rsid w:val="00F40DEC"/>
    <w:rsid w:val="00F419EA"/>
    <w:rsid w:val="00F41C06"/>
    <w:rsid w:val="00F4234D"/>
    <w:rsid w:val="00F424D0"/>
    <w:rsid w:val="00F439B0"/>
    <w:rsid w:val="00F43A2A"/>
    <w:rsid w:val="00F4420E"/>
    <w:rsid w:val="00F44B5E"/>
    <w:rsid w:val="00F44E4A"/>
    <w:rsid w:val="00F4524C"/>
    <w:rsid w:val="00F46903"/>
    <w:rsid w:val="00F50B43"/>
    <w:rsid w:val="00F50B93"/>
    <w:rsid w:val="00F50BD1"/>
    <w:rsid w:val="00F5252E"/>
    <w:rsid w:val="00F52616"/>
    <w:rsid w:val="00F52704"/>
    <w:rsid w:val="00F53CAD"/>
    <w:rsid w:val="00F5481A"/>
    <w:rsid w:val="00F5503C"/>
    <w:rsid w:val="00F57C71"/>
    <w:rsid w:val="00F60D11"/>
    <w:rsid w:val="00F621AC"/>
    <w:rsid w:val="00F63525"/>
    <w:rsid w:val="00F63973"/>
    <w:rsid w:val="00F63B58"/>
    <w:rsid w:val="00F644C0"/>
    <w:rsid w:val="00F64C0E"/>
    <w:rsid w:val="00F658E2"/>
    <w:rsid w:val="00F672EB"/>
    <w:rsid w:val="00F6781C"/>
    <w:rsid w:val="00F6793B"/>
    <w:rsid w:val="00F70B9E"/>
    <w:rsid w:val="00F71423"/>
    <w:rsid w:val="00F71553"/>
    <w:rsid w:val="00F71EC0"/>
    <w:rsid w:val="00F7215E"/>
    <w:rsid w:val="00F72E4F"/>
    <w:rsid w:val="00F72F47"/>
    <w:rsid w:val="00F738FA"/>
    <w:rsid w:val="00F74492"/>
    <w:rsid w:val="00F762D9"/>
    <w:rsid w:val="00F8037F"/>
    <w:rsid w:val="00F81179"/>
    <w:rsid w:val="00F811B6"/>
    <w:rsid w:val="00F81CE0"/>
    <w:rsid w:val="00F83261"/>
    <w:rsid w:val="00F85574"/>
    <w:rsid w:val="00F856FD"/>
    <w:rsid w:val="00F868CF"/>
    <w:rsid w:val="00F877A1"/>
    <w:rsid w:val="00F90387"/>
    <w:rsid w:val="00F90462"/>
    <w:rsid w:val="00F9085D"/>
    <w:rsid w:val="00F9388D"/>
    <w:rsid w:val="00F93F87"/>
    <w:rsid w:val="00F94439"/>
    <w:rsid w:val="00F94A3D"/>
    <w:rsid w:val="00F952D4"/>
    <w:rsid w:val="00F95633"/>
    <w:rsid w:val="00F962EA"/>
    <w:rsid w:val="00F96DD0"/>
    <w:rsid w:val="00F971CF"/>
    <w:rsid w:val="00FA0124"/>
    <w:rsid w:val="00FA1AC8"/>
    <w:rsid w:val="00FA1C03"/>
    <w:rsid w:val="00FA2BF9"/>
    <w:rsid w:val="00FA2F81"/>
    <w:rsid w:val="00FA300F"/>
    <w:rsid w:val="00FA4F7B"/>
    <w:rsid w:val="00FA4F81"/>
    <w:rsid w:val="00FA6A71"/>
    <w:rsid w:val="00FB34E7"/>
    <w:rsid w:val="00FB3CC1"/>
    <w:rsid w:val="00FB42B5"/>
    <w:rsid w:val="00FB4A38"/>
    <w:rsid w:val="00FB63E5"/>
    <w:rsid w:val="00FB6BA6"/>
    <w:rsid w:val="00FB7B97"/>
    <w:rsid w:val="00FC0A95"/>
    <w:rsid w:val="00FC0B72"/>
    <w:rsid w:val="00FC140D"/>
    <w:rsid w:val="00FC17FB"/>
    <w:rsid w:val="00FC1B82"/>
    <w:rsid w:val="00FC1F81"/>
    <w:rsid w:val="00FC336C"/>
    <w:rsid w:val="00FC45A8"/>
    <w:rsid w:val="00FC5642"/>
    <w:rsid w:val="00FC56CB"/>
    <w:rsid w:val="00FC6900"/>
    <w:rsid w:val="00FC72B5"/>
    <w:rsid w:val="00FD0271"/>
    <w:rsid w:val="00FD1A76"/>
    <w:rsid w:val="00FD1C1F"/>
    <w:rsid w:val="00FD4C32"/>
    <w:rsid w:val="00FD4F72"/>
    <w:rsid w:val="00FD6A0D"/>
    <w:rsid w:val="00FD79EB"/>
    <w:rsid w:val="00FE1E3B"/>
    <w:rsid w:val="00FE3620"/>
    <w:rsid w:val="00FE38B8"/>
    <w:rsid w:val="00FE5EE3"/>
    <w:rsid w:val="00FE7544"/>
    <w:rsid w:val="00FE77A9"/>
    <w:rsid w:val="00FE79B1"/>
    <w:rsid w:val="00FF04F2"/>
    <w:rsid w:val="00FF084C"/>
    <w:rsid w:val="00FF0D60"/>
    <w:rsid w:val="00FF175A"/>
    <w:rsid w:val="00FF1ABA"/>
    <w:rsid w:val="00FF1B59"/>
    <w:rsid w:val="00FF1D86"/>
    <w:rsid w:val="00FF286E"/>
    <w:rsid w:val="00FF3048"/>
    <w:rsid w:val="00FF7AAE"/>
    <w:rsid w:val="00FF7C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73C8"/>
    <w:pPr>
      <w:spacing w:after="240"/>
      <w:jc w:val="both"/>
    </w:pPr>
    <w:rPr>
      <w:rFonts w:asciiTheme="minorHAnsi" w:hAnsiTheme="minorHAnsi"/>
      <w:sz w:val="24"/>
      <w:szCs w:val="24"/>
    </w:rPr>
  </w:style>
  <w:style w:type="paragraph" w:styleId="Nadpis1">
    <w:name w:val="heading 1"/>
    <w:basedOn w:val="Normln"/>
    <w:next w:val="Normln"/>
    <w:link w:val="Nadpis1Char"/>
    <w:autoRedefine/>
    <w:uiPriority w:val="9"/>
    <w:qFormat/>
    <w:rsid w:val="001560D9"/>
    <w:pPr>
      <w:keepNext/>
      <w:numPr>
        <w:numId w:val="86"/>
      </w:numPr>
      <w:overflowPunct w:val="0"/>
      <w:autoSpaceDE w:val="0"/>
      <w:autoSpaceDN w:val="0"/>
      <w:adjustRightInd w:val="0"/>
      <w:spacing w:before="240"/>
      <w:ind w:left="431" w:hanging="431"/>
      <w:textAlignment w:val="baseline"/>
      <w:outlineLvl w:val="0"/>
    </w:pPr>
    <w:rPr>
      <w:rFonts w:ascii="Calibri" w:hAnsi="Calibri" w:cs="Calibri"/>
      <w:b/>
      <w:sz w:val="32"/>
      <w:szCs w:val="32"/>
    </w:rPr>
  </w:style>
  <w:style w:type="paragraph" w:styleId="Nadpis2">
    <w:name w:val="heading 2"/>
    <w:basedOn w:val="Normln"/>
    <w:next w:val="Normln"/>
    <w:link w:val="Nadpis2Char"/>
    <w:qFormat/>
    <w:rsid w:val="00E16455"/>
    <w:pPr>
      <w:keepNext/>
      <w:numPr>
        <w:ilvl w:val="1"/>
        <w:numId w:val="86"/>
      </w:numPr>
      <w:spacing w:before="240" w:after="120"/>
      <w:ind w:left="578" w:hanging="578"/>
      <w:outlineLvl w:val="1"/>
    </w:pPr>
    <w:rPr>
      <w:b/>
      <w:bCs/>
      <w:sz w:val="28"/>
    </w:rPr>
  </w:style>
  <w:style w:type="paragraph" w:styleId="Nadpis3">
    <w:name w:val="heading 3"/>
    <w:basedOn w:val="Normln"/>
    <w:next w:val="Normln"/>
    <w:link w:val="Nadpis3Char"/>
    <w:qFormat/>
    <w:rsid w:val="00E16455"/>
    <w:pPr>
      <w:keepNext/>
      <w:numPr>
        <w:ilvl w:val="2"/>
        <w:numId w:val="86"/>
      </w:numPr>
      <w:autoSpaceDE w:val="0"/>
      <w:autoSpaceDN w:val="0"/>
      <w:adjustRightInd w:val="0"/>
      <w:spacing w:before="240" w:after="120"/>
      <w:ind w:left="0" w:firstLine="0"/>
      <w:jc w:val="left"/>
      <w:outlineLvl w:val="2"/>
    </w:pPr>
    <w:rPr>
      <w:b/>
      <w:bCs/>
      <w:color w:val="000000"/>
      <w:sz w:val="28"/>
      <w:szCs w:val="32"/>
    </w:rPr>
  </w:style>
  <w:style w:type="paragraph" w:styleId="Nadpis4">
    <w:name w:val="heading 4"/>
    <w:basedOn w:val="Normln"/>
    <w:next w:val="Normln"/>
    <w:link w:val="Nadpis4Char"/>
    <w:qFormat/>
    <w:rsid w:val="006E3CE4"/>
    <w:pPr>
      <w:keepNext/>
      <w:numPr>
        <w:ilvl w:val="3"/>
        <w:numId w:val="86"/>
      </w:numPr>
      <w:autoSpaceDE w:val="0"/>
      <w:autoSpaceDN w:val="0"/>
      <w:adjustRightInd w:val="0"/>
      <w:jc w:val="center"/>
      <w:outlineLvl w:val="3"/>
    </w:pPr>
    <w:rPr>
      <w:b/>
      <w:bCs/>
      <w:color w:val="000000"/>
      <w:szCs w:val="40"/>
    </w:rPr>
  </w:style>
  <w:style w:type="paragraph" w:styleId="Nadpis5">
    <w:name w:val="heading 5"/>
    <w:basedOn w:val="Normln"/>
    <w:next w:val="Normln"/>
    <w:link w:val="Nadpis5Char"/>
    <w:qFormat/>
    <w:rsid w:val="006E3CE4"/>
    <w:pPr>
      <w:keepNext/>
      <w:numPr>
        <w:ilvl w:val="4"/>
        <w:numId w:val="86"/>
      </w:numPr>
      <w:autoSpaceDE w:val="0"/>
      <w:autoSpaceDN w:val="0"/>
      <w:adjustRightInd w:val="0"/>
      <w:jc w:val="center"/>
      <w:outlineLvl w:val="4"/>
    </w:pPr>
    <w:rPr>
      <w:b/>
      <w:bCs/>
      <w:color w:val="000000"/>
      <w:sz w:val="20"/>
      <w:szCs w:val="36"/>
    </w:rPr>
  </w:style>
  <w:style w:type="paragraph" w:styleId="Nadpis6">
    <w:name w:val="heading 6"/>
    <w:basedOn w:val="Normln"/>
    <w:next w:val="Normln"/>
    <w:link w:val="Nadpis6Char"/>
    <w:qFormat/>
    <w:rsid w:val="006E3CE4"/>
    <w:pPr>
      <w:keepNext/>
      <w:numPr>
        <w:ilvl w:val="5"/>
        <w:numId w:val="86"/>
      </w:numPr>
      <w:outlineLvl w:val="5"/>
    </w:pPr>
    <w:rPr>
      <w:b/>
      <w:bCs/>
    </w:rPr>
  </w:style>
  <w:style w:type="paragraph" w:styleId="Nadpis7">
    <w:name w:val="heading 7"/>
    <w:basedOn w:val="Normln"/>
    <w:next w:val="Normln"/>
    <w:link w:val="Nadpis7Char"/>
    <w:qFormat/>
    <w:rsid w:val="006B505E"/>
    <w:pPr>
      <w:keepNext/>
      <w:numPr>
        <w:ilvl w:val="6"/>
        <w:numId w:val="86"/>
      </w:numPr>
      <w:spacing w:before="240" w:after="360"/>
      <w:outlineLvl w:val="6"/>
    </w:pPr>
    <w:rPr>
      <w:b/>
      <w:bCs/>
    </w:rPr>
  </w:style>
  <w:style w:type="paragraph" w:styleId="Nadpis8">
    <w:name w:val="heading 8"/>
    <w:basedOn w:val="Normln"/>
    <w:next w:val="Normln"/>
    <w:link w:val="Nadpis8Char"/>
    <w:qFormat/>
    <w:rsid w:val="006E3CE4"/>
    <w:pPr>
      <w:numPr>
        <w:ilvl w:val="7"/>
        <w:numId w:val="86"/>
      </w:numPr>
      <w:overflowPunct w:val="0"/>
      <w:autoSpaceDE w:val="0"/>
      <w:autoSpaceDN w:val="0"/>
      <w:adjustRightInd w:val="0"/>
      <w:spacing w:before="240" w:after="60"/>
      <w:textAlignment w:val="baseline"/>
      <w:outlineLvl w:val="7"/>
    </w:pPr>
    <w:rPr>
      <w:i/>
      <w:iCs/>
      <w:color w:val="000000"/>
    </w:rPr>
  </w:style>
  <w:style w:type="paragraph" w:styleId="Nadpis9">
    <w:name w:val="heading 9"/>
    <w:aliases w:val="Tabulka"/>
    <w:basedOn w:val="Normln"/>
    <w:next w:val="Normln"/>
    <w:link w:val="Nadpis9Char"/>
    <w:qFormat/>
    <w:rsid w:val="00F94439"/>
    <w:pPr>
      <w:numPr>
        <w:ilvl w:val="8"/>
        <w:numId w:val="86"/>
      </w:numPr>
      <w:spacing w:after="0"/>
      <w:ind w:left="1584"/>
      <w:jc w:val="center"/>
      <w:outlineLvl w:val="8"/>
    </w:pPr>
    <w:rPr>
      <w:rFonts w:ascii="Arial" w:hAnsi="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60D9"/>
    <w:rPr>
      <w:rFonts w:ascii="Calibri" w:hAnsi="Calibri" w:cs="Calibri"/>
      <w:b/>
      <w:sz w:val="32"/>
      <w:szCs w:val="32"/>
    </w:rPr>
  </w:style>
  <w:style w:type="character" w:customStyle="1" w:styleId="Nadpis2Char">
    <w:name w:val="Nadpis 2 Char"/>
    <w:basedOn w:val="Standardnpsmoodstavce"/>
    <w:link w:val="Nadpis2"/>
    <w:rsid w:val="00E16455"/>
    <w:rPr>
      <w:rFonts w:asciiTheme="minorHAnsi" w:hAnsiTheme="minorHAnsi"/>
      <w:b/>
      <w:bCs/>
      <w:sz w:val="28"/>
      <w:szCs w:val="24"/>
    </w:rPr>
  </w:style>
  <w:style w:type="character" w:customStyle="1" w:styleId="Nadpis3Char">
    <w:name w:val="Nadpis 3 Char"/>
    <w:basedOn w:val="Standardnpsmoodstavce"/>
    <w:link w:val="Nadpis3"/>
    <w:rsid w:val="00E16455"/>
    <w:rPr>
      <w:rFonts w:asciiTheme="minorHAnsi" w:hAnsiTheme="minorHAnsi"/>
      <w:b/>
      <w:bCs/>
      <w:color w:val="000000"/>
      <w:sz w:val="28"/>
      <w:szCs w:val="32"/>
    </w:rPr>
  </w:style>
  <w:style w:type="character" w:customStyle="1" w:styleId="Nadpis4Char">
    <w:name w:val="Nadpis 4 Char"/>
    <w:basedOn w:val="Standardnpsmoodstavce"/>
    <w:link w:val="Nadpis4"/>
    <w:rsid w:val="006E3CE4"/>
    <w:rPr>
      <w:rFonts w:asciiTheme="minorHAnsi" w:hAnsiTheme="minorHAnsi"/>
      <w:b/>
      <w:bCs/>
      <w:color w:val="000000"/>
      <w:sz w:val="24"/>
      <w:szCs w:val="40"/>
    </w:rPr>
  </w:style>
  <w:style w:type="character" w:customStyle="1" w:styleId="Nadpis5Char">
    <w:name w:val="Nadpis 5 Char"/>
    <w:basedOn w:val="Standardnpsmoodstavce"/>
    <w:link w:val="Nadpis5"/>
    <w:rsid w:val="006E3CE4"/>
    <w:rPr>
      <w:rFonts w:asciiTheme="minorHAnsi" w:hAnsiTheme="minorHAnsi"/>
      <w:b/>
      <w:bCs/>
      <w:color w:val="000000"/>
      <w:szCs w:val="36"/>
    </w:rPr>
  </w:style>
  <w:style w:type="character" w:customStyle="1" w:styleId="Nadpis6Char">
    <w:name w:val="Nadpis 6 Char"/>
    <w:basedOn w:val="Standardnpsmoodstavce"/>
    <w:link w:val="Nadpis6"/>
    <w:rsid w:val="006E3CE4"/>
    <w:rPr>
      <w:rFonts w:asciiTheme="minorHAnsi" w:hAnsiTheme="minorHAnsi"/>
      <w:b/>
      <w:bCs/>
      <w:sz w:val="24"/>
      <w:szCs w:val="24"/>
    </w:rPr>
  </w:style>
  <w:style w:type="character" w:customStyle="1" w:styleId="Nadpis7Char">
    <w:name w:val="Nadpis 7 Char"/>
    <w:basedOn w:val="Standardnpsmoodstavce"/>
    <w:link w:val="Nadpis7"/>
    <w:rsid w:val="006B505E"/>
    <w:rPr>
      <w:rFonts w:asciiTheme="minorHAnsi" w:hAnsiTheme="minorHAnsi"/>
      <w:b/>
      <w:bCs/>
      <w:sz w:val="24"/>
      <w:szCs w:val="24"/>
    </w:rPr>
  </w:style>
  <w:style w:type="character" w:customStyle="1" w:styleId="Nadpis8Char">
    <w:name w:val="Nadpis 8 Char"/>
    <w:basedOn w:val="Standardnpsmoodstavce"/>
    <w:link w:val="Nadpis8"/>
    <w:rsid w:val="006E3CE4"/>
    <w:rPr>
      <w:rFonts w:asciiTheme="minorHAnsi" w:hAnsiTheme="minorHAnsi"/>
      <w:i/>
      <w:iCs/>
      <w:color w:val="000000"/>
      <w:sz w:val="24"/>
      <w:szCs w:val="24"/>
    </w:rPr>
  </w:style>
  <w:style w:type="character" w:customStyle="1" w:styleId="Nadpis9Char">
    <w:name w:val="Nadpis 9 Char"/>
    <w:aliases w:val="Tabulka Char"/>
    <w:basedOn w:val="Standardnpsmoodstavce"/>
    <w:link w:val="Nadpis9"/>
    <w:rsid w:val="00F94439"/>
    <w:rPr>
      <w:rFonts w:ascii="Arial" w:hAnsi="Arial"/>
      <w:szCs w:val="24"/>
    </w:rPr>
  </w:style>
  <w:style w:type="paragraph" w:styleId="Zkladntext">
    <w:name w:val="Body Text"/>
    <w:aliases w:val="bt,text,Body Text2"/>
    <w:basedOn w:val="Normln"/>
    <w:link w:val="ZkladntextChar"/>
    <w:uiPriority w:val="99"/>
    <w:semiHidden/>
    <w:rsid w:val="006E3CE4"/>
  </w:style>
  <w:style w:type="character" w:customStyle="1" w:styleId="ZkladntextChar">
    <w:name w:val="Základní text Char"/>
    <w:aliases w:val="bt Char,text Char,Body Text2 Char"/>
    <w:basedOn w:val="Standardnpsmoodstavce"/>
    <w:link w:val="Zkladntext"/>
    <w:uiPriority w:val="99"/>
    <w:semiHidden/>
    <w:rsid w:val="006E3CE4"/>
    <w:rPr>
      <w:sz w:val="24"/>
      <w:szCs w:val="24"/>
    </w:rPr>
  </w:style>
  <w:style w:type="paragraph" w:styleId="Zpat">
    <w:name w:val="footer"/>
    <w:basedOn w:val="Normln"/>
    <w:link w:val="ZpatChar"/>
    <w:uiPriority w:val="99"/>
    <w:rsid w:val="006E3CE4"/>
    <w:pPr>
      <w:tabs>
        <w:tab w:val="center" w:pos="4536"/>
        <w:tab w:val="right" w:pos="9072"/>
      </w:tabs>
      <w:overflowPunct w:val="0"/>
      <w:autoSpaceDE w:val="0"/>
      <w:autoSpaceDN w:val="0"/>
      <w:adjustRightInd w:val="0"/>
      <w:textAlignment w:val="baseline"/>
    </w:pPr>
    <w:rPr>
      <w:rFonts w:ascii="Arial" w:hAnsi="Arial" w:cs="Arial"/>
      <w:color w:val="000000"/>
    </w:rPr>
  </w:style>
  <w:style w:type="character" w:customStyle="1" w:styleId="ZpatChar">
    <w:name w:val="Zápatí Char"/>
    <w:basedOn w:val="Standardnpsmoodstavce"/>
    <w:link w:val="Zpat"/>
    <w:uiPriority w:val="99"/>
    <w:rsid w:val="006E3CE4"/>
    <w:rPr>
      <w:rFonts w:ascii="Arial" w:hAnsi="Arial" w:cs="Arial"/>
      <w:color w:val="000000"/>
      <w:sz w:val="24"/>
      <w:szCs w:val="24"/>
    </w:rPr>
  </w:style>
  <w:style w:type="paragraph" w:styleId="Zkladntextodsazen2">
    <w:name w:val="Body Text Indent 2"/>
    <w:basedOn w:val="Normln"/>
    <w:link w:val="Zkladntextodsazen2Char"/>
    <w:semiHidden/>
    <w:rsid w:val="006E3CE4"/>
    <w:pPr>
      <w:overflowPunct w:val="0"/>
      <w:autoSpaceDE w:val="0"/>
      <w:autoSpaceDN w:val="0"/>
      <w:adjustRightInd w:val="0"/>
      <w:ind w:left="360"/>
      <w:textAlignment w:val="baseline"/>
    </w:pPr>
    <w:rPr>
      <w:rFonts w:ascii="Arial" w:hAnsi="Arial" w:cs="Arial"/>
      <w:b/>
      <w:bCs/>
      <w:color w:val="000000"/>
    </w:rPr>
  </w:style>
  <w:style w:type="character" w:customStyle="1" w:styleId="Zkladntextodsazen2Char">
    <w:name w:val="Základní text odsazený 2 Char"/>
    <w:basedOn w:val="Standardnpsmoodstavce"/>
    <w:link w:val="Zkladntextodsazen2"/>
    <w:semiHidden/>
    <w:rsid w:val="006E3CE4"/>
    <w:rPr>
      <w:rFonts w:ascii="Arial" w:hAnsi="Arial" w:cs="Arial"/>
      <w:b/>
      <w:bCs/>
      <w:color w:val="000000"/>
      <w:sz w:val="24"/>
      <w:szCs w:val="24"/>
    </w:rPr>
  </w:style>
  <w:style w:type="paragraph" w:customStyle="1" w:styleId="Zkladntext21">
    <w:name w:val="Základní text 21"/>
    <w:basedOn w:val="Normln"/>
    <w:rsid w:val="006E3CE4"/>
    <w:pPr>
      <w:widowControl w:val="0"/>
      <w:overflowPunct w:val="0"/>
      <w:autoSpaceDE w:val="0"/>
      <w:autoSpaceDN w:val="0"/>
      <w:adjustRightInd w:val="0"/>
    </w:pPr>
    <w:rPr>
      <w:rFonts w:ascii="Arial" w:hAnsi="Arial" w:cs="Arial"/>
      <w:color w:val="000000"/>
    </w:rPr>
  </w:style>
  <w:style w:type="paragraph" w:styleId="Zkladntext2">
    <w:name w:val="Body Text 2"/>
    <w:basedOn w:val="Normln"/>
    <w:link w:val="Zkladntext2Char"/>
    <w:semiHidden/>
    <w:rsid w:val="006E3CE4"/>
    <w:rPr>
      <w:b/>
      <w:bCs/>
      <w:sz w:val="36"/>
    </w:rPr>
  </w:style>
  <w:style w:type="character" w:customStyle="1" w:styleId="Zkladntext2Char">
    <w:name w:val="Základní text 2 Char"/>
    <w:basedOn w:val="Standardnpsmoodstavce"/>
    <w:link w:val="Zkladntext2"/>
    <w:semiHidden/>
    <w:rsid w:val="006E3CE4"/>
    <w:rPr>
      <w:b/>
      <w:bCs/>
      <w:sz w:val="36"/>
      <w:szCs w:val="24"/>
    </w:rPr>
  </w:style>
  <w:style w:type="character" w:styleId="slostrnky">
    <w:name w:val="page number"/>
    <w:basedOn w:val="Standardnpsmoodstavce"/>
    <w:semiHidden/>
    <w:rsid w:val="006E3CE4"/>
  </w:style>
  <w:style w:type="paragraph" w:styleId="Zkladntextodsazen">
    <w:name w:val="Body Text Indent"/>
    <w:basedOn w:val="Normln"/>
    <w:link w:val="ZkladntextodsazenChar"/>
    <w:semiHidden/>
    <w:rsid w:val="006E3CE4"/>
    <w:pPr>
      <w:ind w:left="360"/>
    </w:pPr>
    <w:rPr>
      <w:b/>
      <w:bCs/>
      <w:sz w:val="20"/>
    </w:rPr>
  </w:style>
  <w:style w:type="character" w:customStyle="1" w:styleId="ZkladntextodsazenChar">
    <w:name w:val="Základní text odsazený Char"/>
    <w:basedOn w:val="Standardnpsmoodstavce"/>
    <w:link w:val="Zkladntextodsazen"/>
    <w:semiHidden/>
    <w:rsid w:val="006E3CE4"/>
    <w:rPr>
      <w:b/>
      <w:bCs/>
      <w:szCs w:val="24"/>
    </w:rPr>
  </w:style>
  <w:style w:type="paragraph" w:styleId="Zkladntext3">
    <w:name w:val="Body Text 3"/>
    <w:basedOn w:val="Normln"/>
    <w:link w:val="Zkladntext3Char"/>
    <w:semiHidden/>
    <w:rsid w:val="006E3CE4"/>
    <w:rPr>
      <w:bCs/>
      <w:sz w:val="28"/>
      <w:szCs w:val="28"/>
    </w:rPr>
  </w:style>
  <w:style w:type="character" w:customStyle="1" w:styleId="Zkladntext3Char">
    <w:name w:val="Základní text 3 Char"/>
    <w:basedOn w:val="Standardnpsmoodstavce"/>
    <w:link w:val="Zkladntext3"/>
    <w:semiHidden/>
    <w:rsid w:val="006E3CE4"/>
    <w:rPr>
      <w:bCs/>
      <w:sz w:val="28"/>
      <w:szCs w:val="28"/>
    </w:rPr>
  </w:style>
  <w:style w:type="paragraph" w:styleId="Zkladntextodsazen3">
    <w:name w:val="Body Text Indent 3"/>
    <w:basedOn w:val="Normln"/>
    <w:link w:val="Zkladntextodsazen3Char"/>
    <w:semiHidden/>
    <w:rsid w:val="006E3CE4"/>
    <w:pPr>
      <w:tabs>
        <w:tab w:val="left" w:pos="2073"/>
      </w:tabs>
      <w:ind w:left="360"/>
    </w:pPr>
    <w:rPr>
      <w:iCs/>
    </w:rPr>
  </w:style>
  <w:style w:type="character" w:customStyle="1" w:styleId="Zkladntextodsazen3Char">
    <w:name w:val="Základní text odsazený 3 Char"/>
    <w:basedOn w:val="Standardnpsmoodstavce"/>
    <w:link w:val="Zkladntextodsazen3"/>
    <w:semiHidden/>
    <w:rsid w:val="006E3CE4"/>
    <w:rPr>
      <w:iCs/>
      <w:sz w:val="24"/>
      <w:szCs w:val="24"/>
    </w:rPr>
  </w:style>
  <w:style w:type="character" w:styleId="Siln">
    <w:name w:val="Strong"/>
    <w:qFormat/>
    <w:rsid w:val="006E3CE4"/>
    <w:rPr>
      <w:b/>
      <w:bCs/>
    </w:rPr>
  </w:style>
  <w:style w:type="paragraph" w:customStyle="1" w:styleId="BodyText21">
    <w:name w:val="Body Text 21"/>
    <w:basedOn w:val="Normln"/>
    <w:uiPriority w:val="99"/>
    <w:rsid w:val="006E3CE4"/>
    <w:rPr>
      <w:rFonts w:ascii="Arial" w:hAnsi="Arial"/>
      <w:szCs w:val="20"/>
    </w:rPr>
  </w:style>
  <w:style w:type="character" w:styleId="Hypertextovodkaz">
    <w:name w:val="Hyperlink"/>
    <w:uiPriority w:val="99"/>
    <w:rsid w:val="006E3CE4"/>
    <w:rPr>
      <w:strike w:val="0"/>
      <w:dstrike w:val="0"/>
      <w:color w:val="0000FF"/>
      <w:u w:val="none"/>
      <w:effect w:val="none"/>
    </w:rPr>
  </w:style>
  <w:style w:type="paragraph" w:styleId="Normlnweb">
    <w:name w:val="Normal (Web)"/>
    <w:basedOn w:val="Normln"/>
    <w:uiPriority w:val="99"/>
    <w:rsid w:val="006E3CE4"/>
    <w:pPr>
      <w:spacing w:before="100" w:beforeAutospacing="1" w:after="100" w:afterAutospacing="1"/>
    </w:pPr>
    <w:rPr>
      <w:rFonts w:ascii="Arial Unicode MS" w:eastAsia="Arial Unicode MS" w:hAnsi="Arial Unicode MS" w:cs="Arial Unicode MS"/>
    </w:rPr>
  </w:style>
  <w:style w:type="paragraph" w:customStyle="1" w:styleId="OdstavecCOPS">
    <w:name w:val="Odstavec COPS"/>
    <w:basedOn w:val="Normln"/>
    <w:rsid w:val="006E3CE4"/>
    <w:pPr>
      <w:spacing w:before="80" w:after="160"/>
    </w:pPr>
    <w:rPr>
      <w:bCs/>
    </w:rPr>
  </w:style>
  <w:style w:type="paragraph" w:customStyle="1" w:styleId="Par-number1">
    <w:name w:val="Par-number 1."/>
    <w:basedOn w:val="Normln"/>
    <w:next w:val="Normln"/>
    <w:rsid w:val="006E3CE4"/>
    <w:pPr>
      <w:widowControl w:val="0"/>
      <w:spacing w:line="360" w:lineRule="auto"/>
    </w:pPr>
    <w:rPr>
      <w:szCs w:val="20"/>
      <w:lang w:eastAsia="fr-BE"/>
    </w:rPr>
  </w:style>
  <w:style w:type="paragraph" w:customStyle="1" w:styleId="Par-dash">
    <w:name w:val="Par-dash"/>
    <w:basedOn w:val="Normln"/>
    <w:next w:val="Normln"/>
    <w:rsid w:val="006E3CE4"/>
    <w:pPr>
      <w:widowControl w:val="0"/>
      <w:numPr>
        <w:numId w:val="2"/>
      </w:numPr>
      <w:spacing w:line="360" w:lineRule="auto"/>
    </w:pPr>
    <w:rPr>
      <w:szCs w:val="20"/>
      <w:lang w:eastAsia="fr-BE"/>
    </w:rPr>
  </w:style>
  <w:style w:type="paragraph" w:customStyle="1" w:styleId="Default">
    <w:name w:val="Default"/>
    <w:rsid w:val="006E3CE4"/>
    <w:pPr>
      <w:autoSpaceDE w:val="0"/>
      <w:autoSpaceDN w:val="0"/>
      <w:adjustRightInd w:val="0"/>
    </w:pPr>
    <w:rPr>
      <w:rFonts w:ascii="Verdana" w:hAnsi="Verdana"/>
      <w:color w:val="000000"/>
      <w:sz w:val="24"/>
      <w:szCs w:val="24"/>
    </w:rPr>
  </w:style>
  <w:style w:type="paragraph" w:styleId="Seznamsodrkami">
    <w:name w:val="List Bullet"/>
    <w:basedOn w:val="Normln"/>
    <w:autoRedefine/>
    <w:semiHidden/>
    <w:rsid w:val="006E3CE4"/>
    <w:pPr>
      <w:numPr>
        <w:numId w:val="3"/>
      </w:numPr>
    </w:pPr>
    <w:rPr>
      <w:rFonts w:ascii="Arial" w:hAnsi="Arial" w:cs="Arial"/>
      <w:color w:val="000000"/>
    </w:rPr>
  </w:style>
  <w:style w:type="paragraph" w:customStyle="1" w:styleId="FigureHeading">
    <w:name w:val="Figure Heading"/>
    <w:basedOn w:val="MainText"/>
    <w:next w:val="MainText"/>
    <w:rsid w:val="006E3CE4"/>
    <w:pPr>
      <w:keepNext/>
      <w:numPr>
        <w:numId w:val="5"/>
      </w:numPr>
      <w:tabs>
        <w:tab w:val="left" w:pos="1701"/>
      </w:tabs>
      <w:spacing w:before="360" w:after="120"/>
    </w:pPr>
    <w:rPr>
      <w:rFonts w:cs="Arial"/>
      <w:b/>
      <w:bCs/>
      <w:sz w:val="16"/>
    </w:rPr>
  </w:style>
  <w:style w:type="paragraph" w:customStyle="1" w:styleId="MainText">
    <w:name w:val="Main Text"/>
    <w:basedOn w:val="Normln"/>
    <w:rsid w:val="006E3CE4"/>
    <w:pPr>
      <w:spacing w:before="240"/>
      <w:ind w:left="567"/>
    </w:pPr>
    <w:rPr>
      <w:rFonts w:ascii="Arial" w:eastAsia="MS Mincho" w:hAnsi="Arial"/>
      <w:spacing w:val="10"/>
      <w:sz w:val="20"/>
      <w:lang w:eastAsia="en-US"/>
    </w:rPr>
  </w:style>
  <w:style w:type="paragraph" w:customStyle="1" w:styleId="TableHeading">
    <w:name w:val="Table Heading"/>
    <w:basedOn w:val="FigureHeading"/>
    <w:next w:val="MainText"/>
    <w:rsid w:val="006E3CE4"/>
    <w:pPr>
      <w:numPr>
        <w:numId w:val="4"/>
      </w:numPr>
      <w:tabs>
        <w:tab w:val="clear" w:pos="1647"/>
        <w:tab w:val="num" w:pos="720"/>
      </w:tabs>
      <w:ind w:left="720" w:hanging="360"/>
    </w:pPr>
  </w:style>
  <w:style w:type="paragraph" w:customStyle="1" w:styleId="BulletText">
    <w:name w:val="Bullet Text"/>
    <w:basedOn w:val="MainText"/>
    <w:uiPriority w:val="99"/>
    <w:rsid w:val="006E3CE4"/>
    <w:pPr>
      <w:numPr>
        <w:numId w:val="6"/>
      </w:numPr>
    </w:pPr>
  </w:style>
  <w:style w:type="paragraph" w:customStyle="1" w:styleId="AppendixNo">
    <w:name w:val="Appendix No."/>
    <w:next w:val="MainText"/>
    <w:rsid w:val="006E3CE4"/>
    <w:pPr>
      <w:keepNext/>
      <w:pageBreakBefore/>
      <w:numPr>
        <w:numId w:val="7"/>
      </w:numPr>
      <w:tabs>
        <w:tab w:val="clear" w:pos="495"/>
        <w:tab w:val="left" w:pos="567"/>
      </w:tabs>
      <w:ind w:left="567" w:hanging="567"/>
    </w:pPr>
    <w:rPr>
      <w:rFonts w:ascii="Arial" w:eastAsia="MS Mincho" w:hAnsi="Arial" w:cs="Arial"/>
      <w:b/>
      <w:bCs/>
      <w:caps/>
      <w:spacing w:val="10"/>
      <w:sz w:val="24"/>
      <w:szCs w:val="24"/>
      <w:lang w:eastAsia="en-US"/>
    </w:rPr>
  </w:style>
  <w:style w:type="paragraph" w:styleId="Titulek">
    <w:name w:val="caption"/>
    <w:aliases w:val="Titulek Obr.,Beschriftung_tab,tab_überschrift Char"/>
    <w:basedOn w:val="Normln"/>
    <w:next w:val="Normln"/>
    <w:qFormat/>
    <w:rsid w:val="004354F1"/>
    <w:pPr>
      <w:spacing w:before="120"/>
    </w:pPr>
  </w:style>
  <w:style w:type="paragraph" w:customStyle="1" w:styleId="RRodrky">
    <w:name w:val="RR odrážky"/>
    <w:basedOn w:val="Normln"/>
    <w:rsid w:val="006E3CE4"/>
    <w:pPr>
      <w:widowControl w:val="0"/>
      <w:tabs>
        <w:tab w:val="num" w:pos="744"/>
      </w:tabs>
      <w:spacing w:after="120" w:line="360" w:lineRule="atLeast"/>
    </w:pPr>
    <w:rPr>
      <w:iCs/>
    </w:rPr>
  </w:style>
  <w:style w:type="paragraph" w:styleId="Zhlav">
    <w:name w:val="header"/>
    <w:basedOn w:val="Normln"/>
    <w:link w:val="ZhlavChar"/>
    <w:uiPriority w:val="99"/>
    <w:rsid w:val="006E3CE4"/>
    <w:pPr>
      <w:tabs>
        <w:tab w:val="center" w:pos="4536"/>
        <w:tab w:val="right" w:pos="9072"/>
      </w:tabs>
    </w:pPr>
  </w:style>
  <w:style w:type="character" w:customStyle="1" w:styleId="ZhlavChar">
    <w:name w:val="Záhlaví Char"/>
    <w:basedOn w:val="Standardnpsmoodstavce"/>
    <w:link w:val="Zhlav"/>
    <w:uiPriority w:val="99"/>
    <w:rsid w:val="006E3CE4"/>
    <w:rPr>
      <w:sz w:val="24"/>
      <w:szCs w:val="24"/>
    </w:rPr>
  </w:style>
  <w:style w:type="paragraph" w:styleId="Textpoznpodarou">
    <w:name w:val="footnote text"/>
    <w:basedOn w:val="Normln"/>
    <w:link w:val="TextpoznpodarouChar"/>
    <w:uiPriority w:val="99"/>
    <w:rsid w:val="006E3CE4"/>
    <w:pPr>
      <w:overflowPunct w:val="0"/>
      <w:autoSpaceDE w:val="0"/>
      <w:autoSpaceDN w:val="0"/>
      <w:adjustRightInd w:val="0"/>
      <w:textAlignment w:val="baseline"/>
    </w:pPr>
    <w:rPr>
      <w:sz w:val="20"/>
      <w:szCs w:val="20"/>
    </w:rPr>
  </w:style>
  <w:style w:type="character" w:customStyle="1" w:styleId="TextpoznpodarouChar">
    <w:name w:val="Text pozn. pod čarou Char"/>
    <w:basedOn w:val="Standardnpsmoodstavce"/>
    <w:link w:val="Textpoznpodarou"/>
    <w:uiPriority w:val="99"/>
    <w:rsid w:val="006E3CE4"/>
  </w:style>
  <w:style w:type="character" w:styleId="Znakapoznpodarou">
    <w:name w:val="footnote reference"/>
    <w:aliases w:val="number,Footnote reference number,Footnote symbol,note TESI,-E Fußnotenzeichen,SUPERS,EN Footnote Reference"/>
    <w:uiPriority w:val="99"/>
    <w:rsid w:val="006E3CE4"/>
    <w:rPr>
      <w:vertAlign w:val="superscript"/>
    </w:rPr>
  </w:style>
  <w:style w:type="character" w:customStyle="1" w:styleId="italic">
    <w:name w:val="italic"/>
    <w:basedOn w:val="Standardnpsmoodstavce"/>
    <w:uiPriority w:val="99"/>
    <w:rsid w:val="006E3CE4"/>
  </w:style>
  <w:style w:type="character" w:styleId="Odkaznakoment">
    <w:name w:val="annotation reference"/>
    <w:uiPriority w:val="99"/>
    <w:semiHidden/>
    <w:rsid w:val="006E3CE4"/>
    <w:rPr>
      <w:sz w:val="16"/>
      <w:szCs w:val="16"/>
    </w:rPr>
  </w:style>
  <w:style w:type="paragraph" w:styleId="Textkomente">
    <w:name w:val="annotation text"/>
    <w:basedOn w:val="Normln"/>
    <w:link w:val="TextkomenteChar"/>
    <w:uiPriority w:val="99"/>
    <w:semiHidden/>
    <w:rsid w:val="006E3CE4"/>
    <w:pPr>
      <w:overflowPunct w:val="0"/>
      <w:autoSpaceDE w:val="0"/>
      <w:autoSpaceDN w:val="0"/>
      <w:adjustRightInd w:val="0"/>
      <w:textAlignment w:val="baseline"/>
    </w:pPr>
    <w:rPr>
      <w:sz w:val="20"/>
      <w:szCs w:val="20"/>
    </w:rPr>
  </w:style>
  <w:style w:type="character" w:customStyle="1" w:styleId="TextkomenteChar">
    <w:name w:val="Text komentáře Char"/>
    <w:basedOn w:val="Standardnpsmoodstavce"/>
    <w:link w:val="Textkomente"/>
    <w:uiPriority w:val="99"/>
    <w:semiHidden/>
    <w:rsid w:val="006E3CE4"/>
  </w:style>
  <w:style w:type="character" w:styleId="Sledovanodkaz">
    <w:name w:val="FollowedHyperlink"/>
    <w:semiHidden/>
    <w:rsid w:val="006E3CE4"/>
    <w:rPr>
      <w:color w:val="800080"/>
      <w:u w:val="single"/>
    </w:rPr>
  </w:style>
  <w:style w:type="paragraph" w:styleId="Textbubliny">
    <w:name w:val="Balloon Text"/>
    <w:basedOn w:val="Normln"/>
    <w:link w:val="TextbublinyChar"/>
    <w:uiPriority w:val="99"/>
    <w:semiHidden/>
    <w:rsid w:val="006E3CE4"/>
    <w:rPr>
      <w:rFonts w:ascii="Tahoma" w:hAnsi="Tahoma" w:cs="Tahoma"/>
      <w:sz w:val="16"/>
      <w:szCs w:val="16"/>
    </w:rPr>
  </w:style>
  <w:style w:type="character" w:customStyle="1" w:styleId="TextbublinyChar">
    <w:name w:val="Text bubliny Char"/>
    <w:basedOn w:val="Standardnpsmoodstavce"/>
    <w:link w:val="Textbubliny"/>
    <w:uiPriority w:val="99"/>
    <w:semiHidden/>
    <w:rsid w:val="006E3CE4"/>
    <w:rPr>
      <w:rFonts w:ascii="Tahoma" w:hAnsi="Tahoma" w:cs="Tahoma"/>
      <w:sz w:val="16"/>
      <w:szCs w:val="16"/>
    </w:rPr>
  </w:style>
  <w:style w:type="paragraph" w:customStyle="1" w:styleId="TableText">
    <w:name w:val="Table Text"/>
    <w:basedOn w:val="Normln"/>
    <w:rsid w:val="006E3CE4"/>
    <w:pPr>
      <w:suppressAutoHyphens/>
      <w:spacing w:before="15" w:after="15"/>
      <w:ind w:left="15" w:right="15"/>
    </w:pPr>
    <w:rPr>
      <w:rFonts w:ascii="Arial" w:eastAsia="MS Mincho" w:hAnsi="Arial"/>
      <w:sz w:val="18"/>
      <w:szCs w:val="18"/>
      <w:lang w:eastAsia="ar-SA"/>
    </w:rPr>
  </w:style>
  <w:style w:type="paragraph" w:styleId="Rozloendokumentu">
    <w:name w:val="Document Map"/>
    <w:basedOn w:val="Normln"/>
    <w:link w:val="RozloendokumentuChar"/>
    <w:semiHidden/>
    <w:rsid w:val="006E3CE4"/>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6E3CE4"/>
    <w:rPr>
      <w:rFonts w:ascii="Tahoma" w:hAnsi="Tahoma" w:cs="Tahoma"/>
      <w:sz w:val="24"/>
      <w:szCs w:val="24"/>
      <w:shd w:val="clear" w:color="auto" w:fill="000080"/>
    </w:rPr>
  </w:style>
  <w:style w:type="paragraph" w:styleId="Obsah1">
    <w:name w:val="toc 1"/>
    <w:basedOn w:val="Normln"/>
    <w:next w:val="Normln"/>
    <w:autoRedefine/>
    <w:uiPriority w:val="39"/>
    <w:qFormat/>
    <w:rsid w:val="00CC2AB2"/>
    <w:pPr>
      <w:tabs>
        <w:tab w:val="left" w:pos="480"/>
        <w:tab w:val="right" w:leader="dot" w:pos="9072"/>
      </w:tabs>
      <w:spacing w:before="120" w:after="0"/>
      <w:ind w:right="794"/>
    </w:pPr>
    <w:rPr>
      <w:rFonts w:ascii="Arial" w:hAnsi="Arial"/>
      <w:b/>
      <w:bCs/>
      <w:caps/>
      <w:noProof/>
      <w:szCs w:val="32"/>
    </w:rPr>
  </w:style>
  <w:style w:type="paragraph" w:styleId="Obsah2">
    <w:name w:val="toc 2"/>
    <w:basedOn w:val="Normln"/>
    <w:next w:val="Normln"/>
    <w:autoRedefine/>
    <w:uiPriority w:val="39"/>
    <w:qFormat/>
    <w:rsid w:val="00037548"/>
    <w:pPr>
      <w:spacing w:before="120" w:after="120"/>
      <w:ind w:left="113"/>
    </w:pPr>
    <w:rPr>
      <w:b/>
      <w:bCs/>
    </w:rPr>
  </w:style>
  <w:style w:type="paragraph" w:styleId="Obsah3">
    <w:name w:val="toc 3"/>
    <w:basedOn w:val="Normln"/>
    <w:next w:val="Normln"/>
    <w:autoRedefine/>
    <w:uiPriority w:val="39"/>
    <w:qFormat/>
    <w:rsid w:val="00037548"/>
    <w:pPr>
      <w:spacing w:after="120"/>
      <w:ind w:left="238"/>
    </w:pPr>
  </w:style>
  <w:style w:type="paragraph" w:styleId="Obsah4">
    <w:name w:val="toc 4"/>
    <w:basedOn w:val="Normln"/>
    <w:next w:val="Normln"/>
    <w:autoRedefine/>
    <w:semiHidden/>
    <w:rsid w:val="006E3CE4"/>
    <w:pPr>
      <w:ind w:left="480"/>
    </w:pPr>
  </w:style>
  <w:style w:type="paragraph" w:styleId="Obsah5">
    <w:name w:val="toc 5"/>
    <w:basedOn w:val="Normln"/>
    <w:next w:val="Normln"/>
    <w:autoRedefine/>
    <w:semiHidden/>
    <w:rsid w:val="006E3CE4"/>
    <w:pPr>
      <w:ind w:left="720"/>
    </w:pPr>
  </w:style>
  <w:style w:type="paragraph" w:styleId="Obsah6">
    <w:name w:val="toc 6"/>
    <w:basedOn w:val="Normln"/>
    <w:next w:val="Normln"/>
    <w:autoRedefine/>
    <w:semiHidden/>
    <w:rsid w:val="006E3CE4"/>
    <w:pPr>
      <w:ind w:left="960"/>
    </w:pPr>
  </w:style>
  <w:style w:type="paragraph" w:styleId="Obsah7">
    <w:name w:val="toc 7"/>
    <w:basedOn w:val="Normln"/>
    <w:next w:val="Normln"/>
    <w:autoRedefine/>
    <w:semiHidden/>
    <w:rsid w:val="006E3CE4"/>
    <w:pPr>
      <w:ind w:left="1200"/>
    </w:pPr>
  </w:style>
  <w:style w:type="paragraph" w:styleId="Obsah8">
    <w:name w:val="toc 8"/>
    <w:basedOn w:val="Normln"/>
    <w:next w:val="Normln"/>
    <w:autoRedefine/>
    <w:semiHidden/>
    <w:rsid w:val="006E3CE4"/>
    <w:pPr>
      <w:ind w:left="1440"/>
    </w:pPr>
  </w:style>
  <w:style w:type="paragraph" w:styleId="Obsah9">
    <w:name w:val="toc 9"/>
    <w:basedOn w:val="Normln"/>
    <w:next w:val="Normln"/>
    <w:autoRedefine/>
    <w:semiHidden/>
    <w:rsid w:val="006E3CE4"/>
    <w:pPr>
      <w:ind w:left="1680"/>
    </w:pPr>
  </w:style>
  <w:style w:type="paragraph" w:styleId="Odstavecseseznamem">
    <w:name w:val="List Paragraph"/>
    <w:basedOn w:val="Normln"/>
    <w:uiPriority w:val="34"/>
    <w:qFormat/>
    <w:rsid w:val="006E3CE4"/>
    <w:pPr>
      <w:overflowPunct w:val="0"/>
      <w:autoSpaceDE w:val="0"/>
      <w:autoSpaceDN w:val="0"/>
      <w:adjustRightInd w:val="0"/>
      <w:spacing w:after="200" w:line="276" w:lineRule="auto"/>
      <w:ind w:left="720"/>
      <w:textAlignment w:val="baseline"/>
    </w:pPr>
    <w:rPr>
      <w:rFonts w:ascii="Calibri" w:hAnsi="Calibri"/>
      <w:sz w:val="22"/>
      <w:szCs w:val="20"/>
    </w:rPr>
  </w:style>
  <w:style w:type="paragraph" w:styleId="Pedmtkomente">
    <w:name w:val="annotation subject"/>
    <w:basedOn w:val="Textkomente"/>
    <w:next w:val="Textkomente"/>
    <w:link w:val="PedmtkomenteChar"/>
    <w:uiPriority w:val="99"/>
    <w:semiHidden/>
    <w:unhideWhenUsed/>
    <w:rsid w:val="006E3CE4"/>
    <w:pPr>
      <w:overflowPunct/>
      <w:autoSpaceDE/>
      <w:autoSpaceDN/>
      <w:adjustRightInd/>
      <w:textAlignment w:val="auto"/>
    </w:pPr>
    <w:rPr>
      <w:b/>
      <w:bCs/>
    </w:rPr>
  </w:style>
  <w:style w:type="character" w:customStyle="1" w:styleId="PedmtkomenteChar">
    <w:name w:val="Předmět komentáře Char"/>
    <w:basedOn w:val="TextkomenteChar"/>
    <w:link w:val="Pedmtkomente"/>
    <w:uiPriority w:val="99"/>
    <w:semiHidden/>
    <w:rsid w:val="006E3CE4"/>
    <w:rPr>
      <w:b/>
      <w:bCs/>
    </w:rPr>
  </w:style>
  <w:style w:type="character" w:customStyle="1" w:styleId="longtext">
    <w:name w:val="long_text"/>
    <w:rsid w:val="006E3CE4"/>
  </w:style>
  <w:style w:type="character" w:customStyle="1" w:styleId="ZkladntextChar1">
    <w:name w:val="Základní text Char1"/>
    <w:uiPriority w:val="99"/>
    <w:semiHidden/>
    <w:rsid w:val="006E3CE4"/>
    <w:rPr>
      <w:sz w:val="24"/>
      <w:szCs w:val="24"/>
    </w:rPr>
  </w:style>
  <w:style w:type="character" w:styleId="Zvraznn">
    <w:name w:val="Emphasis"/>
    <w:basedOn w:val="Standardnpsmoodstavce"/>
    <w:uiPriority w:val="20"/>
    <w:qFormat/>
    <w:rsid w:val="00882640"/>
    <w:rPr>
      <w:i/>
      <w:iCs/>
    </w:rPr>
  </w:style>
  <w:style w:type="paragraph" w:styleId="Revize">
    <w:name w:val="Revision"/>
    <w:hidden/>
    <w:uiPriority w:val="99"/>
    <w:semiHidden/>
    <w:rsid w:val="00281D3B"/>
    <w:rPr>
      <w:sz w:val="24"/>
      <w:szCs w:val="24"/>
    </w:rPr>
  </w:style>
  <w:style w:type="paragraph" w:styleId="Bezmezer">
    <w:name w:val="No Spacing"/>
    <w:link w:val="BezmezerChar"/>
    <w:uiPriority w:val="1"/>
    <w:qFormat/>
    <w:rsid w:val="00FF1D8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FF1D86"/>
    <w:rPr>
      <w:rFonts w:asciiTheme="minorHAnsi" w:eastAsiaTheme="minorEastAsia" w:hAnsiTheme="minorHAnsi" w:cstheme="minorBidi"/>
      <w:sz w:val="22"/>
      <w:szCs w:val="22"/>
    </w:rPr>
  </w:style>
  <w:style w:type="paragraph" w:customStyle="1" w:styleId="D345FF3D873148C5AE3FBF3267827368">
    <w:name w:val="D345FF3D873148C5AE3FBF3267827368"/>
    <w:rsid w:val="00FF1D86"/>
    <w:pPr>
      <w:spacing w:after="200" w:line="276" w:lineRule="auto"/>
    </w:pPr>
    <w:rPr>
      <w:rFonts w:asciiTheme="minorHAnsi" w:eastAsiaTheme="minorEastAsia" w:hAnsiTheme="minorHAnsi" w:cstheme="minorBidi"/>
      <w:sz w:val="22"/>
      <w:szCs w:val="22"/>
    </w:rPr>
  </w:style>
  <w:style w:type="table" w:styleId="Mkatabulky">
    <w:name w:val="Table Grid"/>
    <w:basedOn w:val="Normlntabulka"/>
    <w:uiPriority w:val="59"/>
    <w:rsid w:val="002F3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CC7E71"/>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sz w:val="28"/>
      <w:szCs w:val="28"/>
    </w:rPr>
  </w:style>
  <w:style w:type="paragraph" w:customStyle="1" w:styleId="Hrebik2">
    <w:name w:val="Hrebik 2"/>
    <w:basedOn w:val="Nadpis2"/>
    <w:link w:val="Hrebik2Char"/>
    <w:qFormat/>
    <w:rsid w:val="00866D8B"/>
    <w:pPr>
      <w:framePr w:wrap="around" w:hAnchor="text"/>
      <w:jc w:val="center"/>
    </w:pPr>
    <w:rPr>
      <w:rFonts w:cstheme="minorHAnsi"/>
    </w:rPr>
  </w:style>
  <w:style w:type="character" w:customStyle="1" w:styleId="Hrebik2Char">
    <w:name w:val="Hrebik 2 Char"/>
    <w:basedOn w:val="Nadpis2Char"/>
    <w:link w:val="Hrebik2"/>
    <w:rsid w:val="00866D8B"/>
    <w:rPr>
      <w:rFonts w:asciiTheme="minorHAnsi" w:hAnsiTheme="minorHAnsi" w:cstheme="minorHAnsi"/>
      <w:b/>
      <w:bCs/>
      <w:sz w:val="28"/>
      <w:szCs w:val="24"/>
    </w:rPr>
  </w:style>
  <w:style w:type="paragraph" w:customStyle="1" w:styleId="CM1">
    <w:name w:val="CM1"/>
    <w:basedOn w:val="Default"/>
    <w:next w:val="Default"/>
    <w:uiPriority w:val="99"/>
    <w:rsid w:val="00937CD6"/>
    <w:rPr>
      <w:rFonts w:ascii="EUAlbertina" w:hAnsi="EUAlbertina"/>
      <w:color w:val="auto"/>
    </w:rPr>
  </w:style>
  <w:style w:type="paragraph" w:customStyle="1" w:styleId="CM3">
    <w:name w:val="CM3"/>
    <w:basedOn w:val="Default"/>
    <w:next w:val="Default"/>
    <w:uiPriority w:val="99"/>
    <w:rsid w:val="00937CD6"/>
    <w:rPr>
      <w:rFonts w:ascii="EUAlbertina" w:hAnsi="EUAlbertina"/>
      <w:color w:val="auto"/>
    </w:rPr>
  </w:style>
  <w:style w:type="paragraph" w:customStyle="1" w:styleId="CM4">
    <w:name w:val="CM4"/>
    <w:basedOn w:val="Default"/>
    <w:next w:val="Default"/>
    <w:uiPriority w:val="99"/>
    <w:rsid w:val="00937CD6"/>
    <w:rPr>
      <w:rFonts w:ascii="EUAlbertina" w:hAnsi="EUAlbertina"/>
      <w:color w:val="auto"/>
    </w:rPr>
  </w:style>
  <w:style w:type="character" w:styleId="Zdraznnintenzivn">
    <w:name w:val="Intense Emphasis"/>
    <w:uiPriority w:val="21"/>
    <w:qFormat/>
    <w:rsid w:val="005462B1"/>
    <w:rPr>
      <w:rFonts w:ascii="Arial" w:hAnsi="Arial" w:cs="Arial"/>
      <w:b/>
      <w:bCs/>
      <w:color w:val="000000"/>
      <w:sz w:val="20"/>
      <w:szCs w:val="20"/>
    </w:rPr>
  </w:style>
  <w:style w:type="paragraph" w:styleId="Seznamobrzk">
    <w:name w:val="table of figures"/>
    <w:basedOn w:val="Normln"/>
    <w:next w:val="Normln"/>
    <w:uiPriority w:val="99"/>
    <w:unhideWhenUsed/>
    <w:rsid w:val="001621F0"/>
    <w:pPr>
      <w:spacing w:after="0"/>
    </w:pPr>
  </w:style>
  <w:style w:type="paragraph" w:customStyle="1" w:styleId="Bullet1">
    <w:name w:val="Bullet 1"/>
    <w:basedOn w:val="Normln"/>
    <w:link w:val="Bullet1Char"/>
    <w:qFormat/>
    <w:rsid w:val="00930D4D"/>
    <w:pPr>
      <w:numPr>
        <w:numId w:val="113"/>
      </w:numPr>
      <w:spacing w:before="120" w:after="120"/>
      <w:jc w:val="left"/>
    </w:pPr>
    <w:rPr>
      <w:rFonts w:ascii="Arial" w:hAnsi="Arial"/>
      <w:sz w:val="22"/>
    </w:rPr>
  </w:style>
  <w:style w:type="character" w:customStyle="1" w:styleId="Bullet1Char">
    <w:name w:val="Bullet 1 Char"/>
    <w:link w:val="Bullet1"/>
    <w:rsid w:val="00930D4D"/>
    <w:rPr>
      <w:rFonts w:ascii="Arial" w:hAnsi="Arial"/>
      <w:sz w:val="22"/>
      <w:szCs w:val="24"/>
    </w:rPr>
  </w:style>
  <w:style w:type="character" w:customStyle="1" w:styleId="apple-converted-space">
    <w:name w:val="apple-converted-space"/>
    <w:basedOn w:val="Standardnpsmoodstavce"/>
    <w:rsid w:val="000115A0"/>
  </w:style>
  <w:style w:type="character" w:customStyle="1" w:styleId="TextvysvtlivekChar">
    <w:name w:val="Text vysvětlivek Char"/>
    <w:basedOn w:val="Standardnpsmoodstavce"/>
    <w:link w:val="Textvysvtlivek"/>
    <w:uiPriority w:val="99"/>
    <w:semiHidden/>
    <w:rsid w:val="007D2C62"/>
    <w:rPr>
      <w:rFonts w:asciiTheme="minorHAnsi" w:hAnsiTheme="minorHAnsi"/>
    </w:rPr>
  </w:style>
  <w:style w:type="paragraph" w:styleId="Textvysvtlivek">
    <w:name w:val="endnote text"/>
    <w:basedOn w:val="Normln"/>
    <w:link w:val="TextvysvtlivekChar"/>
    <w:uiPriority w:val="99"/>
    <w:semiHidden/>
    <w:unhideWhenUsed/>
    <w:rsid w:val="007D2C62"/>
    <w:pPr>
      <w:spacing w:after="0"/>
    </w:pPr>
    <w:rPr>
      <w:sz w:val="20"/>
      <w:szCs w:val="20"/>
    </w:rPr>
  </w:style>
  <w:style w:type="character" w:customStyle="1" w:styleId="TextvysvtlivekChar1">
    <w:name w:val="Text vysvětlivek Char1"/>
    <w:basedOn w:val="Standardnpsmoodstavce"/>
    <w:uiPriority w:val="99"/>
    <w:semiHidden/>
    <w:rsid w:val="007D2C62"/>
    <w:rPr>
      <w:rFonts w:asciiTheme="minorHAnsi" w:hAnsiTheme="minorHAnsi"/>
    </w:rPr>
  </w:style>
  <w:style w:type="paragraph" w:styleId="Prosttext">
    <w:name w:val="Plain Text"/>
    <w:basedOn w:val="Normln"/>
    <w:link w:val="ProsttextChar"/>
    <w:uiPriority w:val="99"/>
    <w:semiHidden/>
    <w:unhideWhenUsed/>
    <w:rsid w:val="00F40DEC"/>
    <w:pPr>
      <w:spacing w:after="0"/>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F40DEC"/>
    <w:rPr>
      <w:rFonts w:ascii="Calibri" w:eastAsiaTheme="minorHAnsi" w:hAnsi="Calibri" w:cstheme="minorBidi"/>
      <w:sz w:val="22"/>
      <w:szCs w:val="21"/>
      <w:lang w:eastAsia="en-US"/>
    </w:rPr>
  </w:style>
  <w:style w:type="character" w:customStyle="1" w:styleId="st">
    <w:name w:val="st"/>
    <w:basedOn w:val="Standardnpsmoodstavce"/>
    <w:rsid w:val="00BA5F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73C8"/>
    <w:pPr>
      <w:spacing w:after="240"/>
      <w:jc w:val="both"/>
    </w:pPr>
    <w:rPr>
      <w:rFonts w:asciiTheme="minorHAnsi" w:hAnsiTheme="minorHAnsi"/>
      <w:sz w:val="24"/>
      <w:szCs w:val="24"/>
    </w:rPr>
  </w:style>
  <w:style w:type="paragraph" w:styleId="Nadpis1">
    <w:name w:val="heading 1"/>
    <w:basedOn w:val="Normln"/>
    <w:next w:val="Normln"/>
    <w:link w:val="Nadpis1Char"/>
    <w:autoRedefine/>
    <w:uiPriority w:val="9"/>
    <w:qFormat/>
    <w:rsid w:val="001560D9"/>
    <w:pPr>
      <w:keepNext/>
      <w:numPr>
        <w:numId w:val="86"/>
      </w:numPr>
      <w:overflowPunct w:val="0"/>
      <w:autoSpaceDE w:val="0"/>
      <w:autoSpaceDN w:val="0"/>
      <w:adjustRightInd w:val="0"/>
      <w:spacing w:before="240"/>
      <w:ind w:left="431" w:hanging="431"/>
      <w:textAlignment w:val="baseline"/>
      <w:outlineLvl w:val="0"/>
    </w:pPr>
    <w:rPr>
      <w:rFonts w:ascii="Calibri" w:hAnsi="Calibri" w:cs="Calibri"/>
      <w:b/>
      <w:sz w:val="32"/>
      <w:szCs w:val="32"/>
    </w:rPr>
  </w:style>
  <w:style w:type="paragraph" w:styleId="Nadpis2">
    <w:name w:val="heading 2"/>
    <w:basedOn w:val="Normln"/>
    <w:next w:val="Normln"/>
    <w:link w:val="Nadpis2Char"/>
    <w:qFormat/>
    <w:rsid w:val="00E16455"/>
    <w:pPr>
      <w:keepNext/>
      <w:numPr>
        <w:ilvl w:val="1"/>
        <w:numId w:val="86"/>
      </w:numPr>
      <w:spacing w:before="240" w:after="120"/>
      <w:ind w:left="578" w:hanging="578"/>
      <w:outlineLvl w:val="1"/>
    </w:pPr>
    <w:rPr>
      <w:b/>
      <w:bCs/>
      <w:sz w:val="28"/>
    </w:rPr>
  </w:style>
  <w:style w:type="paragraph" w:styleId="Nadpis3">
    <w:name w:val="heading 3"/>
    <w:basedOn w:val="Normln"/>
    <w:next w:val="Normln"/>
    <w:link w:val="Nadpis3Char"/>
    <w:qFormat/>
    <w:rsid w:val="00E16455"/>
    <w:pPr>
      <w:keepNext/>
      <w:numPr>
        <w:ilvl w:val="2"/>
        <w:numId w:val="86"/>
      </w:numPr>
      <w:autoSpaceDE w:val="0"/>
      <w:autoSpaceDN w:val="0"/>
      <w:adjustRightInd w:val="0"/>
      <w:spacing w:before="240" w:after="120"/>
      <w:ind w:left="0" w:firstLine="0"/>
      <w:jc w:val="left"/>
      <w:outlineLvl w:val="2"/>
    </w:pPr>
    <w:rPr>
      <w:b/>
      <w:bCs/>
      <w:color w:val="000000"/>
      <w:sz w:val="28"/>
      <w:szCs w:val="32"/>
    </w:rPr>
  </w:style>
  <w:style w:type="paragraph" w:styleId="Nadpis4">
    <w:name w:val="heading 4"/>
    <w:basedOn w:val="Normln"/>
    <w:next w:val="Normln"/>
    <w:link w:val="Nadpis4Char"/>
    <w:qFormat/>
    <w:rsid w:val="006E3CE4"/>
    <w:pPr>
      <w:keepNext/>
      <w:numPr>
        <w:ilvl w:val="3"/>
        <w:numId w:val="86"/>
      </w:numPr>
      <w:autoSpaceDE w:val="0"/>
      <w:autoSpaceDN w:val="0"/>
      <w:adjustRightInd w:val="0"/>
      <w:jc w:val="center"/>
      <w:outlineLvl w:val="3"/>
    </w:pPr>
    <w:rPr>
      <w:b/>
      <w:bCs/>
      <w:color w:val="000000"/>
      <w:szCs w:val="40"/>
    </w:rPr>
  </w:style>
  <w:style w:type="paragraph" w:styleId="Nadpis5">
    <w:name w:val="heading 5"/>
    <w:basedOn w:val="Normln"/>
    <w:next w:val="Normln"/>
    <w:link w:val="Nadpis5Char"/>
    <w:qFormat/>
    <w:rsid w:val="006E3CE4"/>
    <w:pPr>
      <w:keepNext/>
      <w:numPr>
        <w:ilvl w:val="4"/>
        <w:numId w:val="86"/>
      </w:numPr>
      <w:autoSpaceDE w:val="0"/>
      <w:autoSpaceDN w:val="0"/>
      <w:adjustRightInd w:val="0"/>
      <w:jc w:val="center"/>
      <w:outlineLvl w:val="4"/>
    </w:pPr>
    <w:rPr>
      <w:b/>
      <w:bCs/>
      <w:color w:val="000000"/>
      <w:sz w:val="20"/>
      <w:szCs w:val="36"/>
    </w:rPr>
  </w:style>
  <w:style w:type="paragraph" w:styleId="Nadpis6">
    <w:name w:val="heading 6"/>
    <w:basedOn w:val="Normln"/>
    <w:next w:val="Normln"/>
    <w:link w:val="Nadpis6Char"/>
    <w:qFormat/>
    <w:rsid w:val="006E3CE4"/>
    <w:pPr>
      <w:keepNext/>
      <w:numPr>
        <w:ilvl w:val="5"/>
        <w:numId w:val="86"/>
      </w:numPr>
      <w:outlineLvl w:val="5"/>
    </w:pPr>
    <w:rPr>
      <w:b/>
      <w:bCs/>
    </w:rPr>
  </w:style>
  <w:style w:type="paragraph" w:styleId="Nadpis7">
    <w:name w:val="heading 7"/>
    <w:basedOn w:val="Normln"/>
    <w:next w:val="Normln"/>
    <w:link w:val="Nadpis7Char"/>
    <w:qFormat/>
    <w:rsid w:val="006B505E"/>
    <w:pPr>
      <w:keepNext/>
      <w:numPr>
        <w:ilvl w:val="6"/>
        <w:numId w:val="86"/>
      </w:numPr>
      <w:spacing w:before="240" w:after="360"/>
      <w:outlineLvl w:val="6"/>
    </w:pPr>
    <w:rPr>
      <w:b/>
      <w:bCs/>
    </w:rPr>
  </w:style>
  <w:style w:type="paragraph" w:styleId="Nadpis8">
    <w:name w:val="heading 8"/>
    <w:basedOn w:val="Normln"/>
    <w:next w:val="Normln"/>
    <w:link w:val="Nadpis8Char"/>
    <w:qFormat/>
    <w:rsid w:val="006E3CE4"/>
    <w:pPr>
      <w:numPr>
        <w:ilvl w:val="7"/>
        <w:numId w:val="86"/>
      </w:numPr>
      <w:overflowPunct w:val="0"/>
      <w:autoSpaceDE w:val="0"/>
      <w:autoSpaceDN w:val="0"/>
      <w:adjustRightInd w:val="0"/>
      <w:spacing w:before="240" w:after="60"/>
      <w:textAlignment w:val="baseline"/>
      <w:outlineLvl w:val="7"/>
    </w:pPr>
    <w:rPr>
      <w:i/>
      <w:iCs/>
      <w:color w:val="000000"/>
    </w:rPr>
  </w:style>
  <w:style w:type="paragraph" w:styleId="Nadpis9">
    <w:name w:val="heading 9"/>
    <w:aliases w:val="Tabulka"/>
    <w:basedOn w:val="Normln"/>
    <w:next w:val="Normln"/>
    <w:link w:val="Nadpis9Char"/>
    <w:qFormat/>
    <w:rsid w:val="00F94439"/>
    <w:pPr>
      <w:numPr>
        <w:ilvl w:val="8"/>
        <w:numId w:val="86"/>
      </w:numPr>
      <w:spacing w:after="0"/>
      <w:ind w:left="1584"/>
      <w:jc w:val="center"/>
      <w:outlineLvl w:val="8"/>
    </w:pPr>
    <w:rPr>
      <w:rFonts w:ascii="Arial" w:hAnsi="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60D9"/>
    <w:rPr>
      <w:rFonts w:ascii="Calibri" w:hAnsi="Calibri" w:cs="Calibri"/>
      <w:b/>
      <w:sz w:val="32"/>
      <w:szCs w:val="32"/>
    </w:rPr>
  </w:style>
  <w:style w:type="character" w:customStyle="1" w:styleId="Nadpis2Char">
    <w:name w:val="Nadpis 2 Char"/>
    <w:basedOn w:val="Standardnpsmoodstavce"/>
    <w:link w:val="Nadpis2"/>
    <w:rsid w:val="00E16455"/>
    <w:rPr>
      <w:rFonts w:asciiTheme="minorHAnsi" w:hAnsiTheme="minorHAnsi"/>
      <w:b/>
      <w:bCs/>
      <w:sz w:val="28"/>
      <w:szCs w:val="24"/>
    </w:rPr>
  </w:style>
  <w:style w:type="character" w:customStyle="1" w:styleId="Nadpis3Char">
    <w:name w:val="Nadpis 3 Char"/>
    <w:basedOn w:val="Standardnpsmoodstavce"/>
    <w:link w:val="Nadpis3"/>
    <w:rsid w:val="00E16455"/>
    <w:rPr>
      <w:rFonts w:asciiTheme="minorHAnsi" w:hAnsiTheme="minorHAnsi"/>
      <w:b/>
      <w:bCs/>
      <w:color w:val="000000"/>
      <w:sz w:val="28"/>
      <w:szCs w:val="32"/>
    </w:rPr>
  </w:style>
  <w:style w:type="character" w:customStyle="1" w:styleId="Nadpis4Char">
    <w:name w:val="Nadpis 4 Char"/>
    <w:basedOn w:val="Standardnpsmoodstavce"/>
    <w:link w:val="Nadpis4"/>
    <w:rsid w:val="006E3CE4"/>
    <w:rPr>
      <w:rFonts w:asciiTheme="minorHAnsi" w:hAnsiTheme="minorHAnsi"/>
      <w:b/>
      <w:bCs/>
      <w:color w:val="000000"/>
      <w:sz w:val="24"/>
      <w:szCs w:val="40"/>
    </w:rPr>
  </w:style>
  <w:style w:type="character" w:customStyle="1" w:styleId="Nadpis5Char">
    <w:name w:val="Nadpis 5 Char"/>
    <w:basedOn w:val="Standardnpsmoodstavce"/>
    <w:link w:val="Nadpis5"/>
    <w:rsid w:val="006E3CE4"/>
    <w:rPr>
      <w:rFonts w:asciiTheme="minorHAnsi" w:hAnsiTheme="minorHAnsi"/>
      <w:b/>
      <w:bCs/>
      <w:color w:val="000000"/>
      <w:szCs w:val="36"/>
    </w:rPr>
  </w:style>
  <w:style w:type="character" w:customStyle="1" w:styleId="Nadpis6Char">
    <w:name w:val="Nadpis 6 Char"/>
    <w:basedOn w:val="Standardnpsmoodstavce"/>
    <w:link w:val="Nadpis6"/>
    <w:rsid w:val="006E3CE4"/>
    <w:rPr>
      <w:rFonts w:asciiTheme="minorHAnsi" w:hAnsiTheme="minorHAnsi"/>
      <w:b/>
      <w:bCs/>
      <w:sz w:val="24"/>
      <w:szCs w:val="24"/>
    </w:rPr>
  </w:style>
  <w:style w:type="character" w:customStyle="1" w:styleId="Nadpis7Char">
    <w:name w:val="Nadpis 7 Char"/>
    <w:basedOn w:val="Standardnpsmoodstavce"/>
    <w:link w:val="Nadpis7"/>
    <w:rsid w:val="006B505E"/>
    <w:rPr>
      <w:rFonts w:asciiTheme="minorHAnsi" w:hAnsiTheme="minorHAnsi"/>
      <w:b/>
      <w:bCs/>
      <w:sz w:val="24"/>
      <w:szCs w:val="24"/>
    </w:rPr>
  </w:style>
  <w:style w:type="character" w:customStyle="1" w:styleId="Nadpis8Char">
    <w:name w:val="Nadpis 8 Char"/>
    <w:basedOn w:val="Standardnpsmoodstavce"/>
    <w:link w:val="Nadpis8"/>
    <w:rsid w:val="006E3CE4"/>
    <w:rPr>
      <w:rFonts w:asciiTheme="minorHAnsi" w:hAnsiTheme="minorHAnsi"/>
      <w:i/>
      <w:iCs/>
      <w:color w:val="000000"/>
      <w:sz w:val="24"/>
      <w:szCs w:val="24"/>
    </w:rPr>
  </w:style>
  <w:style w:type="character" w:customStyle="1" w:styleId="Nadpis9Char">
    <w:name w:val="Nadpis 9 Char"/>
    <w:aliases w:val="Tabulka Char"/>
    <w:basedOn w:val="Standardnpsmoodstavce"/>
    <w:link w:val="Nadpis9"/>
    <w:rsid w:val="00F94439"/>
    <w:rPr>
      <w:rFonts w:ascii="Arial" w:hAnsi="Arial"/>
      <w:szCs w:val="24"/>
    </w:rPr>
  </w:style>
  <w:style w:type="paragraph" w:styleId="Zkladntext">
    <w:name w:val="Body Text"/>
    <w:aliases w:val="bt,text,Body Text2"/>
    <w:basedOn w:val="Normln"/>
    <w:link w:val="ZkladntextChar"/>
    <w:uiPriority w:val="99"/>
    <w:semiHidden/>
    <w:rsid w:val="006E3CE4"/>
  </w:style>
  <w:style w:type="character" w:customStyle="1" w:styleId="ZkladntextChar">
    <w:name w:val="Základní text Char"/>
    <w:aliases w:val="bt Char,text Char,Body Text2 Char"/>
    <w:basedOn w:val="Standardnpsmoodstavce"/>
    <w:link w:val="Zkladntext"/>
    <w:uiPriority w:val="99"/>
    <w:semiHidden/>
    <w:rsid w:val="006E3CE4"/>
    <w:rPr>
      <w:sz w:val="24"/>
      <w:szCs w:val="24"/>
    </w:rPr>
  </w:style>
  <w:style w:type="paragraph" w:styleId="Zpat">
    <w:name w:val="footer"/>
    <w:basedOn w:val="Normln"/>
    <w:link w:val="ZpatChar"/>
    <w:uiPriority w:val="99"/>
    <w:rsid w:val="006E3CE4"/>
    <w:pPr>
      <w:tabs>
        <w:tab w:val="center" w:pos="4536"/>
        <w:tab w:val="right" w:pos="9072"/>
      </w:tabs>
      <w:overflowPunct w:val="0"/>
      <w:autoSpaceDE w:val="0"/>
      <w:autoSpaceDN w:val="0"/>
      <w:adjustRightInd w:val="0"/>
      <w:textAlignment w:val="baseline"/>
    </w:pPr>
    <w:rPr>
      <w:rFonts w:ascii="Arial" w:hAnsi="Arial" w:cs="Arial"/>
      <w:color w:val="000000"/>
    </w:rPr>
  </w:style>
  <w:style w:type="character" w:customStyle="1" w:styleId="ZpatChar">
    <w:name w:val="Zápatí Char"/>
    <w:basedOn w:val="Standardnpsmoodstavce"/>
    <w:link w:val="Zpat"/>
    <w:uiPriority w:val="99"/>
    <w:rsid w:val="006E3CE4"/>
    <w:rPr>
      <w:rFonts w:ascii="Arial" w:hAnsi="Arial" w:cs="Arial"/>
      <w:color w:val="000000"/>
      <w:sz w:val="24"/>
      <w:szCs w:val="24"/>
    </w:rPr>
  </w:style>
  <w:style w:type="paragraph" w:styleId="Zkladntextodsazen2">
    <w:name w:val="Body Text Indent 2"/>
    <w:basedOn w:val="Normln"/>
    <w:link w:val="Zkladntextodsazen2Char"/>
    <w:semiHidden/>
    <w:rsid w:val="006E3CE4"/>
    <w:pPr>
      <w:overflowPunct w:val="0"/>
      <w:autoSpaceDE w:val="0"/>
      <w:autoSpaceDN w:val="0"/>
      <w:adjustRightInd w:val="0"/>
      <w:ind w:left="360"/>
      <w:textAlignment w:val="baseline"/>
    </w:pPr>
    <w:rPr>
      <w:rFonts w:ascii="Arial" w:hAnsi="Arial" w:cs="Arial"/>
      <w:b/>
      <w:bCs/>
      <w:color w:val="000000"/>
    </w:rPr>
  </w:style>
  <w:style w:type="character" w:customStyle="1" w:styleId="Zkladntextodsazen2Char">
    <w:name w:val="Základní text odsazený 2 Char"/>
    <w:basedOn w:val="Standardnpsmoodstavce"/>
    <w:link w:val="Zkladntextodsazen2"/>
    <w:semiHidden/>
    <w:rsid w:val="006E3CE4"/>
    <w:rPr>
      <w:rFonts w:ascii="Arial" w:hAnsi="Arial" w:cs="Arial"/>
      <w:b/>
      <w:bCs/>
      <w:color w:val="000000"/>
      <w:sz w:val="24"/>
      <w:szCs w:val="24"/>
    </w:rPr>
  </w:style>
  <w:style w:type="paragraph" w:customStyle="1" w:styleId="Zkladntext21">
    <w:name w:val="Základní text 21"/>
    <w:basedOn w:val="Normln"/>
    <w:rsid w:val="006E3CE4"/>
    <w:pPr>
      <w:widowControl w:val="0"/>
      <w:overflowPunct w:val="0"/>
      <w:autoSpaceDE w:val="0"/>
      <w:autoSpaceDN w:val="0"/>
      <w:adjustRightInd w:val="0"/>
    </w:pPr>
    <w:rPr>
      <w:rFonts w:ascii="Arial" w:hAnsi="Arial" w:cs="Arial"/>
      <w:color w:val="000000"/>
    </w:rPr>
  </w:style>
  <w:style w:type="paragraph" w:styleId="Zkladntext2">
    <w:name w:val="Body Text 2"/>
    <w:basedOn w:val="Normln"/>
    <w:link w:val="Zkladntext2Char"/>
    <w:semiHidden/>
    <w:rsid w:val="006E3CE4"/>
    <w:rPr>
      <w:b/>
      <w:bCs/>
      <w:sz w:val="36"/>
    </w:rPr>
  </w:style>
  <w:style w:type="character" w:customStyle="1" w:styleId="Zkladntext2Char">
    <w:name w:val="Základní text 2 Char"/>
    <w:basedOn w:val="Standardnpsmoodstavce"/>
    <w:link w:val="Zkladntext2"/>
    <w:semiHidden/>
    <w:rsid w:val="006E3CE4"/>
    <w:rPr>
      <w:b/>
      <w:bCs/>
      <w:sz w:val="36"/>
      <w:szCs w:val="24"/>
    </w:rPr>
  </w:style>
  <w:style w:type="character" w:styleId="slostrnky">
    <w:name w:val="page number"/>
    <w:basedOn w:val="Standardnpsmoodstavce"/>
    <w:semiHidden/>
    <w:rsid w:val="006E3CE4"/>
  </w:style>
  <w:style w:type="paragraph" w:styleId="Zkladntextodsazen">
    <w:name w:val="Body Text Indent"/>
    <w:basedOn w:val="Normln"/>
    <w:link w:val="ZkladntextodsazenChar"/>
    <w:semiHidden/>
    <w:rsid w:val="006E3CE4"/>
    <w:pPr>
      <w:ind w:left="360"/>
    </w:pPr>
    <w:rPr>
      <w:b/>
      <w:bCs/>
      <w:sz w:val="20"/>
    </w:rPr>
  </w:style>
  <w:style w:type="character" w:customStyle="1" w:styleId="ZkladntextodsazenChar">
    <w:name w:val="Základní text odsazený Char"/>
    <w:basedOn w:val="Standardnpsmoodstavce"/>
    <w:link w:val="Zkladntextodsazen"/>
    <w:semiHidden/>
    <w:rsid w:val="006E3CE4"/>
    <w:rPr>
      <w:b/>
      <w:bCs/>
      <w:szCs w:val="24"/>
    </w:rPr>
  </w:style>
  <w:style w:type="paragraph" w:styleId="Zkladntext3">
    <w:name w:val="Body Text 3"/>
    <w:basedOn w:val="Normln"/>
    <w:link w:val="Zkladntext3Char"/>
    <w:semiHidden/>
    <w:rsid w:val="006E3CE4"/>
    <w:rPr>
      <w:bCs/>
      <w:sz w:val="28"/>
      <w:szCs w:val="28"/>
    </w:rPr>
  </w:style>
  <w:style w:type="character" w:customStyle="1" w:styleId="Zkladntext3Char">
    <w:name w:val="Základní text 3 Char"/>
    <w:basedOn w:val="Standardnpsmoodstavce"/>
    <w:link w:val="Zkladntext3"/>
    <w:semiHidden/>
    <w:rsid w:val="006E3CE4"/>
    <w:rPr>
      <w:bCs/>
      <w:sz w:val="28"/>
      <w:szCs w:val="28"/>
    </w:rPr>
  </w:style>
  <w:style w:type="paragraph" w:styleId="Zkladntextodsazen3">
    <w:name w:val="Body Text Indent 3"/>
    <w:basedOn w:val="Normln"/>
    <w:link w:val="Zkladntextodsazen3Char"/>
    <w:semiHidden/>
    <w:rsid w:val="006E3CE4"/>
    <w:pPr>
      <w:tabs>
        <w:tab w:val="left" w:pos="2073"/>
      </w:tabs>
      <w:ind w:left="360"/>
    </w:pPr>
    <w:rPr>
      <w:iCs/>
    </w:rPr>
  </w:style>
  <w:style w:type="character" w:customStyle="1" w:styleId="Zkladntextodsazen3Char">
    <w:name w:val="Základní text odsazený 3 Char"/>
    <w:basedOn w:val="Standardnpsmoodstavce"/>
    <w:link w:val="Zkladntextodsazen3"/>
    <w:semiHidden/>
    <w:rsid w:val="006E3CE4"/>
    <w:rPr>
      <w:iCs/>
      <w:sz w:val="24"/>
      <w:szCs w:val="24"/>
    </w:rPr>
  </w:style>
  <w:style w:type="character" w:styleId="Siln">
    <w:name w:val="Strong"/>
    <w:qFormat/>
    <w:rsid w:val="006E3CE4"/>
    <w:rPr>
      <w:b/>
      <w:bCs/>
    </w:rPr>
  </w:style>
  <w:style w:type="paragraph" w:customStyle="1" w:styleId="BodyText21">
    <w:name w:val="Body Text 21"/>
    <w:basedOn w:val="Normln"/>
    <w:uiPriority w:val="99"/>
    <w:rsid w:val="006E3CE4"/>
    <w:rPr>
      <w:rFonts w:ascii="Arial" w:hAnsi="Arial"/>
      <w:szCs w:val="20"/>
    </w:rPr>
  </w:style>
  <w:style w:type="character" w:styleId="Hypertextovodkaz">
    <w:name w:val="Hyperlink"/>
    <w:uiPriority w:val="99"/>
    <w:rsid w:val="006E3CE4"/>
    <w:rPr>
      <w:strike w:val="0"/>
      <w:dstrike w:val="0"/>
      <w:color w:val="0000FF"/>
      <w:u w:val="none"/>
      <w:effect w:val="none"/>
    </w:rPr>
  </w:style>
  <w:style w:type="paragraph" w:styleId="Normlnweb">
    <w:name w:val="Normal (Web)"/>
    <w:basedOn w:val="Normln"/>
    <w:uiPriority w:val="99"/>
    <w:rsid w:val="006E3CE4"/>
    <w:pPr>
      <w:spacing w:before="100" w:beforeAutospacing="1" w:after="100" w:afterAutospacing="1"/>
    </w:pPr>
    <w:rPr>
      <w:rFonts w:ascii="Arial Unicode MS" w:eastAsia="Arial Unicode MS" w:hAnsi="Arial Unicode MS" w:cs="Arial Unicode MS"/>
    </w:rPr>
  </w:style>
  <w:style w:type="paragraph" w:customStyle="1" w:styleId="OdstavecCOPS">
    <w:name w:val="Odstavec COPS"/>
    <w:basedOn w:val="Normln"/>
    <w:rsid w:val="006E3CE4"/>
    <w:pPr>
      <w:spacing w:before="80" w:after="160"/>
    </w:pPr>
    <w:rPr>
      <w:bCs/>
    </w:rPr>
  </w:style>
  <w:style w:type="paragraph" w:customStyle="1" w:styleId="Par-number1">
    <w:name w:val="Par-number 1."/>
    <w:basedOn w:val="Normln"/>
    <w:next w:val="Normln"/>
    <w:rsid w:val="006E3CE4"/>
    <w:pPr>
      <w:widowControl w:val="0"/>
      <w:spacing w:line="360" w:lineRule="auto"/>
    </w:pPr>
    <w:rPr>
      <w:szCs w:val="20"/>
      <w:lang w:eastAsia="fr-BE"/>
    </w:rPr>
  </w:style>
  <w:style w:type="paragraph" w:customStyle="1" w:styleId="Par-dash">
    <w:name w:val="Par-dash"/>
    <w:basedOn w:val="Normln"/>
    <w:next w:val="Normln"/>
    <w:rsid w:val="006E3CE4"/>
    <w:pPr>
      <w:widowControl w:val="0"/>
      <w:numPr>
        <w:numId w:val="2"/>
      </w:numPr>
      <w:spacing w:line="360" w:lineRule="auto"/>
    </w:pPr>
    <w:rPr>
      <w:szCs w:val="20"/>
      <w:lang w:eastAsia="fr-BE"/>
    </w:rPr>
  </w:style>
  <w:style w:type="paragraph" w:customStyle="1" w:styleId="Default">
    <w:name w:val="Default"/>
    <w:rsid w:val="006E3CE4"/>
    <w:pPr>
      <w:autoSpaceDE w:val="0"/>
      <w:autoSpaceDN w:val="0"/>
      <w:adjustRightInd w:val="0"/>
    </w:pPr>
    <w:rPr>
      <w:rFonts w:ascii="Verdana" w:hAnsi="Verdana"/>
      <w:color w:val="000000"/>
      <w:sz w:val="24"/>
      <w:szCs w:val="24"/>
    </w:rPr>
  </w:style>
  <w:style w:type="paragraph" w:styleId="Seznamsodrkami">
    <w:name w:val="List Bullet"/>
    <w:basedOn w:val="Normln"/>
    <w:autoRedefine/>
    <w:semiHidden/>
    <w:rsid w:val="006E3CE4"/>
    <w:pPr>
      <w:numPr>
        <w:numId w:val="3"/>
      </w:numPr>
    </w:pPr>
    <w:rPr>
      <w:rFonts w:ascii="Arial" w:hAnsi="Arial" w:cs="Arial"/>
      <w:color w:val="000000"/>
    </w:rPr>
  </w:style>
  <w:style w:type="paragraph" w:customStyle="1" w:styleId="FigureHeading">
    <w:name w:val="Figure Heading"/>
    <w:basedOn w:val="MainText"/>
    <w:next w:val="MainText"/>
    <w:rsid w:val="006E3CE4"/>
    <w:pPr>
      <w:keepNext/>
      <w:numPr>
        <w:numId w:val="5"/>
      </w:numPr>
      <w:tabs>
        <w:tab w:val="left" w:pos="1701"/>
      </w:tabs>
      <w:spacing w:before="360" w:after="120"/>
    </w:pPr>
    <w:rPr>
      <w:rFonts w:cs="Arial"/>
      <w:b/>
      <w:bCs/>
      <w:sz w:val="16"/>
    </w:rPr>
  </w:style>
  <w:style w:type="paragraph" w:customStyle="1" w:styleId="MainText">
    <w:name w:val="Main Text"/>
    <w:basedOn w:val="Normln"/>
    <w:rsid w:val="006E3CE4"/>
    <w:pPr>
      <w:spacing w:before="240"/>
      <w:ind w:left="567"/>
    </w:pPr>
    <w:rPr>
      <w:rFonts w:ascii="Arial" w:eastAsia="MS Mincho" w:hAnsi="Arial"/>
      <w:spacing w:val="10"/>
      <w:sz w:val="20"/>
      <w:lang w:eastAsia="en-US"/>
    </w:rPr>
  </w:style>
  <w:style w:type="paragraph" w:customStyle="1" w:styleId="TableHeading">
    <w:name w:val="Table Heading"/>
    <w:basedOn w:val="FigureHeading"/>
    <w:next w:val="MainText"/>
    <w:rsid w:val="006E3CE4"/>
    <w:pPr>
      <w:numPr>
        <w:numId w:val="4"/>
      </w:numPr>
      <w:tabs>
        <w:tab w:val="clear" w:pos="1647"/>
        <w:tab w:val="num" w:pos="720"/>
      </w:tabs>
      <w:ind w:left="720" w:hanging="360"/>
    </w:pPr>
  </w:style>
  <w:style w:type="paragraph" w:customStyle="1" w:styleId="BulletText">
    <w:name w:val="Bullet Text"/>
    <w:basedOn w:val="MainText"/>
    <w:uiPriority w:val="99"/>
    <w:rsid w:val="006E3CE4"/>
    <w:pPr>
      <w:numPr>
        <w:numId w:val="6"/>
      </w:numPr>
    </w:pPr>
  </w:style>
  <w:style w:type="paragraph" w:customStyle="1" w:styleId="AppendixNo">
    <w:name w:val="Appendix No."/>
    <w:next w:val="MainText"/>
    <w:rsid w:val="006E3CE4"/>
    <w:pPr>
      <w:keepNext/>
      <w:pageBreakBefore/>
      <w:numPr>
        <w:numId w:val="7"/>
      </w:numPr>
      <w:tabs>
        <w:tab w:val="clear" w:pos="495"/>
        <w:tab w:val="left" w:pos="567"/>
      </w:tabs>
      <w:ind w:left="567" w:hanging="567"/>
    </w:pPr>
    <w:rPr>
      <w:rFonts w:ascii="Arial" w:eastAsia="MS Mincho" w:hAnsi="Arial" w:cs="Arial"/>
      <w:b/>
      <w:bCs/>
      <w:caps/>
      <w:spacing w:val="10"/>
      <w:sz w:val="24"/>
      <w:szCs w:val="24"/>
      <w:lang w:eastAsia="en-US"/>
    </w:rPr>
  </w:style>
  <w:style w:type="paragraph" w:styleId="Titulek">
    <w:name w:val="caption"/>
    <w:aliases w:val="Titulek Obr.,Beschriftung_tab,tab_überschrift Char"/>
    <w:basedOn w:val="Normln"/>
    <w:next w:val="Normln"/>
    <w:qFormat/>
    <w:rsid w:val="004354F1"/>
    <w:pPr>
      <w:spacing w:before="120"/>
    </w:pPr>
  </w:style>
  <w:style w:type="paragraph" w:customStyle="1" w:styleId="RRodrky">
    <w:name w:val="RR odrážky"/>
    <w:basedOn w:val="Normln"/>
    <w:rsid w:val="006E3CE4"/>
    <w:pPr>
      <w:widowControl w:val="0"/>
      <w:tabs>
        <w:tab w:val="num" w:pos="744"/>
      </w:tabs>
      <w:spacing w:after="120" w:line="360" w:lineRule="atLeast"/>
    </w:pPr>
    <w:rPr>
      <w:iCs/>
    </w:rPr>
  </w:style>
  <w:style w:type="paragraph" w:styleId="Zhlav">
    <w:name w:val="header"/>
    <w:basedOn w:val="Normln"/>
    <w:link w:val="ZhlavChar"/>
    <w:uiPriority w:val="99"/>
    <w:rsid w:val="006E3CE4"/>
    <w:pPr>
      <w:tabs>
        <w:tab w:val="center" w:pos="4536"/>
        <w:tab w:val="right" w:pos="9072"/>
      </w:tabs>
    </w:pPr>
  </w:style>
  <w:style w:type="character" w:customStyle="1" w:styleId="ZhlavChar">
    <w:name w:val="Záhlaví Char"/>
    <w:basedOn w:val="Standardnpsmoodstavce"/>
    <w:link w:val="Zhlav"/>
    <w:uiPriority w:val="99"/>
    <w:rsid w:val="006E3CE4"/>
    <w:rPr>
      <w:sz w:val="24"/>
      <w:szCs w:val="24"/>
    </w:rPr>
  </w:style>
  <w:style w:type="paragraph" w:styleId="Textpoznpodarou">
    <w:name w:val="footnote text"/>
    <w:basedOn w:val="Normln"/>
    <w:link w:val="TextpoznpodarouChar"/>
    <w:uiPriority w:val="99"/>
    <w:rsid w:val="006E3CE4"/>
    <w:pPr>
      <w:overflowPunct w:val="0"/>
      <w:autoSpaceDE w:val="0"/>
      <w:autoSpaceDN w:val="0"/>
      <w:adjustRightInd w:val="0"/>
      <w:textAlignment w:val="baseline"/>
    </w:pPr>
    <w:rPr>
      <w:sz w:val="20"/>
      <w:szCs w:val="20"/>
    </w:rPr>
  </w:style>
  <w:style w:type="character" w:customStyle="1" w:styleId="TextpoznpodarouChar">
    <w:name w:val="Text pozn. pod čarou Char"/>
    <w:basedOn w:val="Standardnpsmoodstavce"/>
    <w:link w:val="Textpoznpodarou"/>
    <w:uiPriority w:val="99"/>
    <w:rsid w:val="006E3CE4"/>
  </w:style>
  <w:style w:type="character" w:styleId="Znakapoznpodarou">
    <w:name w:val="footnote reference"/>
    <w:aliases w:val="number,Footnote reference number,Footnote symbol,note TESI,-E Fußnotenzeichen,SUPERS,EN Footnote Reference"/>
    <w:uiPriority w:val="99"/>
    <w:rsid w:val="006E3CE4"/>
    <w:rPr>
      <w:vertAlign w:val="superscript"/>
    </w:rPr>
  </w:style>
  <w:style w:type="character" w:customStyle="1" w:styleId="italic">
    <w:name w:val="italic"/>
    <w:basedOn w:val="Standardnpsmoodstavce"/>
    <w:uiPriority w:val="99"/>
    <w:rsid w:val="006E3CE4"/>
  </w:style>
  <w:style w:type="character" w:styleId="Odkaznakoment">
    <w:name w:val="annotation reference"/>
    <w:uiPriority w:val="99"/>
    <w:semiHidden/>
    <w:rsid w:val="006E3CE4"/>
    <w:rPr>
      <w:sz w:val="16"/>
      <w:szCs w:val="16"/>
    </w:rPr>
  </w:style>
  <w:style w:type="paragraph" w:styleId="Textkomente">
    <w:name w:val="annotation text"/>
    <w:basedOn w:val="Normln"/>
    <w:link w:val="TextkomenteChar"/>
    <w:uiPriority w:val="99"/>
    <w:semiHidden/>
    <w:rsid w:val="006E3CE4"/>
    <w:pPr>
      <w:overflowPunct w:val="0"/>
      <w:autoSpaceDE w:val="0"/>
      <w:autoSpaceDN w:val="0"/>
      <w:adjustRightInd w:val="0"/>
      <w:textAlignment w:val="baseline"/>
    </w:pPr>
    <w:rPr>
      <w:sz w:val="20"/>
      <w:szCs w:val="20"/>
    </w:rPr>
  </w:style>
  <w:style w:type="character" w:customStyle="1" w:styleId="TextkomenteChar">
    <w:name w:val="Text komentáře Char"/>
    <w:basedOn w:val="Standardnpsmoodstavce"/>
    <w:link w:val="Textkomente"/>
    <w:uiPriority w:val="99"/>
    <w:semiHidden/>
    <w:rsid w:val="006E3CE4"/>
  </w:style>
  <w:style w:type="character" w:styleId="Sledovanodkaz">
    <w:name w:val="FollowedHyperlink"/>
    <w:semiHidden/>
    <w:rsid w:val="006E3CE4"/>
    <w:rPr>
      <w:color w:val="800080"/>
      <w:u w:val="single"/>
    </w:rPr>
  </w:style>
  <w:style w:type="paragraph" w:styleId="Textbubliny">
    <w:name w:val="Balloon Text"/>
    <w:basedOn w:val="Normln"/>
    <w:link w:val="TextbublinyChar"/>
    <w:uiPriority w:val="99"/>
    <w:semiHidden/>
    <w:rsid w:val="006E3CE4"/>
    <w:rPr>
      <w:rFonts w:ascii="Tahoma" w:hAnsi="Tahoma" w:cs="Tahoma"/>
      <w:sz w:val="16"/>
      <w:szCs w:val="16"/>
    </w:rPr>
  </w:style>
  <w:style w:type="character" w:customStyle="1" w:styleId="TextbublinyChar">
    <w:name w:val="Text bubliny Char"/>
    <w:basedOn w:val="Standardnpsmoodstavce"/>
    <w:link w:val="Textbubliny"/>
    <w:uiPriority w:val="99"/>
    <w:semiHidden/>
    <w:rsid w:val="006E3CE4"/>
    <w:rPr>
      <w:rFonts w:ascii="Tahoma" w:hAnsi="Tahoma" w:cs="Tahoma"/>
      <w:sz w:val="16"/>
      <w:szCs w:val="16"/>
    </w:rPr>
  </w:style>
  <w:style w:type="paragraph" w:customStyle="1" w:styleId="TableText">
    <w:name w:val="Table Text"/>
    <w:basedOn w:val="Normln"/>
    <w:rsid w:val="006E3CE4"/>
    <w:pPr>
      <w:suppressAutoHyphens/>
      <w:spacing w:before="15" w:after="15"/>
      <w:ind w:left="15" w:right="15"/>
    </w:pPr>
    <w:rPr>
      <w:rFonts w:ascii="Arial" w:eastAsia="MS Mincho" w:hAnsi="Arial"/>
      <w:sz w:val="18"/>
      <w:szCs w:val="18"/>
      <w:lang w:eastAsia="ar-SA"/>
    </w:rPr>
  </w:style>
  <w:style w:type="paragraph" w:styleId="Rozloendokumentu">
    <w:name w:val="Document Map"/>
    <w:basedOn w:val="Normln"/>
    <w:link w:val="RozloendokumentuChar"/>
    <w:semiHidden/>
    <w:rsid w:val="006E3CE4"/>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6E3CE4"/>
    <w:rPr>
      <w:rFonts w:ascii="Tahoma" w:hAnsi="Tahoma" w:cs="Tahoma"/>
      <w:sz w:val="24"/>
      <w:szCs w:val="24"/>
      <w:shd w:val="clear" w:color="auto" w:fill="000080"/>
    </w:rPr>
  </w:style>
  <w:style w:type="paragraph" w:styleId="Obsah1">
    <w:name w:val="toc 1"/>
    <w:basedOn w:val="Normln"/>
    <w:next w:val="Normln"/>
    <w:autoRedefine/>
    <w:uiPriority w:val="39"/>
    <w:qFormat/>
    <w:rsid w:val="00CC2AB2"/>
    <w:pPr>
      <w:tabs>
        <w:tab w:val="left" w:pos="480"/>
        <w:tab w:val="right" w:leader="dot" w:pos="9072"/>
      </w:tabs>
      <w:spacing w:before="120" w:after="0"/>
      <w:ind w:right="794"/>
    </w:pPr>
    <w:rPr>
      <w:rFonts w:ascii="Arial" w:hAnsi="Arial"/>
      <w:b/>
      <w:bCs/>
      <w:caps/>
      <w:noProof/>
      <w:szCs w:val="32"/>
    </w:rPr>
  </w:style>
  <w:style w:type="paragraph" w:styleId="Obsah2">
    <w:name w:val="toc 2"/>
    <w:basedOn w:val="Normln"/>
    <w:next w:val="Normln"/>
    <w:autoRedefine/>
    <w:uiPriority w:val="39"/>
    <w:qFormat/>
    <w:rsid w:val="00037548"/>
    <w:pPr>
      <w:spacing w:before="120" w:after="120"/>
      <w:ind w:left="113"/>
    </w:pPr>
    <w:rPr>
      <w:b/>
      <w:bCs/>
    </w:rPr>
  </w:style>
  <w:style w:type="paragraph" w:styleId="Obsah3">
    <w:name w:val="toc 3"/>
    <w:basedOn w:val="Normln"/>
    <w:next w:val="Normln"/>
    <w:autoRedefine/>
    <w:uiPriority w:val="39"/>
    <w:qFormat/>
    <w:rsid w:val="00037548"/>
    <w:pPr>
      <w:spacing w:after="120"/>
      <w:ind w:left="238"/>
    </w:pPr>
  </w:style>
  <w:style w:type="paragraph" w:styleId="Obsah4">
    <w:name w:val="toc 4"/>
    <w:basedOn w:val="Normln"/>
    <w:next w:val="Normln"/>
    <w:autoRedefine/>
    <w:semiHidden/>
    <w:rsid w:val="006E3CE4"/>
    <w:pPr>
      <w:ind w:left="480"/>
    </w:pPr>
  </w:style>
  <w:style w:type="paragraph" w:styleId="Obsah5">
    <w:name w:val="toc 5"/>
    <w:basedOn w:val="Normln"/>
    <w:next w:val="Normln"/>
    <w:autoRedefine/>
    <w:semiHidden/>
    <w:rsid w:val="006E3CE4"/>
    <w:pPr>
      <w:ind w:left="720"/>
    </w:pPr>
  </w:style>
  <w:style w:type="paragraph" w:styleId="Obsah6">
    <w:name w:val="toc 6"/>
    <w:basedOn w:val="Normln"/>
    <w:next w:val="Normln"/>
    <w:autoRedefine/>
    <w:semiHidden/>
    <w:rsid w:val="006E3CE4"/>
    <w:pPr>
      <w:ind w:left="960"/>
    </w:pPr>
  </w:style>
  <w:style w:type="paragraph" w:styleId="Obsah7">
    <w:name w:val="toc 7"/>
    <w:basedOn w:val="Normln"/>
    <w:next w:val="Normln"/>
    <w:autoRedefine/>
    <w:semiHidden/>
    <w:rsid w:val="006E3CE4"/>
    <w:pPr>
      <w:ind w:left="1200"/>
    </w:pPr>
  </w:style>
  <w:style w:type="paragraph" w:styleId="Obsah8">
    <w:name w:val="toc 8"/>
    <w:basedOn w:val="Normln"/>
    <w:next w:val="Normln"/>
    <w:autoRedefine/>
    <w:semiHidden/>
    <w:rsid w:val="006E3CE4"/>
    <w:pPr>
      <w:ind w:left="1440"/>
    </w:pPr>
  </w:style>
  <w:style w:type="paragraph" w:styleId="Obsah9">
    <w:name w:val="toc 9"/>
    <w:basedOn w:val="Normln"/>
    <w:next w:val="Normln"/>
    <w:autoRedefine/>
    <w:semiHidden/>
    <w:rsid w:val="006E3CE4"/>
    <w:pPr>
      <w:ind w:left="1680"/>
    </w:pPr>
  </w:style>
  <w:style w:type="paragraph" w:styleId="Odstavecseseznamem">
    <w:name w:val="List Paragraph"/>
    <w:basedOn w:val="Normln"/>
    <w:uiPriority w:val="34"/>
    <w:qFormat/>
    <w:rsid w:val="006E3CE4"/>
    <w:pPr>
      <w:overflowPunct w:val="0"/>
      <w:autoSpaceDE w:val="0"/>
      <w:autoSpaceDN w:val="0"/>
      <w:adjustRightInd w:val="0"/>
      <w:spacing w:after="200" w:line="276" w:lineRule="auto"/>
      <w:ind w:left="720"/>
      <w:textAlignment w:val="baseline"/>
    </w:pPr>
    <w:rPr>
      <w:rFonts w:ascii="Calibri" w:hAnsi="Calibri"/>
      <w:sz w:val="22"/>
      <w:szCs w:val="20"/>
    </w:rPr>
  </w:style>
  <w:style w:type="paragraph" w:styleId="Pedmtkomente">
    <w:name w:val="annotation subject"/>
    <w:basedOn w:val="Textkomente"/>
    <w:next w:val="Textkomente"/>
    <w:link w:val="PedmtkomenteChar"/>
    <w:uiPriority w:val="99"/>
    <w:semiHidden/>
    <w:unhideWhenUsed/>
    <w:rsid w:val="006E3CE4"/>
    <w:pPr>
      <w:overflowPunct/>
      <w:autoSpaceDE/>
      <w:autoSpaceDN/>
      <w:adjustRightInd/>
      <w:textAlignment w:val="auto"/>
    </w:pPr>
    <w:rPr>
      <w:b/>
      <w:bCs/>
    </w:rPr>
  </w:style>
  <w:style w:type="character" w:customStyle="1" w:styleId="PedmtkomenteChar">
    <w:name w:val="Předmět komentáře Char"/>
    <w:basedOn w:val="TextkomenteChar"/>
    <w:link w:val="Pedmtkomente"/>
    <w:uiPriority w:val="99"/>
    <w:semiHidden/>
    <w:rsid w:val="006E3CE4"/>
    <w:rPr>
      <w:b/>
      <w:bCs/>
    </w:rPr>
  </w:style>
  <w:style w:type="character" w:customStyle="1" w:styleId="longtext">
    <w:name w:val="long_text"/>
    <w:rsid w:val="006E3CE4"/>
  </w:style>
  <w:style w:type="character" w:customStyle="1" w:styleId="ZkladntextChar1">
    <w:name w:val="Základní text Char1"/>
    <w:uiPriority w:val="99"/>
    <w:semiHidden/>
    <w:rsid w:val="006E3CE4"/>
    <w:rPr>
      <w:sz w:val="24"/>
      <w:szCs w:val="24"/>
    </w:rPr>
  </w:style>
  <w:style w:type="character" w:styleId="Zvraznn">
    <w:name w:val="Emphasis"/>
    <w:basedOn w:val="Standardnpsmoodstavce"/>
    <w:uiPriority w:val="20"/>
    <w:qFormat/>
    <w:rsid w:val="00882640"/>
    <w:rPr>
      <w:i/>
      <w:iCs/>
    </w:rPr>
  </w:style>
  <w:style w:type="paragraph" w:styleId="Revize">
    <w:name w:val="Revision"/>
    <w:hidden/>
    <w:uiPriority w:val="99"/>
    <w:semiHidden/>
    <w:rsid w:val="00281D3B"/>
    <w:rPr>
      <w:sz w:val="24"/>
      <w:szCs w:val="24"/>
    </w:rPr>
  </w:style>
  <w:style w:type="paragraph" w:styleId="Bezmezer">
    <w:name w:val="No Spacing"/>
    <w:link w:val="BezmezerChar"/>
    <w:uiPriority w:val="1"/>
    <w:qFormat/>
    <w:rsid w:val="00FF1D8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FF1D86"/>
    <w:rPr>
      <w:rFonts w:asciiTheme="minorHAnsi" w:eastAsiaTheme="minorEastAsia" w:hAnsiTheme="minorHAnsi" w:cstheme="minorBidi"/>
      <w:sz w:val="22"/>
      <w:szCs w:val="22"/>
    </w:rPr>
  </w:style>
  <w:style w:type="paragraph" w:customStyle="1" w:styleId="D345FF3D873148C5AE3FBF3267827368">
    <w:name w:val="D345FF3D873148C5AE3FBF3267827368"/>
    <w:rsid w:val="00FF1D86"/>
    <w:pPr>
      <w:spacing w:after="200" w:line="276" w:lineRule="auto"/>
    </w:pPr>
    <w:rPr>
      <w:rFonts w:asciiTheme="minorHAnsi" w:eastAsiaTheme="minorEastAsia" w:hAnsiTheme="minorHAnsi" w:cstheme="minorBidi"/>
      <w:sz w:val="22"/>
      <w:szCs w:val="22"/>
    </w:rPr>
  </w:style>
  <w:style w:type="table" w:styleId="Mkatabulky">
    <w:name w:val="Table Grid"/>
    <w:basedOn w:val="Normlntabulka"/>
    <w:uiPriority w:val="59"/>
    <w:rsid w:val="002F3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CC7E71"/>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sz w:val="28"/>
      <w:szCs w:val="28"/>
    </w:rPr>
  </w:style>
  <w:style w:type="paragraph" w:customStyle="1" w:styleId="Hrebik2">
    <w:name w:val="Hrebik 2"/>
    <w:basedOn w:val="Nadpis2"/>
    <w:link w:val="Hrebik2Char"/>
    <w:qFormat/>
    <w:rsid w:val="00866D8B"/>
    <w:pPr>
      <w:framePr w:wrap="around" w:hAnchor="text"/>
      <w:jc w:val="center"/>
    </w:pPr>
    <w:rPr>
      <w:rFonts w:cstheme="minorHAnsi"/>
    </w:rPr>
  </w:style>
  <w:style w:type="character" w:customStyle="1" w:styleId="Hrebik2Char">
    <w:name w:val="Hrebik 2 Char"/>
    <w:basedOn w:val="Nadpis2Char"/>
    <w:link w:val="Hrebik2"/>
    <w:rsid w:val="00866D8B"/>
    <w:rPr>
      <w:rFonts w:asciiTheme="minorHAnsi" w:hAnsiTheme="minorHAnsi" w:cstheme="minorHAnsi"/>
      <w:b/>
      <w:bCs/>
      <w:sz w:val="28"/>
      <w:szCs w:val="24"/>
    </w:rPr>
  </w:style>
  <w:style w:type="paragraph" w:customStyle="1" w:styleId="CM1">
    <w:name w:val="CM1"/>
    <w:basedOn w:val="Default"/>
    <w:next w:val="Default"/>
    <w:uiPriority w:val="99"/>
    <w:rsid w:val="00937CD6"/>
    <w:rPr>
      <w:rFonts w:ascii="EUAlbertina" w:hAnsi="EUAlbertina"/>
      <w:color w:val="auto"/>
    </w:rPr>
  </w:style>
  <w:style w:type="paragraph" w:customStyle="1" w:styleId="CM3">
    <w:name w:val="CM3"/>
    <w:basedOn w:val="Default"/>
    <w:next w:val="Default"/>
    <w:uiPriority w:val="99"/>
    <w:rsid w:val="00937CD6"/>
    <w:rPr>
      <w:rFonts w:ascii="EUAlbertina" w:hAnsi="EUAlbertina"/>
      <w:color w:val="auto"/>
    </w:rPr>
  </w:style>
  <w:style w:type="paragraph" w:customStyle="1" w:styleId="CM4">
    <w:name w:val="CM4"/>
    <w:basedOn w:val="Default"/>
    <w:next w:val="Default"/>
    <w:uiPriority w:val="99"/>
    <w:rsid w:val="00937CD6"/>
    <w:rPr>
      <w:rFonts w:ascii="EUAlbertina" w:hAnsi="EUAlbertina"/>
      <w:color w:val="auto"/>
    </w:rPr>
  </w:style>
  <w:style w:type="character" w:styleId="Zdraznnintenzivn">
    <w:name w:val="Intense Emphasis"/>
    <w:uiPriority w:val="21"/>
    <w:qFormat/>
    <w:rsid w:val="005462B1"/>
    <w:rPr>
      <w:rFonts w:ascii="Arial" w:hAnsi="Arial" w:cs="Arial"/>
      <w:b/>
      <w:bCs/>
      <w:color w:val="000000"/>
      <w:sz w:val="20"/>
      <w:szCs w:val="20"/>
    </w:rPr>
  </w:style>
  <w:style w:type="paragraph" w:styleId="Seznamobrzk">
    <w:name w:val="table of figures"/>
    <w:basedOn w:val="Normln"/>
    <w:next w:val="Normln"/>
    <w:uiPriority w:val="99"/>
    <w:unhideWhenUsed/>
    <w:rsid w:val="001621F0"/>
    <w:pPr>
      <w:spacing w:after="0"/>
    </w:pPr>
  </w:style>
  <w:style w:type="paragraph" w:customStyle="1" w:styleId="Bullet1">
    <w:name w:val="Bullet 1"/>
    <w:basedOn w:val="Normln"/>
    <w:link w:val="Bullet1Char"/>
    <w:qFormat/>
    <w:rsid w:val="00930D4D"/>
    <w:pPr>
      <w:numPr>
        <w:numId w:val="113"/>
      </w:numPr>
      <w:spacing w:before="120" w:after="120"/>
      <w:jc w:val="left"/>
    </w:pPr>
    <w:rPr>
      <w:rFonts w:ascii="Arial" w:hAnsi="Arial"/>
      <w:sz w:val="22"/>
    </w:rPr>
  </w:style>
  <w:style w:type="character" w:customStyle="1" w:styleId="Bullet1Char">
    <w:name w:val="Bullet 1 Char"/>
    <w:link w:val="Bullet1"/>
    <w:rsid w:val="00930D4D"/>
    <w:rPr>
      <w:rFonts w:ascii="Arial" w:hAnsi="Arial"/>
      <w:sz w:val="22"/>
      <w:szCs w:val="24"/>
    </w:rPr>
  </w:style>
  <w:style w:type="character" w:customStyle="1" w:styleId="apple-converted-space">
    <w:name w:val="apple-converted-space"/>
    <w:basedOn w:val="Standardnpsmoodstavce"/>
    <w:rsid w:val="000115A0"/>
  </w:style>
  <w:style w:type="character" w:customStyle="1" w:styleId="TextvysvtlivekChar">
    <w:name w:val="Text vysvětlivek Char"/>
    <w:basedOn w:val="Standardnpsmoodstavce"/>
    <w:link w:val="Textvysvtlivek"/>
    <w:uiPriority w:val="99"/>
    <w:semiHidden/>
    <w:rsid w:val="007D2C62"/>
    <w:rPr>
      <w:rFonts w:asciiTheme="minorHAnsi" w:hAnsiTheme="minorHAnsi"/>
    </w:rPr>
  </w:style>
  <w:style w:type="paragraph" w:styleId="Textvysvtlivek">
    <w:name w:val="endnote text"/>
    <w:basedOn w:val="Normln"/>
    <w:link w:val="TextvysvtlivekChar"/>
    <w:uiPriority w:val="99"/>
    <w:semiHidden/>
    <w:unhideWhenUsed/>
    <w:rsid w:val="007D2C62"/>
    <w:pPr>
      <w:spacing w:after="0"/>
    </w:pPr>
    <w:rPr>
      <w:sz w:val="20"/>
      <w:szCs w:val="20"/>
    </w:rPr>
  </w:style>
  <w:style w:type="character" w:customStyle="1" w:styleId="TextvysvtlivekChar1">
    <w:name w:val="Text vysvětlivek Char1"/>
    <w:basedOn w:val="Standardnpsmoodstavce"/>
    <w:uiPriority w:val="99"/>
    <w:semiHidden/>
    <w:rsid w:val="007D2C62"/>
    <w:rPr>
      <w:rFonts w:asciiTheme="minorHAnsi" w:hAnsiTheme="minorHAnsi"/>
    </w:rPr>
  </w:style>
  <w:style w:type="paragraph" w:styleId="Prosttext">
    <w:name w:val="Plain Text"/>
    <w:basedOn w:val="Normln"/>
    <w:link w:val="ProsttextChar"/>
    <w:uiPriority w:val="99"/>
    <w:semiHidden/>
    <w:unhideWhenUsed/>
    <w:rsid w:val="00F40DEC"/>
    <w:pPr>
      <w:spacing w:after="0"/>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F40DEC"/>
    <w:rPr>
      <w:rFonts w:ascii="Calibri" w:eastAsiaTheme="minorHAnsi" w:hAnsi="Calibri" w:cstheme="minorBidi"/>
      <w:sz w:val="22"/>
      <w:szCs w:val="21"/>
      <w:lang w:eastAsia="en-US"/>
    </w:rPr>
  </w:style>
  <w:style w:type="character" w:customStyle="1" w:styleId="st">
    <w:name w:val="st"/>
    <w:basedOn w:val="Standardnpsmoodstavce"/>
    <w:rsid w:val="00BA5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712">
      <w:bodyDiv w:val="1"/>
      <w:marLeft w:val="0"/>
      <w:marRight w:val="0"/>
      <w:marTop w:val="0"/>
      <w:marBottom w:val="0"/>
      <w:divBdr>
        <w:top w:val="none" w:sz="0" w:space="0" w:color="auto"/>
        <w:left w:val="none" w:sz="0" w:space="0" w:color="auto"/>
        <w:bottom w:val="none" w:sz="0" w:space="0" w:color="auto"/>
        <w:right w:val="none" w:sz="0" w:space="0" w:color="auto"/>
      </w:divBdr>
    </w:div>
    <w:div w:id="9963360">
      <w:bodyDiv w:val="1"/>
      <w:marLeft w:val="0"/>
      <w:marRight w:val="0"/>
      <w:marTop w:val="0"/>
      <w:marBottom w:val="0"/>
      <w:divBdr>
        <w:top w:val="none" w:sz="0" w:space="0" w:color="auto"/>
        <w:left w:val="none" w:sz="0" w:space="0" w:color="auto"/>
        <w:bottom w:val="none" w:sz="0" w:space="0" w:color="auto"/>
        <w:right w:val="none" w:sz="0" w:space="0" w:color="auto"/>
      </w:divBdr>
    </w:div>
    <w:div w:id="23019066">
      <w:bodyDiv w:val="1"/>
      <w:marLeft w:val="0"/>
      <w:marRight w:val="0"/>
      <w:marTop w:val="0"/>
      <w:marBottom w:val="0"/>
      <w:divBdr>
        <w:top w:val="none" w:sz="0" w:space="0" w:color="auto"/>
        <w:left w:val="none" w:sz="0" w:space="0" w:color="auto"/>
        <w:bottom w:val="none" w:sz="0" w:space="0" w:color="auto"/>
        <w:right w:val="none" w:sz="0" w:space="0" w:color="auto"/>
      </w:divBdr>
    </w:div>
    <w:div w:id="80764518">
      <w:bodyDiv w:val="1"/>
      <w:marLeft w:val="0"/>
      <w:marRight w:val="0"/>
      <w:marTop w:val="0"/>
      <w:marBottom w:val="0"/>
      <w:divBdr>
        <w:top w:val="none" w:sz="0" w:space="0" w:color="auto"/>
        <w:left w:val="none" w:sz="0" w:space="0" w:color="auto"/>
        <w:bottom w:val="none" w:sz="0" w:space="0" w:color="auto"/>
        <w:right w:val="none" w:sz="0" w:space="0" w:color="auto"/>
      </w:divBdr>
    </w:div>
    <w:div w:id="102501115">
      <w:bodyDiv w:val="1"/>
      <w:marLeft w:val="0"/>
      <w:marRight w:val="0"/>
      <w:marTop w:val="0"/>
      <w:marBottom w:val="0"/>
      <w:divBdr>
        <w:top w:val="none" w:sz="0" w:space="0" w:color="auto"/>
        <w:left w:val="none" w:sz="0" w:space="0" w:color="auto"/>
        <w:bottom w:val="none" w:sz="0" w:space="0" w:color="auto"/>
        <w:right w:val="none" w:sz="0" w:space="0" w:color="auto"/>
      </w:divBdr>
    </w:div>
    <w:div w:id="213851500">
      <w:bodyDiv w:val="1"/>
      <w:marLeft w:val="0"/>
      <w:marRight w:val="0"/>
      <w:marTop w:val="0"/>
      <w:marBottom w:val="0"/>
      <w:divBdr>
        <w:top w:val="none" w:sz="0" w:space="0" w:color="auto"/>
        <w:left w:val="none" w:sz="0" w:space="0" w:color="auto"/>
        <w:bottom w:val="none" w:sz="0" w:space="0" w:color="auto"/>
        <w:right w:val="none" w:sz="0" w:space="0" w:color="auto"/>
      </w:divBdr>
    </w:div>
    <w:div w:id="359553295">
      <w:bodyDiv w:val="1"/>
      <w:marLeft w:val="0"/>
      <w:marRight w:val="0"/>
      <w:marTop w:val="0"/>
      <w:marBottom w:val="0"/>
      <w:divBdr>
        <w:top w:val="none" w:sz="0" w:space="0" w:color="auto"/>
        <w:left w:val="none" w:sz="0" w:space="0" w:color="auto"/>
        <w:bottom w:val="none" w:sz="0" w:space="0" w:color="auto"/>
        <w:right w:val="none" w:sz="0" w:space="0" w:color="auto"/>
      </w:divBdr>
    </w:div>
    <w:div w:id="365375726">
      <w:bodyDiv w:val="1"/>
      <w:marLeft w:val="0"/>
      <w:marRight w:val="0"/>
      <w:marTop w:val="0"/>
      <w:marBottom w:val="0"/>
      <w:divBdr>
        <w:top w:val="none" w:sz="0" w:space="0" w:color="auto"/>
        <w:left w:val="none" w:sz="0" w:space="0" w:color="auto"/>
        <w:bottom w:val="none" w:sz="0" w:space="0" w:color="auto"/>
        <w:right w:val="none" w:sz="0" w:space="0" w:color="auto"/>
      </w:divBdr>
    </w:div>
    <w:div w:id="381171685">
      <w:bodyDiv w:val="1"/>
      <w:marLeft w:val="0"/>
      <w:marRight w:val="0"/>
      <w:marTop w:val="0"/>
      <w:marBottom w:val="0"/>
      <w:divBdr>
        <w:top w:val="none" w:sz="0" w:space="0" w:color="auto"/>
        <w:left w:val="none" w:sz="0" w:space="0" w:color="auto"/>
        <w:bottom w:val="none" w:sz="0" w:space="0" w:color="auto"/>
        <w:right w:val="none" w:sz="0" w:space="0" w:color="auto"/>
      </w:divBdr>
    </w:div>
    <w:div w:id="417291021">
      <w:bodyDiv w:val="1"/>
      <w:marLeft w:val="0"/>
      <w:marRight w:val="0"/>
      <w:marTop w:val="0"/>
      <w:marBottom w:val="0"/>
      <w:divBdr>
        <w:top w:val="none" w:sz="0" w:space="0" w:color="auto"/>
        <w:left w:val="none" w:sz="0" w:space="0" w:color="auto"/>
        <w:bottom w:val="none" w:sz="0" w:space="0" w:color="auto"/>
        <w:right w:val="none" w:sz="0" w:space="0" w:color="auto"/>
      </w:divBdr>
    </w:div>
    <w:div w:id="451486787">
      <w:bodyDiv w:val="1"/>
      <w:marLeft w:val="0"/>
      <w:marRight w:val="0"/>
      <w:marTop w:val="0"/>
      <w:marBottom w:val="0"/>
      <w:divBdr>
        <w:top w:val="none" w:sz="0" w:space="0" w:color="auto"/>
        <w:left w:val="none" w:sz="0" w:space="0" w:color="auto"/>
        <w:bottom w:val="none" w:sz="0" w:space="0" w:color="auto"/>
        <w:right w:val="none" w:sz="0" w:space="0" w:color="auto"/>
      </w:divBdr>
    </w:div>
    <w:div w:id="455293145">
      <w:bodyDiv w:val="1"/>
      <w:marLeft w:val="0"/>
      <w:marRight w:val="0"/>
      <w:marTop w:val="0"/>
      <w:marBottom w:val="0"/>
      <w:divBdr>
        <w:top w:val="none" w:sz="0" w:space="0" w:color="auto"/>
        <w:left w:val="none" w:sz="0" w:space="0" w:color="auto"/>
        <w:bottom w:val="none" w:sz="0" w:space="0" w:color="auto"/>
        <w:right w:val="none" w:sz="0" w:space="0" w:color="auto"/>
      </w:divBdr>
    </w:div>
    <w:div w:id="561792619">
      <w:bodyDiv w:val="1"/>
      <w:marLeft w:val="0"/>
      <w:marRight w:val="0"/>
      <w:marTop w:val="0"/>
      <w:marBottom w:val="0"/>
      <w:divBdr>
        <w:top w:val="none" w:sz="0" w:space="0" w:color="auto"/>
        <w:left w:val="none" w:sz="0" w:space="0" w:color="auto"/>
        <w:bottom w:val="none" w:sz="0" w:space="0" w:color="auto"/>
        <w:right w:val="none" w:sz="0" w:space="0" w:color="auto"/>
      </w:divBdr>
    </w:div>
    <w:div w:id="665279070">
      <w:bodyDiv w:val="1"/>
      <w:marLeft w:val="0"/>
      <w:marRight w:val="0"/>
      <w:marTop w:val="0"/>
      <w:marBottom w:val="0"/>
      <w:divBdr>
        <w:top w:val="none" w:sz="0" w:space="0" w:color="auto"/>
        <w:left w:val="none" w:sz="0" w:space="0" w:color="auto"/>
        <w:bottom w:val="none" w:sz="0" w:space="0" w:color="auto"/>
        <w:right w:val="none" w:sz="0" w:space="0" w:color="auto"/>
      </w:divBdr>
    </w:div>
    <w:div w:id="717978295">
      <w:bodyDiv w:val="1"/>
      <w:marLeft w:val="0"/>
      <w:marRight w:val="0"/>
      <w:marTop w:val="0"/>
      <w:marBottom w:val="0"/>
      <w:divBdr>
        <w:top w:val="none" w:sz="0" w:space="0" w:color="auto"/>
        <w:left w:val="none" w:sz="0" w:space="0" w:color="auto"/>
        <w:bottom w:val="none" w:sz="0" w:space="0" w:color="auto"/>
        <w:right w:val="none" w:sz="0" w:space="0" w:color="auto"/>
      </w:divBdr>
    </w:div>
    <w:div w:id="747189224">
      <w:bodyDiv w:val="1"/>
      <w:marLeft w:val="0"/>
      <w:marRight w:val="0"/>
      <w:marTop w:val="0"/>
      <w:marBottom w:val="0"/>
      <w:divBdr>
        <w:top w:val="none" w:sz="0" w:space="0" w:color="auto"/>
        <w:left w:val="none" w:sz="0" w:space="0" w:color="auto"/>
        <w:bottom w:val="none" w:sz="0" w:space="0" w:color="auto"/>
        <w:right w:val="none" w:sz="0" w:space="0" w:color="auto"/>
      </w:divBdr>
    </w:div>
    <w:div w:id="747266888">
      <w:bodyDiv w:val="1"/>
      <w:marLeft w:val="0"/>
      <w:marRight w:val="0"/>
      <w:marTop w:val="0"/>
      <w:marBottom w:val="0"/>
      <w:divBdr>
        <w:top w:val="none" w:sz="0" w:space="0" w:color="auto"/>
        <w:left w:val="none" w:sz="0" w:space="0" w:color="auto"/>
        <w:bottom w:val="none" w:sz="0" w:space="0" w:color="auto"/>
        <w:right w:val="none" w:sz="0" w:space="0" w:color="auto"/>
      </w:divBdr>
    </w:div>
    <w:div w:id="752779078">
      <w:bodyDiv w:val="1"/>
      <w:marLeft w:val="0"/>
      <w:marRight w:val="0"/>
      <w:marTop w:val="0"/>
      <w:marBottom w:val="0"/>
      <w:divBdr>
        <w:top w:val="none" w:sz="0" w:space="0" w:color="auto"/>
        <w:left w:val="none" w:sz="0" w:space="0" w:color="auto"/>
        <w:bottom w:val="none" w:sz="0" w:space="0" w:color="auto"/>
        <w:right w:val="none" w:sz="0" w:space="0" w:color="auto"/>
      </w:divBdr>
    </w:div>
    <w:div w:id="756944898">
      <w:bodyDiv w:val="1"/>
      <w:marLeft w:val="0"/>
      <w:marRight w:val="0"/>
      <w:marTop w:val="0"/>
      <w:marBottom w:val="0"/>
      <w:divBdr>
        <w:top w:val="none" w:sz="0" w:space="0" w:color="auto"/>
        <w:left w:val="none" w:sz="0" w:space="0" w:color="auto"/>
        <w:bottom w:val="none" w:sz="0" w:space="0" w:color="auto"/>
        <w:right w:val="none" w:sz="0" w:space="0" w:color="auto"/>
      </w:divBdr>
    </w:div>
    <w:div w:id="810906448">
      <w:bodyDiv w:val="1"/>
      <w:marLeft w:val="0"/>
      <w:marRight w:val="0"/>
      <w:marTop w:val="0"/>
      <w:marBottom w:val="0"/>
      <w:divBdr>
        <w:top w:val="none" w:sz="0" w:space="0" w:color="auto"/>
        <w:left w:val="none" w:sz="0" w:space="0" w:color="auto"/>
        <w:bottom w:val="none" w:sz="0" w:space="0" w:color="auto"/>
        <w:right w:val="none" w:sz="0" w:space="0" w:color="auto"/>
      </w:divBdr>
    </w:div>
    <w:div w:id="826168006">
      <w:bodyDiv w:val="1"/>
      <w:marLeft w:val="0"/>
      <w:marRight w:val="0"/>
      <w:marTop w:val="0"/>
      <w:marBottom w:val="0"/>
      <w:divBdr>
        <w:top w:val="none" w:sz="0" w:space="0" w:color="auto"/>
        <w:left w:val="none" w:sz="0" w:space="0" w:color="auto"/>
        <w:bottom w:val="none" w:sz="0" w:space="0" w:color="auto"/>
        <w:right w:val="none" w:sz="0" w:space="0" w:color="auto"/>
      </w:divBdr>
    </w:div>
    <w:div w:id="856582972">
      <w:bodyDiv w:val="1"/>
      <w:marLeft w:val="0"/>
      <w:marRight w:val="0"/>
      <w:marTop w:val="0"/>
      <w:marBottom w:val="0"/>
      <w:divBdr>
        <w:top w:val="none" w:sz="0" w:space="0" w:color="auto"/>
        <w:left w:val="none" w:sz="0" w:space="0" w:color="auto"/>
        <w:bottom w:val="none" w:sz="0" w:space="0" w:color="auto"/>
        <w:right w:val="none" w:sz="0" w:space="0" w:color="auto"/>
      </w:divBdr>
    </w:div>
    <w:div w:id="950477687">
      <w:bodyDiv w:val="1"/>
      <w:marLeft w:val="0"/>
      <w:marRight w:val="0"/>
      <w:marTop w:val="0"/>
      <w:marBottom w:val="0"/>
      <w:divBdr>
        <w:top w:val="none" w:sz="0" w:space="0" w:color="auto"/>
        <w:left w:val="none" w:sz="0" w:space="0" w:color="auto"/>
        <w:bottom w:val="none" w:sz="0" w:space="0" w:color="auto"/>
        <w:right w:val="none" w:sz="0" w:space="0" w:color="auto"/>
      </w:divBdr>
    </w:div>
    <w:div w:id="976683070">
      <w:bodyDiv w:val="1"/>
      <w:marLeft w:val="0"/>
      <w:marRight w:val="0"/>
      <w:marTop w:val="0"/>
      <w:marBottom w:val="0"/>
      <w:divBdr>
        <w:top w:val="none" w:sz="0" w:space="0" w:color="auto"/>
        <w:left w:val="none" w:sz="0" w:space="0" w:color="auto"/>
        <w:bottom w:val="none" w:sz="0" w:space="0" w:color="auto"/>
        <w:right w:val="none" w:sz="0" w:space="0" w:color="auto"/>
      </w:divBdr>
    </w:div>
    <w:div w:id="982152655">
      <w:bodyDiv w:val="1"/>
      <w:marLeft w:val="0"/>
      <w:marRight w:val="0"/>
      <w:marTop w:val="0"/>
      <w:marBottom w:val="0"/>
      <w:divBdr>
        <w:top w:val="none" w:sz="0" w:space="0" w:color="auto"/>
        <w:left w:val="none" w:sz="0" w:space="0" w:color="auto"/>
        <w:bottom w:val="none" w:sz="0" w:space="0" w:color="auto"/>
        <w:right w:val="none" w:sz="0" w:space="0" w:color="auto"/>
      </w:divBdr>
    </w:div>
    <w:div w:id="995383407">
      <w:bodyDiv w:val="1"/>
      <w:marLeft w:val="0"/>
      <w:marRight w:val="0"/>
      <w:marTop w:val="0"/>
      <w:marBottom w:val="0"/>
      <w:divBdr>
        <w:top w:val="none" w:sz="0" w:space="0" w:color="auto"/>
        <w:left w:val="none" w:sz="0" w:space="0" w:color="auto"/>
        <w:bottom w:val="none" w:sz="0" w:space="0" w:color="auto"/>
        <w:right w:val="none" w:sz="0" w:space="0" w:color="auto"/>
      </w:divBdr>
    </w:div>
    <w:div w:id="1010256546">
      <w:bodyDiv w:val="1"/>
      <w:marLeft w:val="0"/>
      <w:marRight w:val="0"/>
      <w:marTop w:val="0"/>
      <w:marBottom w:val="0"/>
      <w:divBdr>
        <w:top w:val="none" w:sz="0" w:space="0" w:color="auto"/>
        <w:left w:val="none" w:sz="0" w:space="0" w:color="auto"/>
        <w:bottom w:val="none" w:sz="0" w:space="0" w:color="auto"/>
        <w:right w:val="none" w:sz="0" w:space="0" w:color="auto"/>
      </w:divBdr>
      <w:divsChild>
        <w:div w:id="261689967">
          <w:marLeft w:val="547"/>
          <w:marRight w:val="0"/>
          <w:marTop w:val="0"/>
          <w:marBottom w:val="216"/>
          <w:divBdr>
            <w:top w:val="none" w:sz="0" w:space="0" w:color="auto"/>
            <w:left w:val="none" w:sz="0" w:space="0" w:color="auto"/>
            <w:bottom w:val="none" w:sz="0" w:space="0" w:color="auto"/>
            <w:right w:val="none" w:sz="0" w:space="0" w:color="auto"/>
          </w:divBdr>
        </w:div>
      </w:divsChild>
    </w:div>
    <w:div w:id="1010522077">
      <w:bodyDiv w:val="1"/>
      <w:marLeft w:val="0"/>
      <w:marRight w:val="0"/>
      <w:marTop w:val="0"/>
      <w:marBottom w:val="0"/>
      <w:divBdr>
        <w:top w:val="none" w:sz="0" w:space="0" w:color="auto"/>
        <w:left w:val="none" w:sz="0" w:space="0" w:color="auto"/>
        <w:bottom w:val="none" w:sz="0" w:space="0" w:color="auto"/>
        <w:right w:val="none" w:sz="0" w:space="0" w:color="auto"/>
      </w:divBdr>
    </w:div>
    <w:div w:id="1074857044">
      <w:bodyDiv w:val="1"/>
      <w:marLeft w:val="0"/>
      <w:marRight w:val="0"/>
      <w:marTop w:val="0"/>
      <w:marBottom w:val="0"/>
      <w:divBdr>
        <w:top w:val="none" w:sz="0" w:space="0" w:color="auto"/>
        <w:left w:val="none" w:sz="0" w:space="0" w:color="auto"/>
        <w:bottom w:val="none" w:sz="0" w:space="0" w:color="auto"/>
        <w:right w:val="none" w:sz="0" w:space="0" w:color="auto"/>
      </w:divBdr>
    </w:div>
    <w:div w:id="1132672905">
      <w:bodyDiv w:val="1"/>
      <w:marLeft w:val="0"/>
      <w:marRight w:val="0"/>
      <w:marTop w:val="0"/>
      <w:marBottom w:val="0"/>
      <w:divBdr>
        <w:top w:val="none" w:sz="0" w:space="0" w:color="auto"/>
        <w:left w:val="none" w:sz="0" w:space="0" w:color="auto"/>
        <w:bottom w:val="none" w:sz="0" w:space="0" w:color="auto"/>
        <w:right w:val="none" w:sz="0" w:space="0" w:color="auto"/>
      </w:divBdr>
    </w:div>
    <w:div w:id="1158496746">
      <w:bodyDiv w:val="1"/>
      <w:marLeft w:val="0"/>
      <w:marRight w:val="0"/>
      <w:marTop w:val="0"/>
      <w:marBottom w:val="0"/>
      <w:divBdr>
        <w:top w:val="none" w:sz="0" w:space="0" w:color="auto"/>
        <w:left w:val="none" w:sz="0" w:space="0" w:color="auto"/>
        <w:bottom w:val="none" w:sz="0" w:space="0" w:color="auto"/>
        <w:right w:val="none" w:sz="0" w:space="0" w:color="auto"/>
      </w:divBdr>
    </w:div>
    <w:div w:id="1213735362">
      <w:bodyDiv w:val="1"/>
      <w:marLeft w:val="0"/>
      <w:marRight w:val="0"/>
      <w:marTop w:val="0"/>
      <w:marBottom w:val="0"/>
      <w:divBdr>
        <w:top w:val="none" w:sz="0" w:space="0" w:color="auto"/>
        <w:left w:val="none" w:sz="0" w:space="0" w:color="auto"/>
        <w:bottom w:val="none" w:sz="0" w:space="0" w:color="auto"/>
        <w:right w:val="none" w:sz="0" w:space="0" w:color="auto"/>
      </w:divBdr>
    </w:div>
    <w:div w:id="1251037737">
      <w:bodyDiv w:val="1"/>
      <w:marLeft w:val="0"/>
      <w:marRight w:val="0"/>
      <w:marTop w:val="0"/>
      <w:marBottom w:val="0"/>
      <w:divBdr>
        <w:top w:val="none" w:sz="0" w:space="0" w:color="auto"/>
        <w:left w:val="none" w:sz="0" w:space="0" w:color="auto"/>
        <w:bottom w:val="none" w:sz="0" w:space="0" w:color="auto"/>
        <w:right w:val="none" w:sz="0" w:space="0" w:color="auto"/>
      </w:divBdr>
    </w:div>
    <w:div w:id="1275986190">
      <w:bodyDiv w:val="1"/>
      <w:marLeft w:val="0"/>
      <w:marRight w:val="0"/>
      <w:marTop w:val="0"/>
      <w:marBottom w:val="0"/>
      <w:divBdr>
        <w:top w:val="none" w:sz="0" w:space="0" w:color="auto"/>
        <w:left w:val="none" w:sz="0" w:space="0" w:color="auto"/>
        <w:bottom w:val="none" w:sz="0" w:space="0" w:color="auto"/>
        <w:right w:val="none" w:sz="0" w:space="0" w:color="auto"/>
      </w:divBdr>
    </w:div>
    <w:div w:id="1291863916">
      <w:bodyDiv w:val="1"/>
      <w:marLeft w:val="0"/>
      <w:marRight w:val="0"/>
      <w:marTop w:val="0"/>
      <w:marBottom w:val="0"/>
      <w:divBdr>
        <w:top w:val="none" w:sz="0" w:space="0" w:color="auto"/>
        <w:left w:val="none" w:sz="0" w:space="0" w:color="auto"/>
        <w:bottom w:val="none" w:sz="0" w:space="0" w:color="auto"/>
        <w:right w:val="none" w:sz="0" w:space="0" w:color="auto"/>
      </w:divBdr>
    </w:div>
    <w:div w:id="1314989504">
      <w:bodyDiv w:val="1"/>
      <w:marLeft w:val="0"/>
      <w:marRight w:val="0"/>
      <w:marTop w:val="0"/>
      <w:marBottom w:val="0"/>
      <w:divBdr>
        <w:top w:val="none" w:sz="0" w:space="0" w:color="auto"/>
        <w:left w:val="none" w:sz="0" w:space="0" w:color="auto"/>
        <w:bottom w:val="none" w:sz="0" w:space="0" w:color="auto"/>
        <w:right w:val="none" w:sz="0" w:space="0" w:color="auto"/>
      </w:divBdr>
    </w:div>
    <w:div w:id="1341661534">
      <w:bodyDiv w:val="1"/>
      <w:marLeft w:val="0"/>
      <w:marRight w:val="0"/>
      <w:marTop w:val="0"/>
      <w:marBottom w:val="0"/>
      <w:divBdr>
        <w:top w:val="none" w:sz="0" w:space="0" w:color="auto"/>
        <w:left w:val="none" w:sz="0" w:space="0" w:color="auto"/>
        <w:bottom w:val="none" w:sz="0" w:space="0" w:color="auto"/>
        <w:right w:val="none" w:sz="0" w:space="0" w:color="auto"/>
      </w:divBdr>
    </w:div>
    <w:div w:id="1342781673">
      <w:bodyDiv w:val="1"/>
      <w:marLeft w:val="0"/>
      <w:marRight w:val="0"/>
      <w:marTop w:val="0"/>
      <w:marBottom w:val="0"/>
      <w:divBdr>
        <w:top w:val="none" w:sz="0" w:space="0" w:color="auto"/>
        <w:left w:val="none" w:sz="0" w:space="0" w:color="auto"/>
        <w:bottom w:val="none" w:sz="0" w:space="0" w:color="auto"/>
        <w:right w:val="none" w:sz="0" w:space="0" w:color="auto"/>
      </w:divBdr>
    </w:div>
    <w:div w:id="1348410880">
      <w:bodyDiv w:val="1"/>
      <w:marLeft w:val="0"/>
      <w:marRight w:val="0"/>
      <w:marTop w:val="0"/>
      <w:marBottom w:val="0"/>
      <w:divBdr>
        <w:top w:val="none" w:sz="0" w:space="0" w:color="auto"/>
        <w:left w:val="none" w:sz="0" w:space="0" w:color="auto"/>
        <w:bottom w:val="none" w:sz="0" w:space="0" w:color="auto"/>
        <w:right w:val="none" w:sz="0" w:space="0" w:color="auto"/>
      </w:divBdr>
    </w:div>
    <w:div w:id="1353266431">
      <w:bodyDiv w:val="1"/>
      <w:marLeft w:val="0"/>
      <w:marRight w:val="0"/>
      <w:marTop w:val="0"/>
      <w:marBottom w:val="0"/>
      <w:divBdr>
        <w:top w:val="none" w:sz="0" w:space="0" w:color="auto"/>
        <w:left w:val="none" w:sz="0" w:space="0" w:color="auto"/>
        <w:bottom w:val="none" w:sz="0" w:space="0" w:color="auto"/>
        <w:right w:val="none" w:sz="0" w:space="0" w:color="auto"/>
      </w:divBdr>
    </w:div>
    <w:div w:id="1471746559">
      <w:bodyDiv w:val="1"/>
      <w:marLeft w:val="0"/>
      <w:marRight w:val="0"/>
      <w:marTop w:val="0"/>
      <w:marBottom w:val="0"/>
      <w:divBdr>
        <w:top w:val="none" w:sz="0" w:space="0" w:color="auto"/>
        <w:left w:val="none" w:sz="0" w:space="0" w:color="auto"/>
        <w:bottom w:val="none" w:sz="0" w:space="0" w:color="auto"/>
        <w:right w:val="none" w:sz="0" w:space="0" w:color="auto"/>
      </w:divBdr>
    </w:div>
    <w:div w:id="1489976489">
      <w:bodyDiv w:val="1"/>
      <w:marLeft w:val="0"/>
      <w:marRight w:val="0"/>
      <w:marTop w:val="0"/>
      <w:marBottom w:val="0"/>
      <w:divBdr>
        <w:top w:val="none" w:sz="0" w:space="0" w:color="auto"/>
        <w:left w:val="none" w:sz="0" w:space="0" w:color="auto"/>
        <w:bottom w:val="none" w:sz="0" w:space="0" w:color="auto"/>
        <w:right w:val="none" w:sz="0" w:space="0" w:color="auto"/>
      </w:divBdr>
    </w:div>
    <w:div w:id="1547133458">
      <w:bodyDiv w:val="1"/>
      <w:marLeft w:val="0"/>
      <w:marRight w:val="0"/>
      <w:marTop w:val="0"/>
      <w:marBottom w:val="0"/>
      <w:divBdr>
        <w:top w:val="none" w:sz="0" w:space="0" w:color="auto"/>
        <w:left w:val="none" w:sz="0" w:space="0" w:color="auto"/>
        <w:bottom w:val="none" w:sz="0" w:space="0" w:color="auto"/>
        <w:right w:val="none" w:sz="0" w:space="0" w:color="auto"/>
      </w:divBdr>
    </w:div>
    <w:div w:id="1553881185">
      <w:bodyDiv w:val="1"/>
      <w:marLeft w:val="0"/>
      <w:marRight w:val="0"/>
      <w:marTop w:val="0"/>
      <w:marBottom w:val="0"/>
      <w:divBdr>
        <w:top w:val="none" w:sz="0" w:space="0" w:color="auto"/>
        <w:left w:val="none" w:sz="0" w:space="0" w:color="auto"/>
        <w:bottom w:val="none" w:sz="0" w:space="0" w:color="auto"/>
        <w:right w:val="none" w:sz="0" w:space="0" w:color="auto"/>
      </w:divBdr>
      <w:divsChild>
        <w:div w:id="711416510">
          <w:marLeft w:val="1166"/>
          <w:marRight w:val="0"/>
          <w:marTop w:val="0"/>
          <w:marBottom w:val="192"/>
          <w:divBdr>
            <w:top w:val="none" w:sz="0" w:space="0" w:color="auto"/>
            <w:left w:val="none" w:sz="0" w:space="0" w:color="auto"/>
            <w:bottom w:val="none" w:sz="0" w:space="0" w:color="auto"/>
            <w:right w:val="none" w:sz="0" w:space="0" w:color="auto"/>
          </w:divBdr>
        </w:div>
        <w:div w:id="1016032775">
          <w:marLeft w:val="1166"/>
          <w:marRight w:val="0"/>
          <w:marTop w:val="0"/>
          <w:marBottom w:val="192"/>
          <w:divBdr>
            <w:top w:val="none" w:sz="0" w:space="0" w:color="auto"/>
            <w:left w:val="none" w:sz="0" w:space="0" w:color="auto"/>
            <w:bottom w:val="none" w:sz="0" w:space="0" w:color="auto"/>
            <w:right w:val="none" w:sz="0" w:space="0" w:color="auto"/>
          </w:divBdr>
        </w:div>
        <w:div w:id="1536188505">
          <w:marLeft w:val="547"/>
          <w:marRight w:val="0"/>
          <w:marTop w:val="0"/>
          <w:marBottom w:val="216"/>
          <w:divBdr>
            <w:top w:val="none" w:sz="0" w:space="0" w:color="auto"/>
            <w:left w:val="none" w:sz="0" w:space="0" w:color="auto"/>
            <w:bottom w:val="none" w:sz="0" w:space="0" w:color="auto"/>
            <w:right w:val="none" w:sz="0" w:space="0" w:color="auto"/>
          </w:divBdr>
        </w:div>
        <w:div w:id="1570845049">
          <w:marLeft w:val="547"/>
          <w:marRight w:val="0"/>
          <w:marTop w:val="0"/>
          <w:marBottom w:val="216"/>
          <w:divBdr>
            <w:top w:val="none" w:sz="0" w:space="0" w:color="auto"/>
            <w:left w:val="none" w:sz="0" w:space="0" w:color="auto"/>
            <w:bottom w:val="none" w:sz="0" w:space="0" w:color="auto"/>
            <w:right w:val="none" w:sz="0" w:space="0" w:color="auto"/>
          </w:divBdr>
        </w:div>
        <w:div w:id="1630622954">
          <w:marLeft w:val="547"/>
          <w:marRight w:val="0"/>
          <w:marTop w:val="0"/>
          <w:marBottom w:val="216"/>
          <w:divBdr>
            <w:top w:val="none" w:sz="0" w:space="0" w:color="auto"/>
            <w:left w:val="none" w:sz="0" w:space="0" w:color="auto"/>
            <w:bottom w:val="none" w:sz="0" w:space="0" w:color="auto"/>
            <w:right w:val="none" w:sz="0" w:space="0" w:color="auto"/>
          </w:divBdr>
        </w:div>
      </w:divsChild>
    </w:div>
    <w:div w:id="1567104814">
      <w:bodyDiv w:val="1"/>
      <w:marLeft w:val="0"/>
      <w:marRight w:val="0"/>
      <w:marTop w:val="0"/>
      <w:marBottom w:val="0"/>
      <w:divBdr>
        <w:top w:val="none" w:sz="0" w:space="0" w:color="auto"/>
        <w:left w:val="none" w:sz="0" w:space="0" w:color="auto"/>
        <w:bottom w:val="none" w:sz="0" w:space="0" w:color="auto"/>
        <w:right w:val="none" w:sz="0" w:space="0" w:color="auto"/>
      </w:divBdr>
    </w:div>
    <w:div w:id="1650203893">
      <w:bodyDiv w:val="1"/>
      <w:marLeft w:val="0"/>
      <w:marRight w:val="0"/>
      <w:marTop w:val="0"/>
      <w:marBottom w:val="0"/>
      <w:divBdr>
        <w:top w:val="none" w:sz="0" w:space="0" w:color="auto"/>
        <w:left w:val="none" w:sz="0" w:space="0" w:color="auto"/>
        <w:bottom w:val="none" w:sz="0" w:space="0" w:color="auto"/>
        <w:right w:val="none" w:sz="0" w:space="0" w:color="auto"/>
      </w:divBdr>
    </w:div>
    <w:div w:id="1671561546">
      <w:bodyDiv w:val="1"/>
      <w:marLeft w:val="0"/>
      <w:marRight w:val="0"/>
      <w:marTop w:val="0"/>
      <w:marBottom w:val="0"/>
      <w:divBdr>
        <w:top w:val="none" w:sz="0" w:space="0" w:color="auto"/>
        <w:left w:val="none" w:sz="0" w:space="0" w:color="auto"/>
        <w:bottom w:val="none" w:sz="0" w:space="0" w:color="auto"/>
        <w:right w:val="none" w:sz="0" w:space="0" w:color="auto"/>
      </w:divBdr>
    </w:div>
    <w:div w:id="1688290106">
      <w:bodyDiv w:val="1"/>
      <w:marLeft w:val="0"/>
      <w:marRight w:val="0"/>
      <w:marTop w:val="0"/>
      <w:marBottom w:val="0"/>
      <w:divBdr>
        <w:top w:val="none" w:sz="0" w:space="0" w:color="auto"/>
        <w:left w:val="none" w:sz="0" w:space="0" w:color="auto"/>
        <w:bottom w:val="none" w:sz="0" w:space="0" w:color="auto"/>
        <w:right w:val="none" w:sz="0" w:space="0" w:color="auto"/>
      </w:divBdr>
    </w:div>
    <w:div w:id="1705595300">
      <w:bodyDiv w:val="1"/>
      <w:marLeft w:val="0"/>
      <w:marRight w:val="0"/>
      <w:marTop w:val="0"/>
      <w:marBottom w:val="0"/>
      <w:divBdr>
        <w:top w:val="none" w:sz="0" w:space="0" w:color="auto"/>
        <w:left w:val="none" w:sz="0" w:space="0" w:color="auto"/>
        <w:bottom w:val="none" w:sz="0" w:space="0" w:color="auto"/>
        <w:right w:val="none" w:sz="0" w:space="0" w:color="auto"/>
      </w:divBdr>
    </w:div>
    <w:div w:id="1712270612">
      <w:bodyDiv w:val="1"/>
      <w:marLeft w:val="0"/>
      <w:marRight w:val="0"/>
      <w:marTop w:val="0"/>
      <w:marBottom w:val="0"/>
      <w:divBdr>
        <w:top w:val="none" w:sz="0" w:space="0" w:color="auto"/>
        <w:left w:val="none" w:sz="0" w:space="0" w:color="auto"/>
        <w:bottom w:val="none" w:sz="0" w:space="0" w:color="auto"/>
        <w:right w:val="none" w:sz="0" w:space="0" w:color="auto"/>
      </w:divBdr>
    </w:div>
    <w:div w:id="1774202039">
      <w:bodyDiv w:val="1"/>
      <w:marLeft w:val="0"/>
      <w:marRight w:val="0"/>
      <w:marTop w:val="0"/>
      <w:marBottom w:val="0"/>
      <w:divBdr>
        <w:top w:val="none" w:sz="0" w:space="0" w:color="auto"/>
        <w:left w:val="none" w:sz="0" w:space="0" w:color="auto"/>
        <w:bottom w:val="none" w:sz="0" w:space="0" w:color="auto"/>
        <w:right w:val="none" w:sz="0" w:space="0" w:color="auto"/>
      </w:divBdr>
    </w:div>
    <w:div w:id="1899391373">
      <w:bodyDiv w:val="1"/>
      <w:marLeft w:val="0"/>
      <w:marRight w:val="0"/>
      <w:marTop w:val="0"/>
      <w:marBottom w:val="0"/>
      <w:divBdr>
        <w:top w:val="none" w:sz="0" w:space="0" w:color="auto"/>
        <w:left w:val="none" w:sz="0" w:space="0" w:color="auto"/>
        <w:bottom w:val="none" w:sz="0" w:space="0" w:color="auto"/>
        <w:right w:val="none" w:sz="0" w:space="0" w:color="auto"/>
      </w:divBdr>
    </w:div>
    <w:div w:id="1900362618">
      <w:bodyDiv w:val="1"/>
      <w:marLeft w:val="0"/>
      <w:marRight w:val="0"/>
      <w:marTop w:val="0"/>
      <w:marBottom w:val="0"/>
      <w:divBdr>
        <w:top w:val="none" w:sz="0" w:space="0" w:color="auto"/>
        <w:left w:val="none" w:sz="0" w:space="0" w:color="auto"/>
        <w:bottom w:val="none" w:sz="0" w:space="0" w:color="auto"/>
        <w:right w:val="none" w:sz="0" w:space="0" w:color="auto"/>
      </w:divBdr>
    </w:div>
    <w:div w:id="1929188788">
      <w:bodyDiv w:val="1"/>
      <w:marLeft w:val="0"/>
      <w:marRight w:val="0"/>
      <w:marTop w:val="0"/>
      <w:marBottom w:val="0"/>
      <w:divBdr>
        <w:top w:val="none" w:sz="0" w:space="0" w:color="auto"/>
        <w:left w:val="none" w:sz="0" w:space="0" w:color="auto"/>
        <w:bottom w:val="none" w:sz="0" w:space="0" w:color="auto"/>
        <w:right w:val="none" w:sz="0" w:space="0" w:color="auto"/>
      </w:divBdr>
    </w:div>
    <w:div w:id="2028746825">
      <w:bodyDiv w:val="1"/>
      <w:marLeft w:val="0"/>
      <w:marRight w:val="0"/>
      <w:marTop w:val="0"/>
      <w:marBottom w:val="0"/>
      <w:divBdr>
        <w:top w:val="none" w:sz="0" w:space="0" w:color="auto"/>
        <w:left w:val="none" w:sz="0" w:space="0" w:color="auto"/>
        <w:bottom w:val="none" w:sz="0" w:space="0" w:color="auto"/>
        <w:right w:val="none" w:sz="0" w:space="0" w:color="auto"/>
      </w:divBdr>
    </w:div>
    <w:div w:id="2044473709">
      <w:bodyDiv w:val="1"/>
      <w:marLeft w:val="0"/>
      <w:marRight w:val="0"/>
      <w:marTop w:val="0"/>
      <w:marBottom w:val="0"/>
      <w:divBdr>
        <w:top w:val="none" w:sz="0" w:space="0" w:color="auto"/>
        <w:left w:val="none" w:sz="0" w:space="0" w:color="auto"/>
        <w:bottom w:val="none" w:sz="0" w:space="0" w:color="auto"/>
        <w:right w:val="none" w:sz="0" w:space="0" w:color="auto"/>
      </w:divBdr>
    </w:div>
    <w:div w:id="205595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image" Target="media/image3.pn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61" Type="http://schemas.openxmlformats.org/officeDocument/2006/relationships/chart" Target="charts/chart41.xml"/><Relationship Id="rId10" Type="http://schemas.openxmlformats.org/officeDocument/2006/relationships/styles" Target="styles.xml"/><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yperlink" Target="http://eur-lex.europa.eu/LexUriServ/LexUriServ.do?uri=CELEX:32010L0075:CS:NOT" TargetMode="Externa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hart" Target="charts/chart31.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List_aplikace_Microsoft_Excel1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antin\AppData\Local\Microsoft\Windows\Temporary%20Internet%20Files\Content.Outlook\Z8CZ989L\Srovn&#225;vn&#237;%20pln&#253;ch%20n&#225;klad&#367;%20(Impact%20assessment).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List_aplikace_Microsoft_Excel18.xlsx"/><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List_aplikace_Microsoft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List_aplikace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List_aplikace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List_aplikace_Microsoft_Excel22.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List_aplikace_Microsoft_Excel23.xlsx"/><Relationship Id="rId1" Type="http://schemas.openxmlformats.org/officeDocument/2006/relationships/themeOverride" Target="../theme/themeOverride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List_aplikace_Microsoft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List_aplikace_Microsoft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List_aplikace_Microsoft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List_aplikace_Microsoft_Excel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List_aplikace_Microsoft_Excel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List_aplikace_Microsoft_Excel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List_aplikace_Microsoft_Excel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List_aplikace_Microsoft_Excel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List_aplikace_Microsoft_Excel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List_aplikace_Microsoft_Excel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List_aplikace_Microsoft_Excel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List_aplikace_Microsoft_Excel35.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List_aplikace_Microsoft_Excel36.xlsx"/><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List_aplikace_Microsoft_Excel37.xlsx"/><Relationship Id="rId1" Type="http://schemas.openxmlformats.org/officeDocument/2006/relationships/themeOverride" Target="../theme/themeOverride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List_aplikace_Microsoft_Excel3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List_aplikace_Microsoft_Excel39.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List_aplikace_Microsoft_Excel40.xlsx"/><Relationship Id="rId1" Type="http://schemas.openxmlformats.org/officeDocument/2006/relationships/themeOverride" Target="../theme/themeOverride6.xml"/></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Potenciál konečné spotřeby</a:t>
            </a:r>
            <a:r>
              <a:rPr lang="cs-CZ" sz="1200" baseline="0"/>
              <a:t> OZE</a:t>
            </a:r>
            <a:endParaRPr lang="cs-CZ" sz="1200"/>
          </a:p>
        </c:rich>
      </c:tx>
      <c:overlay val="0"/>
    </c:title>
    <c:autoTitleDeleted val="0"/>
    <c:plotArea>
      <c:layout/>
      <c:barChart>
        <c:barDir val="col"/>
        <c:grouping val="stacked"/>
        <c:varyColors val="0"/>
        <c:ser>
          <c:idx val="0"/>
          <c:order val="0"/>
          <c:tx>
            <c:strRef>
              <c:f>List1!$A$2</c:f>
              <c:strCache>
                <c:ptCount val="1"/>
                <c:pt idx="0">
                  <c:v>Teplo</c:v>
                </c:pt>
              </c:strCache>
            </c:strRef>
          </c:tx>
          <c:spPr>
            <a:solidFill>
              <a:schemeClr val="bg1">
                <a:lumMod val="65000"/>
              </a:schemeClr>
            </a:solidFill>
          </c:spPr>
          <c:invertIfNegative val="0"/>
          <c:cat>
            <c:strRef>
              <c:f>List1!$B$1:$V$1</c:f>
              <c:strCache>
                <c:ptCount val="5"/>
                <c:pt idx="0">
                  <c:v>2020</c:v>
                </c:pt>
                <c:pt idx="1">
                  <c:v>2025</c:v>
                </c:pt>
                <c:pt idx="2">
                  <c:v>2030</c:v>
                </c:pt>
                <c:pt idx="3">
                  <c:v>2035</c:v>
                </c:pt>
                <c:pt idx="4">
                  <c:v>2040</c:v>
                </c:pt>
              </c:strCache>
            </c:strRef>
          </c:cat>
          <c:val>
            <c:numRef>
              <c:f>List1!$B$2:$V$2</c:f>
              <c:numCache>
                <c:formatCode>General</c:formatCode>
                <c:ptCount val="5"/>
                <c:pt idx="0">
                  <c:v>106.58052520155944</c:v>
                </c:pt>
                <c:pt idx="1">
                  <c:v>126.92123086675528</c:v>
                </c:pt>
                <c:pt idx="2">
                  <c:v>144.0015560379164</c:v>
                </c:pt>
                <c:pt idx="3">
                  <c:v>157.64039312977204</c:v>
                </c:pt>
                <c:pt idx="4">
                  <c:v>171.17905347755001</c:v>
                </c:pt>
              </c:numCache>
            </c:numRef>
          </c:val>
        </c:ser>
        <c:ser>
          <c:idx val="1"/>
          <c:order val="1"/>
          <c:tx>
            <c:strRef>
              <c:f>List1!$A$3</c:f>
              <c:strCache>
                <c:ptCount val="1"/>
                <c:pt idx="0">
                  <c:v>Elektřina</c:v>
                </c:pt>
              </c:strCache>
            </c:strRef>
          </c:tx>
          <c:spPr>
            <a:solidFill>
              <a:srgbClr val="FFC000"/>
            </a:solidFill>
          </c:spPr>
          <c:invertIfNegative val="0"/>
          <c:cat>
            <c:strRef>
              <c:f>List1!$B$1:$V$1</c:f>
              <c:strCache>
                <c:ptCount val="5"/>
                <c:pt idx="0">
                  <c:v>2020</c:v>
                </c:pt>
                <c:pt idx="1">
                  <c:v>2025</c:v>
                </c:pt>
                <c:pt idx="2">
                  <c:v>2030</c:v>
                </c:pt>
                <c:pt idx="3">
                  <c:v>2035</c:v>
                </c:pt>
                <c:pt idx="4">
                  <c:v>2040</c:v>
                </c:pt>
              </c:strCache>
            </c:strRef>
          </c:cat>
          <c:val>
            <c:numRef>
              <c:f>List1!$B$3:$V$3</c:f>
              <c:numCache>
                <c:formatCode>General</c:formatCode>
                <c:ptCount val="5"/>
                <c:pt idx="0">
                  <c:v>39.557714279080102</c:v>
                </c:pt>
                <c:pt idx="1">
                  <c:v>49.870742178849916</c:v>
                </c:pt>
                <c:pt idx="2">
                  <c:v>59.918887841577906</c:v>
                </c:pt>
                <c:pt idx="3">
                  <c:v>71.081202550451422</c:v>
                </c:pt>
                <c:pt idx="4">
                  <c:v>82.326311337179376</c:v>
                </c:pt>
              </c:numCache>
            </c:numRef>
          </c:val>
        </c:ser>
        <c:ser>
          <c:idx val="2"/>
          <c:order val="2"/>
          <c:tx>
            <c:strRef>
              <c:f>List1!$A$4</c:f>
              <c:strCache>
                <c:ptCount val="1"/>
                <c:pt idx="0">
                  <c:v>Doprava</c:v>
                </c:pt>
              </c:strCache>
            </c:strRef>
          </c:tx>
          <c:spPr>
            <a:solidFill>
              <a:schemeClr val="accent5"/>
            </a:solidFill>
          </c:spPr>
          <c:invertIfNegative val="0"/>
          <c:cat>
            <c:strRef>
              <c:f>List1!$B$1:$V$1</c:f>
              <c:strCache>
                <c:ptCount val="5"/>
                <c:pt idx="0">
                  <c:v>2020</c:v>
                </c:pt>
                <c:pt idx="1">
                  <c:v>2025</c:v>
                </c:pt>
                <c:pt idx="2">
                  <c:v>2030</c:v>
                </c:pt>
                <c:pt idx="3">
                  <c:v>2035</c:v>
                </c:pt>
                <c:pt idx="4">
                  <c:v>2040</c:v>
                </c:pt>
              </c:strCache>
            </c:strRef>
          </c:cat>
          <c:val>
            <c:numRef>
              <c:f>List1!$B$4:$V$4</c:f>
              <c:numCache>
                <c:formatCode>General</c:formatCode>
                <c:ptCount val="5"/>
                <c:pt idx="0">
                  <c:v>28.081859599999998</c:v>
                </c:pt>
                <c:pt idx="1">
                  <c:v>28.081859599999998</c:v>
                </c:pt>
                <c:pt idx="2">
                  <c:v>28.081859599999998</c:v>
                </c:pt>
                <c:pt idx="3">
                  <c:v>28.081859599999998</c:v>
                </c:pt>
                <c:pt idx="4">
                  <c:v>28.081859599999998</c:v>
                </c:pt>
              </c:numCache>
            </c:numRef>
          </c:val>
        </c:ser>
        <c:dLbls>
          <c:showLegendKey val="0"/>
          <c:showVal val="0"/>
          <c:showCatName val="0"/>
          <c:showSerName val="0"/>
          <c:showPercent val="0"/>
          <c:showBubbleSize val="0"/>
        </c:dLbls>
        <c:gapWidth val="150"/>
        <c:overlap val="100"/>
        <c:axId val="90615808"/>
        <c:axId val="90617344"/>
      </c:barChart>
      <c:catAx>
        <c:axId val="90615808"/>
        <c:scaling>
          <c:orientation val="minMax"/>
        </c:scaling>
        <c:delete val="0"/>
        <c:axPos val="b"/>
        <c:majorTickMark val="out"/>
        <c:minorTickMark val="none"/>
        <c:tickLblPos val="nextTo"/>
        <c:crossAx val="90617344"/>
        <c:crosses val="autoZero"/>
        <c:auto val="1"/>
        <c:lblAlgn val="ctr"/>
        <c:lblOffset val="100"/>
        <c:noMultiLvlLbl val="0"/>
      </c:catAx>
      <c:valAx>
        <c:axId val="90617344"/>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General" sourceLinked="1"/>
        <c:majorTickMark val="out"/>
        <c:minorTickMark val="none"/>
        <c:tickLblPos val="nextTo"/>
        <c:crossAx val="90615808"/>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Vývoj a struktura hrubé výroby elektřiny</a:t>
            </a:r>
            <a:endParaRPr lang="cs-CZ" sz="1000">
              <a:effectLst/>
            </a:endParaRPr>
          </a:p>
        </c:rich>
      </c:tx>
      <c:overlay val="0"/>
    </c:title>
    <c:autoTitleDeleted val="0"/>
    <c:plotArea>
      <c:layout>
        <c:manualLayout>
          <c:layoutTarget val="inner"/>
          <c:xMode val="edge"/>
          <c:yMode val="edge"/>
          <c:x val="0.12967793088363955"/>
          <c:y val="0.11337260220364492"/>
          <c:w val="0.84948873578302708"/>
          <c:h val="0.70720986901812866"/>
        </c:manualLayout>
      </c:layout>
      <c:areaChart>
        <c:grouping val="stacked"/>
        <c:varyColors val="0"/>
        <c:ser>
          <c:idx val="0"/>
          <c:order val="0"/>
          <c:tx>
            <c:strRef>
              <c:f>List1!$A$2</c:f>
              <c:strCache>
                <c:ptCount val="1"/>
                <c:pt idx="0">
                  <c:v>Černé uhlí</c:v>
                </c:pt>
              </c:strCache>
            </c:strRef>
          </c:tx>
          <c:spPr>
            <a:solidFill>
              <a:schemeClr val="tx1">
                <a:lumMod val="65000"/>
                <a:lumOff val="35000"/>
              </a:schemeClr>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List1!$B$2:$AF$2</c:f>
              <c:numCache>
                <c:formatCode>#,##0.0</c:formatCode>
                <c:ptCount val="31"/>
                <c:pt idx="0">
                  <c:v>6052</c:v>
                </c:pt>
                <c:pt idx="1">
                  <c:v>5694.06754</c:v>
                </c:pt>
                <c:pt idx="2">
                  <c:v>4896.4241109631294</c:v>
                </c:pt>
                <c:pt idx="3">
                  <c:v>5872.65538889656</c:v>
                </c:pt>
                <c:pt idx="4">
                  <c:v>5852.5365718471239</c:v>
                </c:pt>
                <c:pt idx="5">
                  <c:v>5832.4177547976888</c:v>
                </c:pt>
                <c:pt idx="6">
                  <c:v>5505.9177547976888</c:v>
                </c:pt>
                <c:pt idx="7">
                  <c:v>5179.4177547976888</c:v>
                </c:pt>
                <c:pt idx="8">
                  <c:v>5076.8703388388421</c:v>
                </c:pt>
                <c:pt idx="9">
                  <c:v>4750.3703388388421</c:v>
                </c:pt>
                <c:pt idx="10">
                  <c:v>4198.3703388388421</c:v>
                </c:pt>
                <c:pt idx="11">
                  <c:v>4187.7400653269951</c:v>
                </c:pt>
                <c:pt idx="12">
                  <c:v>4176.0790104418256</c:v>
                </c:pt>
                <c:pt idx="13">
                  <c:v>4164.417955556657</c:v>
                </c:pt>
                <c:pt idx="14">
                  <c:v>4152.7569006714875</c:v>
                </c:pt>
                <c:pt idx="15">
                  <c:v>4134.2958457863178</c:v>
                </c:pt>
                <c:pt idx="16">
                  <c:v>4122.6347909011483</c:v>
                </c:pt>
                <c:pt idx="17">
                  <c:v>4110.9737360159788</c:v>
                </c:pt>
                <c:pt idx="18">
                  <c:v>3895.036365341336</c:v>
                </c:pt>
                <c:pt idx="19">
                  <c:v>3883.375310456167</c:v>
                </c:pt>
                <c:pt idx="20">
                  <c:v>2824.0091916704087</c:v>
                </c:pt>
                <c:pt idx="21">
                  <c:v>2745.0091916704087</c:v>
                </c:pt>
                <c:pt idx="22">
                  <c:v>2745.0091916704087</c:v>
                </c:pt>
                <c:pt idx="23">
                  <c:v>2745.0091916704087</c:v>
                </c:pt>
                <c:pt idx="24">
                  <c:v>2745.0091916704087</c:v>
                </c:pt>
                <c:pt idx="25">
                  <c:v>2745.0091916704087</c:v>
                </c:pt>
                <c:pt idx="26">
                  <c:v>2494.0416286434183</c:v>
                </c:pt>
                <c:pt idx="27">
                  <c:v>2494.0416286434183</c:v>
                </c:pt>
                <c:pt idx="28">
                  <c:v>2494.0416286434183</c:v>
                </c:pt>
                <c:pt idx="29">
                  <c:v>2494.0416286434183</c:v>
                </c:pt>
                <c:pt idx="30">
                  <c:v>1989.1396860492755</c:v>
                </c:pt>
              </c:numCache>
            </c:numRef>
          </c:val>
        </c:ser>
        <c:ser>
          <c:idx val="1"/>
          <c:order val="1"/>
          <c:tx>
            <c:strRef>
              <c:f>List1!$A$3</c:f>
              <c:strCache>
                <c:ptCount val="1"/>
                <c:pt idx="0">
                  <c:v>Hnědé uhlí</c:v>
                </c:pt>
              </c:strCache>
            </c:strRef>
          </c:tx>
          <c:spPr>
            <a:solidFill>
              <a:srgbClr val="9A0000"/>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List1!$B$3:$AF$3</c:f>
              <c:numCache>
                <c:formatCode>#,##0.0</c:formatCode>
                <c:ptCount val="31"/>
                <c:pt idx="0">
                  <c:v>42936.074999999997</c:v>
                </c:pt>
                <c:pt idx="1">
                  <c:v>43083.82943573386</c:v>
                </c:pt>
                <c:pt idx="2">
                  <c:v>41020.899730008299</c:v>
                </c:pt>
                <c:pt idx="3">
                  <c:v>39197.697514634187</c:v>
                </c:pt>
                <c:pt idx="4">
                  <c:v>40402.114578711917</c:v>
                </c:pt>
                <c:pt idx="5">
                  <c:v>40389.55649476144</c:v>
                </c:pt>
                <c:pt idx="6">
                  <c:v>39129.237895136743</c:v>
                </c:pt>
                <c:pt idx="7">
                  <c:v>39221.043345806625</c:v>
                </c:pt>
                <c:pt idx="8">
                  <c:v>36128.143091018115</c:v>
                </c:pt>
                <c:pt idx="9">
                  <c:v>37215.29744698968</c:v>
                </c:pt>
                <c:pt idx="10">
                  <c:v>36951.345478976829</c:v>
                </c:pt>
                <c:pt idx="11">
                  <c:v>32481.517978729593</c:v>
                </c:pt>
                <c:pt idx="12">
                  <c:v>31770.950831947521</c:v>
                </c:pt>
                <c:pt idx="13">
                  <c:v>31078.574476420188</c:v>
                </c:pt>
                <c:pt idx="14">
                  <c:v>30756.269037188016</c:v>
                </c:pt>
                <c:pt idx="15">
                  <c:v>29167.457471818067</c:v>
                </c:pt>
                <c:pt idx="16">
                  <c:v>28550.503531703915</c:v>
                </c:pt>
                <c:pt idx="17">
                  <c:v>28494.42580176668</c:v>
                </c:pt>
                <c:pt idx="18">
                  <c:v>28494.42580176668</c:v>
                </c:pt>
                <c:pt idx="19">
                  <c:v>28494.425801766676</c:v>
                </c:pt>
                <c:pt idx="20">
                  <c:v>27947.680081077415</c:v>
                </c:pt>
                <c:pt idx="21">
                  <c:v>27886.369470452191</c:v>
                </c:pt>
                <c:pt idx="22">
                  <c:v>27886.369470452191</c:v>
                </c:pt>
                <c:pt idx="23">
                  <c:v>26739.530155833065</c:v>
                </c:pt>
                <c:pt idx="24">
                  <c:v>24555.052783693311</c:v>
                </c:pt>
                <c:pt idx="25">
                  <c:v>23366.228337510209</c:v>
                </c:pt>
                <c:pt idx="26">
                  <c:v>22973.223924231334</c:v>
                </c:pt>
                <c:pt idx="27">
                  <c:v>20113.580434824031</c:v>
                </c:pt>
                <c:pt idx="28">
                  <c:v>20053.658306361678</c:v>
                </c:pt>
                <c:pt idx="29">
                  <c:v>20052.138825842198</c:v>
                </c:pt>
                <c:pt idx="30">
                  <c:v>13497.187228903458</c:v>
                </c:pt>
              </c:numCache>
            </c:numRef>
          </c:val>
        </c:ser>
        <c:ser>
          <c:idx val="2"/>
          <c:order val="2"/>
          <c:tx>
            <c:strRef>
              <c:f>List1!$A$4</c:f>
              <c:strCache>
                <c:ptCount val="1"/>
                <c:pt idx="0">
                  <c:v>Jádro</c:v>
                </c:pt>
              </c:strCache>
            </c:strRef>
          </c:tx>
          <c:spPr>
            <a:solidFill>
              <a:schemeClr val="tx2">
                <a:lumMod val="60000"/>
                <a:lumOff val="40000"/>
              </a:schemeClr>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List1!$B$4:$AF$4</c:f>
              <c:numCache>
                <c:formatCode>#,##0.0</c:formatCode>
                <c:ptCount val="31"/>
                <c:pt idx="0">
                  <c:v>27998.2</c:v>
                </c:pt>
                <c:pt idx="1">
                  <c:v>28282.6</c:v>
                </c:pt>
                <c:pt idx="2">
                  <c:v>30324.2</c:v>
                </c:pt>
                <c:pt idx="3">
                  <c:v>31149.858910891086</c:v>
                </c:pt>
                <c:pt idx="4">
                  <c:v>31330.002673267325</c:v>
                </c:pt>
                <c:pt idx="5">
                  <c:v>31495.134455445543</c:v>
                </c:pt>
                <c:pt idx="6">
                  <c:v>31495.134455445543</c:v>
                </c:pt>
                <c:pt idx="7">
                  <c:v>31495.134455445543</c:v>
                </c:pt>
                <c:pt idx="8">
                  <c:v>31495.134455445543</c:v>
                </c:pt>
                <c:pt idx="9">
                  <c:v>31495.134455445543</c:v>
                </c:pt>
                <c:pt idx="10">
                  <c:v>31495.134455445543</c:v>
                </c:pt>
                <c:pt idx="11">
                  <c:v>31495.134455445543</c:v>
                </c:pt>
                <c:pt idx="12">
                  <c:v>31495.134455445543</c:v>
                </c:pt>
                <c:pt idx="13">
                  <c:v>31495.134455445543</c:v>
                </c:pt>
                <c:pt idx="14">
                  <c:v>30537.370118811879</c:v>
                </c:pt>
                <c:pt idx="15">
                  <c:v>30384.247920792077</c:v>
                </c:pt>
                <c:pt idx="16">
                  <c:v>30384.247920792077</c:v>
                </c:pt>
                <c:pt idx="17">
                  <c:v>30537.370118811879</c:v>
                </c:pt>
                <c:pt idx="18">
                  <c:v>31495.134455445543</c:v>
                </c:pt>
                <c:pt idx="19">
                  <c:v>31495.134455445543</c:v>
                </c:pt>
                <c:pt idx="20">
                  <c:v>31495.134455445543</c:v>
                </c:pt>
                <c:pt idx="21">
                  <c:v>31495.134455445543</c:v>
                </c:pt>
                <c:pt idx="22">
                  <c:v>31495.134455445543</c:v>
                </c:pt>
                <c:pt idx="23">
                  <c:v>35998.728514851478</c:v>
                </c:pt>
                <c:pt idx="24">
                  <c:v>40502.322574257429</c:v>
                </c:pt>
                <c:pt idx="25">
                  <c:v>41177.861683168318</c:v>
                </c:pt>
                <c:pt idx="26">
                  <c:v>41853.400792079206</c:v>
                </c:pt>
                <c:pt idx="27">
                  <c:v>38700.884950495049</c:v>
                </c:pt>
                <c:pt idx="28">
                  <c:v>43204.479009900984</c:v>
                </c:pt>
                <c:pt idx="29">
                  <c:v>43204.479009900984</c:v>
                </c:pt>
                <c:pt idx="30">
                  <c:v>43204.479009900984</c:v>
                </c:pt>
              </c:numCache>
            </c:numRef>
          </c:val>
        </c:ser>
        <c:ser>
          <c:idx val="3"/>
          <c:order val="3"/>
          <c:tx>
            <c:strRef>
              <c:f>List1!$A$5</c:f>
              <c:strCache>
                <c:ptCount val="1"/>
                <c:pt idx="0">
                  <c:v>Zemní plyn</c:v>
                </c:pt>
              </c:strCache>
            </c:strRef>
          </c:tx>
          <c:spPr>
            <a:solidFill>
              <a:srgbClr val="FFFF00"/>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List1!$B$5:$AF$5</c:f>
              <c:numCache>
                <c:formatCode>#,##0.0</c:formatCode>
                <c:ptCount val="31"/>
                <c:pt idx="0">
                  <c:v>1125.6654738838351</c:v>
                </c:pt>
                <c:pt idx="1">
                  <c:v>1143.6442624661679</c:v>
                </c:pt>
                <c:pt idx="2">
                  <c:v>1208.0660347603</c:v>
                </c:pt>
                <c:pt idx="3">
                  <c:v>1930.96144547883</c:v>
                </c:pt>
                <c:pt idx="4">
                  <c:v>2502.1241614452565</c:v>
                </c:pt>
                <c:pt idx="5">
                  <c:v>3624.61814237811</c:v>
                </c:pt>
                <c:pt idx="6">
                  <c:v>3682.578254852122</c:v>
                </c:pt>
                <c:pt idx="7">
                  <c:v>3740.5383673261335</c:v>
                </c:pt>
                <c:pt idx="8">
                  <c:v>3798.4984798001451</c:v>
                </c:pt>
                <c:pt idx="9">
                  <c:v>3856.4585922741571</c:v>
                </c:pt>
                <c:pt idx="10">
                  <c:v>3914.4187047481687</c:v>
                </c:pt>
                <c:pt idx="11">
                  <c:v>3926.2322760275779</c:v>
                </c:pt>
                <c:pt idx="12">
                  <c:v>3938.0458473069871</c:v>
                </c:pt>
                <c:pt idx="13">
                  <c:v>3949.8156320840621</c:v>
                </c:pt>
                <c:pt idx="14">
                  <c:v>3961.6292033634713</c:v>
                </c:pt>
                <c:pt idx="15">
                  <c:v>3973.4427746428805</c:v>
                </c:pt>
                <c:pt idx="16">
                  <c:v>3987.454711429521</c:v>
                </c:pt>
                <c:pt idx="17">
                  <c:v>4001.466648216161</c:v>
                </c:pt>
                <c:pt idx="18">
                  <c:v>4015.4785850028015</c:v>
                </c:pt>
                <c:pt idx="19">
                  <c:v>4029.490521789442</c:v>
                </c:pt>
                <c:pt idx="20">
                  <c:v>4043.5024585760825</c:v>
                </c:pt>
                <c:pt idx="21">
                  <c:v>4060.1218506184377</c:v>
                </c:pt>
                <c:pt idx="22">
                  <c:v>4076.7412426607925</c:v>
                </c:pt>
                <c:pt idx="23">
                  <c:v>4093.3606347031478</c:v>
                </c:pt>
                <c:pt idx="24">
                  <c:v>4109.980026745503</c:v>
                </c:pt>
                <c:pt idx="25">
                  <c:v>4126.5994187878578</c:v>
                </c:pt>
                <c:pt idx="26">
                  <c:v>4170.6707777298197</c:v>
                </c:pt>
                <c:pt idx="27">
                  <c:v>4214.7421366717808</c:v>
                </c:pt>
                <c:pt idx="28">
                  <c:v>4258.8134956137428</c:v>
                </c:pt>
                <c:pt idx="29">
                  <c:v>4302.8848545557084</c:v>
                </c:pt>
                <c:pt idx="30">
                  <c:v>7101.0901694788299</c:v>
                </c:pt>
              </c:numCache>
            </c:numRef>
          </c:val>
        </c:ser>
        <c:ser>
          <c:idx val="4"/>
          <c:order val="4"/>
          <c:tx>
            <c:strRef>
              <c:f>List1!$A$6</c:f>
              <c:strCache>
                <c:ptCount val="1"/>
                <c:pt idx="0">
                  <c:v>Ostatní plyny</c:v>
                </c:pt>
              </c:strCache>
            </c:strRef>
          </c:tx>
          <c:spPr>
            <a:solidFill>
              <a:schemeClr val="accent3">
                <a:lumMod val="75000"/>
              </a:schemeClr>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List1!$B$6:$AF$6</c:f>
              <c:numCache>
                <c:formatCode>#,##0.0</c:formatCode>
                <c:ptCount val="31"/>
                <c:pt idx="0">
                  <c:v>1080.4069999999999</c:v>
                </c:pt>
                <c:pt idx="1">
                  <c:v>1095.0015900000001</c:v>
                </c:pt>
                <c:pt idx="2">
                  <c:v>1011.2906291206695</c:v>
                </c:pt>
                <c:pt idx="3">
                  <c:v>1050.008506879183</c:v>
                </c:pt>
                <c:pt idx="4">
                  <c:v>1088.7263846376966</c:v>
                </c:pt>
                <c:pt idx="5">
                  <c:v>1130.5419999999999</c:v>
                </c:pt>
                <c:pt idx="6">
                  <c:v>1130.5419999999999</c:v>
                </c:pt>
                <c:pt idx="7">
                  <c:v>1130.5419999999999</c:v>
                </c:pt>
                <c:pt idx="8">
                  <c:v>1130.5419999999999</c:v>
                </c:pt>
                <c:pt idx="9">
                  <c:v>1130.5419999999999</c:v>
                </c:pt>
                <c:pt idx="10">
                  <c:v>1130.5419999999999</c:v>
                </c:pt>
                <c:pt idx="11">
                  <c:v>1130.5419999999999</c:v>
                </c:pt>
                <c:pt idx="12">
                  <c:v>1130.5419999999999</c:v>
                </c:pt>
                <c:pt idx="13">
                  <c:v>1130.5419999999999</c:v>
                </c:pt>
                <c:pt idx="14">
                  <c:v>1130.5419999999999</c:v>
                </c:pt>
                <c:pt idx="15">
                  <c:v>1130.5419999999999</c:v>
                </c:pt>
                <c:pt idx="16">
                  <c:v>1130.5419999999999</c:v>
                </c:pt>
                <c:pt idx="17">
                  <c:v>1130.5419999999999</c:v>
                </c:pt>
                <c:pt idx="18">
                  <c:v>1130.5419999999999</c:v>
                </c:pt>
                <c:pt idx="19">
                  <c:v>1130.5419999999999</c:v>
                </c:pt>
                <c:pt idx="20">
                  <c:v>1130.5419999999999</c:v>
                </c:pt>
                <c:pt idx="21">
                  <c:v>1130.5419999999999</c:v>
                </c:pt>
                <c:pt idx="22">
                  <c:v>1130.5419999999999</c:v>
                </c:pt>
                <c:pt idx="23">
                  <c:v>1130.5419999999999</c:v>
                </c:pt>
                <c:pt idx="24">
                  <c:v>1130.5419999999999</c:v>
                </c:pt>
                <c:pt idx="25">
                  <c:v>1130.5419999999999</c:v>
                </c:pt>
                <c:pt idx="26">
                  <c:v>1130.5419999999999</c:v>
                </c:pt>
                <c:pt idx="27">
                  <c:v>1130.5419999999999</c:v>
                </c:pt>
                <c:pt idx="28">
                  <c:v>1130.5419999999999</c:v>
                </c:pt>
                <c:pt idx="29">
                  <c:v>1130.5419999999999</c:v>
                </c:pt>
                <c:pt idx="30">
                  <c:v>1130.5419999999999</c:v>
                </c:pt>
              </c:numCache>
            </c:numRef>
          </c:val>
        </c:ser>
        <c:ser>
          <c:idx val="5"/>
          <c:order val="5"/>
          <c:tx>
            <c:strRef>
              <c:f>List1!$A$7</c:f>
              <c:strCache>
                <c:ptCount val="1"/>
                <c:pt idx="0">
                  <c:v>Obnovitelné a druhotné zdroje energie</c:v>
                </c:pt>
              </c:strCache>
            </c:strRef>
          </c:tx>
          <c:spPr>
            <a:solidFill>
              <a:schemeClr val="accent3"/>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List1!$B$7:$AF$7</c:f>
              <c:numCache>
                <c:formatCode>#,##0.0</c:formatCode>
                <c:ptCount val="31"/>
                <c:pt idx="0">
                  <c:v>5902.8117288135591</c:v>
                </c:pt>
                <c:pt idx="1">
                  <c:v>7249.4959082683963</c:v>
                </c:pt>
                <c:pt idx="2">
                  <c:v>8245.0632878221932</c:v>
                </c:pt>
                <c:pt idx="3">
                  <c:v>9536.4712055010641</c:v>
                </c:pt>
                <c:pt idx="4">
                  <c:v>9864.9569552421763</c:v>
                </c:pt>
                <c:pt idx="5">
                  <c:v>10122.288458656662</c:v>
                </c:pt>
                <c:pt idx="6">
                  <c:v>10645.553124112279</c:v>
                </c:pt>
                <c:pt idx="7">
                  <c:v>10855.777115116118</c:v>
                </c:pt>
                <c:pt idx="8">
                  <c:v>11104.075803815642</c:v>
                </c:pt>
                <c:pt idx="9">
                  <c:v>11267.240440973375</c:v>
                </c:pt>
                <c:pt idx="10">
                  <c:v>11548.823131988915</c:v>
                </c:pt>
                <c:pt idx="11">
                  <c:v>12374.751446071406</c:v>
                </c:pt>
                <c:pt idx="12">
                  <c:v>12662.229965902385</c:v>
                </c:pt>
                <c:pt idx="13">
                  <c:v>12952.473919824735</c:v>
                </c:pt>
                <c:pt idx="14">
                  <c:v>13242.638045518093</c:v>
                </c:pt>
                <c:pt idx="15">
                  <c:v>13741.993721062874</c:v>
                </c:pt>
                <c:pt idx="16">
                  <c:v>14087.764597367528</c:v>
                </c:pt>
                <c:pt idx="17">
                  <c:v>14336.024983533636</c:v>
                </c:pt>
                <c:pt idx="18">
                  <c:v>14586.876975737496</c:v>
                </c:pt>
                <c:pt idx="19">
                  <c:v>14840.400155928322</c:v>
                </c:pt>
                <c:pt idx="20">
                  <c:v>15125.564362348881</c:v>
                </c:pt>
                <c:pt idx="21">
                  <c:v>15619.873426842611</c:v>
                </c:pt>
                <c:pt idx="22">
                  <c:v>16116.048558240218</c:v>
                </c:pt>
                <c:pt idx="23">
                  <c:v>16614.06424649453</c:v>
                </c:pt>
                <c:pt idx="24">
                  <c:v>17113.93668332143</c:v>
                </c:pt>
                <c:pt idx="25">
                  <c:v>17638.663837035972</c:v>
                </c:pt>
                <c:pt idx="26">
                  <c:v>18133.543154602045</c:v>
                </c:pt>
                <c:pt idx="27">
                  <c:v>18629.813329768287</c:v>
                </c:pt>
                <c:pt idx="28">
                  <c:v>19127.473323671034</c:v>
                </c:pt>
                <c:pt idx="29">
                  <c:v>19626.522499682858</c:v>
                </c:pt>
                <c:pt idx="30">
                  <c:v>20172.961666682626</c:v>
                </c:pt>
              </c:numCache>
            </c:numRef>
          </c:val>
        </c:ser>
        <c:ser>
          <c:idx val="6"/>
          <c:order val="6"/>
          <c:tx>
            <c:strRef>
              <c:f>List1!$A$8</c:f>
              <c:strCache>
                <c:ptCount val="1"/>
                <c:pt idx="0">
                  <c:v>Ostatní paliva</c:v>
                </c:pt>
              </c:strCache>
            </c:strRef>
          </c:tx>
          <c:spPr>
            <a:solidFill>
              <a:schemeClr val="accent6">
                <a:lumMod val="75000"/>
              </a:schemeClr>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List1!$B$8:$AF$8</c:f>
              <c:numCache>
                <c:formatCode>#,##0.0</c:formatCode>
                <c:ptCount val="31"/>
                <c:pt idx="0">
                  <c:v>814.84079730261044</c:v>
                </c:pt>
                <c:pt idx="1">
                  <c:v>1012.3612635315844</c:v>
                </c:pt>
                <c:pt idx="2">
                  <c:v>868.05620732541865</c:v>
                </c:pt>
                <c:pt idx="3">
                  <c:v>833.8317996313375</c:v>
                </c:pt>
                <c:pt idx="4">
                  <c:v>841.22406713133751</c:v>
                </c:pt>
                <c:pt idx="5">
                  <c:v>848.61633463133762</c:v>
                </c:pt>
                <c:pt idx="6">
                  <c:v>848.61633463133751</c:v>
                </c:pt>
                <c:pt idx="7">
                  <c:v>848.61633463133751</c:v>
                </c:pt>
                <c:pt idx="8">
                  <c:v>848.61633463133751</c:v>
                </c:pt>
                <c:pt idx="9">
                  <c:v>848.61633463133751</c:v>
                </c:pt>
                <c:pt idx="10">
                  <c:v>917.35665463133751</c:v>
                </c:pt>
                <c:pt idx="11">
                  <c:v>917.35665463133751</c:v>
                </c:pt>
                <c:pt idx="12">
                  <c:v>917.35665463133751</c:v>
                </c:pt>
                <c:pt idx="13">
                  <c:v>917.35665463133751</c:v>
                </c:pt>
                <c:pt idx="14">
                  <c:v>917.35665463133751</c:v>
                </c:pt>
                <c:pt idx="15">
                  <c:v>1294.4566546313374</c:v>
                </c:pt>
                <c:pt idx="16">
                  <c:v>1361.0566546313376</c:v>
                </c:pt>
                <c:pt idx="17">
                  <c:v>1361.0566546313376</c:v>
                </c:pt>
                <c:pt idx="18">
                  <c:v>1361.0566546313376</c:v>
                </c:pt>
                <c:pt idx="19">
                  <c:v>1361.0566546313376</c:v>
                </c:pt>
                <c:pt idx="20">
                  <c:v>1446.2566546313376</c:v>
                </c:pt>
                <c:pt idx="21">
                  <c:v>1446.2566546313376</c:v>
                </c:pt>
                <c:pt idx="22">
                  <c:v>1446.2566546313376</c:v>
                </c:pt>
                <c:pt idx="23">
                  <c:v>1446.2566546313376</c:v>
                </c:pt>
                <c:pt idx="24">
                  <c:v>1446.2566546313376</c:v>
                </c:pt>
                <c:pt idx="25">
                  <c:v>1446.2566546313376</c:v>
                </c:pt>
                <c:pt idx="26">
                  <c:v>1446.2566546313376</c:v>
                </c:pt>
                <c:pt idx="27">
                  <c:v>1446.2566546313376</c:v>
                </c:pt>
                <c:pt idx="28">
                  <c:v>1446.2566546313376</c:v>
                </c:pt>
                <c:pt idx="29">
                  <c:v>1446.2566546313376</c:v>
                </c:pt>
                <c:pt idx="30">
                  <c:v>1446.2566546313376</c:v>
                </c:pt>
              </c:numCache>
            </c:numRef>
          </c:val>
        </c:ser>
        <c:dLbls>
          <c:showLegendKey val="0"/>
          <c:showVal val="0"/>
          <c:showCatName val="0"/>
          <c:showSerName val="0"/>
          <c:showPercent val="0"/>
          <c:showBubbleSize val="0"/>
        </c:dLbls>
        <c:axId val="171094784"/>
        <c:axId val="171096320"/>
      </c:areaChart>
      <c:catAx>
        <c:axId val="171094784"/>
        <c:scaling>
          <c:orientation val="minMax"/>
        </c:scaling>
        <c:delete val="0"/>
        <c:axPos val="b"/>
        <c:numFmt formatCode="General" sourceLinked="1"/>
        <c:majorTickMark val="out"/>
        <c:minorTickMark val="none"/>
        <c:tickLblPos val="nextTo"/>
        <c:spPr>
          <a:ln>
            <a:solidFill>
              <a:schemeClr val="bg1">
                <a:lumMod val="65000"/>
              </a:schemeClr>
            </a:solidFill>
          </a:ln>
        </c:spPr>
        <c:txPr>
          <a:bodyPr/>
          <a:lstStyle/>
          <a:p>
            <a:pPr>
              <a:defRPr sz="900" b="0"/>
            </a:pPr>
            <a:endParaRPr lang="cs-CZ"/>
          </a:p>
        </c:txPr>
        <c:crossAx val="171096320"/>
        <c:crosses val="autoZero"/>
        <c:auto val="1"/>
        <c:lblAlgn val="ctr"/>
        <c:lblOffset val="100"/>
        <c:noMultiLvlLbl val="0"/>
      </c:catAx>
      <c:valAx>
        <c:axId val="171096320"/>
        <c:scaling>
          <c:orientation val="minMax"/>
          <c:max val="120000"/>
        </c:scaling>
        <c:delete val="0"/>
        <c:axPos val="l"/>
        <c:majorGridlines>
          <c:spPr>
            <a:ln>
              <a:solidFill>
                <a:schemeClr val="bg1">
                  <a:lumMod val="85000"/>
                </a:schemeClr>
              </a:solidFill>
              <a:prstDash val="sysDash"/>
            </a:ln>
          </c:spPr>
        </c:majorGridlines>
        <c:title>
          <c:tx>
            <c:rich>
              <a:bodyPr rot="-5400000" vert="horz"/>
              <a:lstStyle/>
              <a:p>
                <a:pPr>
                  <a:defRPr/>
                </a:pPr>
                <a:r>
                  <a:rPr lang="cs-CZ"/>
                  <a:t>GWh</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1094784"/>
        <c:crosses val="autoZero"/>
        <c:crossBetween val="midCat"/>
      </c:valAx>
    </c:plotArea>
    <c:legend>
      <c:legendPos val="b"/>
      <c:layout>
        <c:manualLayout>
          <c:xMode val="edge"/>
          <c:yMode val="edge"/>
          <c:x val="7.4744116191650251E-2"/>
          <c:y val="0.91675847726695459"/>
          <c:w val="0.8999999132339862"/>
          <c:h val="5.2619052341379244E-2"/>
        </c:manualLayout>
      </c:layout>
      <c:overlay val="0"/>
      <c:txPr>
        <a:bodyPr/>
        <a:lstStyle/>
        <a:p>
          <a:pPr>
            <a:defRPr sz="800" b="0" spc="0" baseline="0"/>
          </a:pPr>
          <a:endParaRPr lang="cs-CZ"/>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Vývoj</a:t>
            </a:r>
            <a:r>
              <a:rPr lang="cs-CZ" sz="1200" baseline="0"/>
              <a:t> a s</a:t>
            </a:r>
            <a:r>
              <a:rPr lang="cs-CZ" sz="1200"/>
              <a:t>truktura instalovaného výkonu ES ČR</a:t>
            </a:r>
          </a:p>
        </c:rich>
      </c:tx>
      <c:overlay val="0"/>
    </c:title>
    <c:autoTitleDeleted val="0"/>
    <c:plotArea>
      <c:layout/>
      <c:areaChart>
        <c:grouping val="stacked"/>
        <c:varyColors val="0"/>
        <c:ser>
          <c:idx val="11"/>
          <c:order val="0"/>
          <c:tx>
            <c:strRef>
              <c:f>'Bilance ES'!$A$26</c:f>
              <c:strCache>
                <c:ptCount val="1"/>
                <c:pt idx="0">
                  <c:v>Hnědé uhlí</c:v>
                </c:pt>
              </c:strCache>
            </c:strRef>
          </c:tx>
          <c:spPr>
            <a:solidFill>
              <a:srgbClr val="C5A797"/>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ES'!$C$26:$AG$26</c:f>
              <c:numCache>
                <c:formatCode>#,##0</c:formatCode>
                <c:ptCount val="31"/>
                <c:pt idx="0">
                  <c:v>9408.5650000000023</c:v>
                </c:pt>
                <c:pt idx="1">
                  <c:v>8674.2000000000007</c:v>
                </c:pt>
                <c:pt idx="2">
                  <c:v>8674.2000000000007</c:v>
                </c:pt>
                <c:pt idx="3">
                  <c:v>8034.2000000000007</c:v>
                </c:pt>
                <c:pt idx="4">
                  <c:v>8801.2000000000007</c:v>
                </c:pt>
                <c:pt idx="5">
                  <c:v>9341.1999999999989</c:v>
                </c:pt>
                <c:pt idx="6">
                  <c:v>8719.2000000000007</c:v>
                </c:pt>
                <c:pt idx="7">
                  <c:v>8719.2000000000007</c:v>
                </c:pt>
                <c:pt idx="8">
                  <c:v>8107.2000000000007</c:v>
                </c:pt>
                <c:pt idx="9">
                  <c:v>8357.2000000000007</c:v>
                </c:pt>
                <c:pt idx="10">
                  <c:v>7937.2000000000007</c:v>
                </c:pt>
                <c:pt idx="11">
                  <c:v>6999.2000000000007</c:v>
                </c:pt>
                <c:pt idx="12">
                  <c:v>6809.2</c:v>
                </c:pt>
                <c:pt idx="13">
                  <c:v>6744.2000000000007</c:v>
                </c:pt>
                <c:pt idx="14">
                  <c:v>6744.2000000000007</c:v>
                </c:pt>
                <c:pt idx="15">
                  <c:v>6714.2000000000007</c:v>
                </c:pt>
                <c:pt idx="16">
                  <c:v>6494.2000000000007</c:v>
                </c:pt>
                <c:pt idx="17">
                  <c:v>6494.2000000000007</c:v>
                </c:pt>
                <c:pt idx="18">
                  <c:v>6494.2000000000007</c:v>
                </c:pt>
                <c:pt idx="19">
                  <c:v>6494.2000000000007</c:v>
                </c:pt>
                <c:pt idx="20">
                  <c:v>6324.2000000000007</c:v>
                </c:pt>
                <c:pt idx="21">
                  <c:v>6229.2000000000007</c:v>
                </c:pt>
                <c:pt idx="22">
                  <c:v>6229.2000000000007</c:v>
                </c:pt>
                <c:pt idx="23">
                  <c:v>6229.2000000000007</c:v>
                </c:pt>
                <c:pt idx="24">
                  <c:v>6229.2000000000007</c:v>
                </c:pt>
                <c:pt idx="25">
                  <c:v>6229.2000000000007</c:v>
                </c:pt>
                <c:pt idx="26">
                  <c:v>5811.2000000000007</c:v>
                </c:pt>
                <c:pt idx="27">
                  <c:v>5591.2000000000007</c:v>
                </c:pt>
                <c:pt idx="28">
                  <c:v>5527.2000000000007</c:v>
                </c:pt>
                <c:pt idx="29">
                  <c:v>5527.2000000000007</c:v>
                </c:pt>
                <c:pt idx="30">
                  <c:v>3977.2</c:v>
                </c:pt>
              </c:numCache>
            </c:numRef>
          </c:val>
        </c:ser>
        <c:ser>
          <c:idx val="16"/>
          <c:order val="1"/>
          <c:tx>
            <c:strRef>
              <c:f>'Bilance ES'!$A$27</c:f>
              <c:strCache>
                <c:ptCount val="1"/>
                <c:pt idx="0">
                  <c:v>Černé uhlí</c:v>
                </c:pt>
              </c:strCache>
            </c:strRef>
          </c:tx>
          <c:spPr>
            <a:solidFill>
              <a:schemeClr val="tx1">
                <a:lumMod val="65000"/>
                <a:lumOff val="35000"/>
              </a:schemeClr>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ES'!$C$27:$AG$27</c:f>
              <c:numCache>
                <c:formatCode>#,##0</c:formatCode>
                <c:ptCount val="31"/>
                <c:pt idx="0">
                  <c:v>1883.81</c:v>
                </c:pt>
                <c:pt idx="1">
                  <c:v>1883.81</c:v>
                </c:pt>
                <c:pt idx="2">
                  <c:v>1869</c:v>
                </c:pt>
                <c:pt idx="3">
                  <c:v>1667.3</c:v>
                </c:pt>
                <c:pt idx="4">
                  <c:v>1667.3</c:v>
                </c:pt>
                <c:pt idx="5">
                  <c:v>1682.3</c:v>
                </c:pt>
                <c:pt idx="6">
                  <c:v>1582.3</c:v>
                </c:pt>
                <c:pt idx="7">
                  <c:v>1482.3</c:v>
                </c:pt>
                <c:pt idx="8">
                  <c:v>1482.3</c:v>
                </c:pt>
                <c:pt idx="9">
                  <c:v>1382.3</c:v>
                </c:pt>
                <c:pt idx="10">
                  <c:v>1093.3</c:v>
                </c:pt>
                <c:pt idx="11">
                  <c:v>1093.3</c:v>
                </c:pt>
                <c:pt idx="12">
                  <c:v>1093.3</c:v>
                </c:pt>
                <c:pt idx="13">
                  <c:v>1093.3</c:v>
                </c:pt>
                <c:pt idx="14">
                  <c:v>1093.3</c:v>
                </c:pt>
                <c:pt idx="15">
                  <c:v>1093.3</c:v>
                </c:pt>
                <c:pt idx="16">
                  <c:v>1093.3</c:v>
                </c:pt>
                <c:pt idx="17">
                  <c:v>1093.3</c:v>
                </c:pt>
                <c:pt idx="18">
                  <c:v>1038.3</c:v>
                </c:pt>
                <c:pt idx="19">
                  <c:v>1038.3</c:v>
                </c:pt>
                <c:pt idx="20">
                  <c:v>760.3</c:v>
                </c:pt>
                <c:pt idx="21">
                  <c:v>747.5</c:v>
                </c:pt>
                <c:pt idx="22">
                  <c:v>747.5</c:v>
                </c:pt>
                <c:pt idx="23">
                  <c:v>747.5</c:v>
                </c:pt>
                <c:pt idx="24">
                  <c:v>747.5</c:v>
                </c:pt>
                <c:pt idx="25">
                  <c:v>747.5</c:v>
                </c:pt>
                <c:pt idx="26">
                  <c:v>747.5</c:v>
                </c:pt>
                <c:pt idx="27">
                  <c:v>747.5</c:v>
                </c:pt>
                <c:pt idx="28">
                  <c:v>747.5</c:v>
                </c:pt>
                <c:pt idx="29">
                  <c:v>747.5</c:v>
                </c:pt>
                <c:pt idx="30">
                  <c:v>747.5</c:v>
                </c:pt>
              </c:numCache>
            </c:numRef>
          </c:val>
        </c:ser>
        <c:ser>
          <c:idx val="15"/>
          <c:order val="2"/>
          <c:tx>
            <c:strRef>
              <c:f>'Bilance ES'!$A$28</c:f>
              <c:strCache>
                <c:ptCount val="1"/>
                <c:pt idx="0">
                  <c:v>Zemní plyn</c:v>
                </c:pt>
              </c:strCache>
            </c:strRef>
          </c:tx>
          <c:spPr>
            <a:solidFill>
              <a:schemeClr val="accent3"/>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ES'!$C$28:$AG$28</c:f>
              <c:numCache>
                <c:formatCode>#,##0</c:formatCode>
                <c:ptCount val="31"/>
                <c:pt idx="0">
                  <c:v>709.3</c:v>
                </c:pt>
                <c:pt idx="1">
                  <c:v>709.3</c:v>
                </c:pt>
                <c:pt idx="2">
                  <c:v>752</c:v>
                </c:pt>
                <c:pt idx="3">
                  <c:v>1593</c:v>
                </c:pt>
                <c:pt idx="4">
                  <c:v>1593</c:v>
                </c:pt>
                <c:pt idx="5">
                  <c:v>1593</c:v>
                </c:pt>
                <c:pt idx="6">
                  <c:v>1593</c:v>
                </c:pt>
                <c:pt idx="7">
                  <c:v>1593</c:v>
                </c:pt>
                <c:pt idx="8">
                  <c:v>1593</c:v>
                </c:pt>
                <c:pt idx="9">
                  <c:v>1593</c:v>
                </c:pt>
                <c:pt idx="10">
                  <c:v>1593</c:v>
                </c:pt>
                <c:pt idx="11">
                  <c:v>1593</c:v>
                </c:pt>
                <c:pt idx="12">
                  <c:v>1593</c:v>
                </c:pt>
                <c:pt idx="13">
                  <c:v>1593</c:v>
                </c:pt>
                <c:pt idx="14">
                  <c:v>1593</c:v>
                </c:pt>
                <c:pt idx="15">
                  <c:v>1593</c:v>
                </c:pt>
                <c:pt idx="16">
                  <c:v>1593</c:v>
                </c:pt>
                <c:pt idx="17">
                  <c:v>1593</c:v>
                </c:pt>
                <c:pt idx="18">
                  <c:v>1593</c:v>
                </c:pt>
                <c:pt idx="19">
                  <c:v>1593</c:v>
                </c:pt>
                <c:pt idx="20">
                  <c:v>1593</c:v>
                </c:pt>
                <c:pt idx="21">
                  <c:v>1593</c:v>
                </c:pt>
                <c:pt idx="22">
                  <c:v>1593</c:v>
                </c:pt>
                <c:pt idx="23">
                  <c:v>1593</c:v>
                </c:pt>
                <c:pt idx="24">
                  <c:v>1593</c:v>
                </c:pt>
                <c:pt idx="25">
                  <c:v>1593</c:v>
                </c:pt>
                <c:pt idx="26">
                  <c:v>1593</c:v>
                </c:pt>
                <c:pt idx="27">
                  <c:v>1593</c:v>
                </c:pt>
                <c:pt idx="28">
                  <c:v>1593</c:v>
                </c:pt>
                <c:pt idx="29">
                  <c:v>1593</c:v>
                </c:pt>
                <c:pt idx="30">
                  <c:v>1593</c:v>
                </c:pt>
              </c:numCache>
            </c:numRef>
          </c:val>
        </c:ser>
        <c:ser>
          <c:idx val="14"/>
          <c:order val="3"/>
          <c:tx>
            <c:strRef>
              <c:f>'Bilance ES'!$A$29</c:f>
              <c:strCache>
                <c:ptCount val="1"/>
                <c:pt idx="0">
                  <c:v>Jádro</c:v>
                </c:pt>
              </c:strCache>
            </c:strRef>
          </c:tx>
          <c:spPr>
            <a:solidFill>
              <a:schemeClr val="accent5"/>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ES'!$C$29:$AG$29</c:f>
              <c:numCache>
                <c:formatCode>#,##0</c:formatCode>
                <c:ptCount val="31"/>
                <c:pt idx="0">
                  <c:v>3880</c:v>
                </c:pt>
                <c:pt idx="1">
                  <c:v>3970</c:v>
                </c:pt>
                <c:pt idx="2">
                  <c:v>4040</c:v>
                </c:pt>
                <c:pt idx="3">
                  <c:v>4150</c:v>
                </c:pt>
                <c:pt idx="4">
                  <c:v>4268</c:v>
                </c:pt>
                <c:pt idx="5">
                  <c:v>4290</c:v>
                </c:pt>
                <c:pt idx="6">
                  <c:v>4290</c:v>
                </c:pt>
                <c:pt idx="7">
                  <c:v>4290</c:v>
                </c:pt>
                <c:pt idx="8">
                  <c:v>4290</c:v>
                </c:pt>
                <c:pt idx="9">
                  <c:v>4290</c:v>
                </c:pt>
                <c:pt idx="10">
                  <c:v>4290</c:v>
                </c:pt>
                <c:pt idx="11">
                  <c:v>4290</c:v>
                </c:pt>
                <c:pt idx="12">
                  <c:v>4290</c:v>
                </c:pt>
                <c:pt idx="13">
                  <c:v>4290</c:v>
                </c:pt>
                <c:pt idx="14">
                  <c:v>4290</c:v>
                </c:pt>
                <c:pt idx="15">
                  <c:v>4290</c:v>
                </c:pt>
                <c:pt idx="16">
                  <c:v>4290</c:v>
                </c:pt>
                <c:pt idx="17">
                  <c:v>4290</c:v>
                </c:pt>
                <c:pt idx="18">
                  <c:v>4290</c:v>
                </c:pt>
                <c:pt idx="19">
                  <c:v>4290</c:v>
                </c:pt>
                <c:pt idx="20">
                  <c:v>4290</c:v>
                </c:pt>
                <c:pt idx="21">
                  <c:v>4290</c:v>
                </c:pt>
                <c:pt idx="22">
                  <c:v>4290</c:v>
                </c:pt>
                <c:pt idx="23">
                  <c:v>4890</c:v>
                </c:pt>
                <c:pt idx="24">
                  <c:v>5490</c:v>
                </c:pt>
                <c:pt idx="25">
                  <c:v>5580</c:v>
                </c:pt>
                <c:pt idx="26">
                  <c:v>5670</c:v>
                </c:pt>
                <c:pt idx="27">
                  <c:v>5250</c:v>
                </c:pt>
                <c:pt idx="28">
                  <c:v>5850</c:v>
                </c:pt>
                <c:pt idx="29">
                  <c:v>5850</c:v>
                </c:pt>
                <c:pt idx="30">
                  <c:v>5850</c:v>
                </c:pt>
              </c:numCache>
            </c:numRef>
          </c:val>
        </c:ser>
        <c:ser>
          <c:idx val="8"/>
          <c:order val="4"/>
          <c:tx>
            <c:strRef>
              <c:f>'Bilance ES'!$A$30</c:f>
              <c:strCache>
                <c:ptCount val="1"/>
                <c:pt idx="0">
                  <c:v>VTE</c:v>
                </c:pt>
              </c:strCache>
            </c:strRef>
          </c:tx>
          <c:spPr>
            <a:solidFill>
              <a:schemeClr val="accent1"/>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ES'!$C$30:$AG$30</c:f>
              <c:numCache>
                <c:formatCode>#,##0</c:formatCode>
                <c:ptCount val="31"/>
                <c:pt idx="0">
                  <c:v>213</c:v>
                </c:pt>
                <c:pt idx="1">
                  <c:v>213</c:v>
                </c:pt>
                <c:pt idx="2">
                  <c:v>253</c:v>
                </c:pt>
                <c:pt idx="3">
                  <c:v>293</c:v>
                </c:pt>
                <c:pt idx="4">
                  <c:v>333</c:v>
                </c:pt>
                <c:pt idx="5">
                  <c:v>373</c:v>
                </c:pt>
                <c:pt idx="6">
                  <c:v>413</c:v>
                </c:pt>
                <c:pt idx="7">
                  <c:v>453</c:v>
                </c:pt>
                <c:pt idx="8">
                  <c:v>493</c:v>
                </c:pt>
                <c:pt idx="9">
                  <c:v>533</c:v>
                </c:pt>
                <c:pt idx="10">
                  <c:v>573</c:v>
                </c:pt>
                <c:pt idx="11">
                  <c:v>606</c:v>
                </c:pt>
                <c:pt idx="12">
                  <c:v>639</c:v>
                </c:pt>
                <c:pt idx="13">
                  <c:v>672</c:v>
                </c:pt>
                <c:pt idx="14">
                  <c:v>705</c:v>
                </c:pt>
                <c:pt idx="15">
                  <c:v>738</c:v>
                </c:pt>
                <c:pt idx="16">
                  <c:v>768</c:v>
                </c:pt>
                <c:pt idx="17">
                  <c:v>798</c:v>
                </c:pt>
                <c:pt idx="18">
                  <c:v>828</c:v>
                </c:pt>
                <c:pt idx="19">
                  <c:v>858</c:v>
                </c:pt>
                <c:pt idx="20">
                  <c:v>888</c:v>
                </c:pt>
                <c:pt idx="21">
                  <c:v>926.6</c:v>
                </c:pt>
                <c:pt idx="22">
                  <c:v>965.2</c:v>
                </c:pt>
                <c:pt idx="23">
                  <c:v>1003.8000000000001</c:v>
                </c:pt>
                <c:pt idx="24">
                  <c:v>1042.4000000000001</c:v>
                </c:pt>
                <c:pt idx="25">
                  <c:v>1081</c:v>
                </c:pt>
                <c:pt idx="26">
                  <c:v>1119.4000000000001</c:v>
                </c:pt>
                <c:pt idx="27">
                  <c:v>1157.8000000000002</c:v>
                </c:pt>
                <c:pt idx="28">
                  <c:v>1196.2000000000003</c:v>
                </c:pt>
                <c:pt idx="29">
                  <c:v>1234.6000000000004</c:v>
                </c:pt>
                <c:pt idx="30">
                  <c:v>1273</c:v>
                </c:pt>
              </c:numCache>
            </c:numRef>
          </c:val>
        </c:ser>
        <c:ser>
          <c:idx val="1"/>
          <c:order val="5"/>
          <c:tx>
            <c:strRef>
              <c:f>'Bilance ES'!$A$31</c:f>
              <c:strCache>
                <c:ptCount val="1"/>
                <c:pt idx="0">
                  <c:v>FVE</c:v>
                </c:pt>
              </c:strCache>
            </c:strRef>
          </c:tx>
          <c:spPr>
            <a:solidFill>
              <a:srgbClr val="FFC000"/>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ES'!$C$31:$AG$31</c:f>
              <c:numCache>
                <c:formatCode>#,##0</c:formatCode>
                <c:ptCount val="31"/>
                <c:pt idx="0">
                  <c:v>1727</c:v>
                </c:pt>
                <c:pt idx="1">
                  <c:v>1913</c:v>
                </c:pt>
                <c:pt idx="2">
                  <c:v>2022</c:v>
                </c:pt>
                <c:pt idx="3">
                  <c:v>2092.9375</c:v>
                </c:pt>
                <c:pt idx="4">
                  <c:v>2163.875</c:v>
                </c:pt>
                <c:pt idx="5">
                  <c:v>2234.8125</c:v>
                </c:pt>
                <c:pt idx="6">
                  <c:v>2305.75</c:v>
                </c:pt>
                <c:pt idx="7">
                  <c:v>2376.6875</c:v>
                </c:pt>
                <c:pt idx="8">
                  <c:v>2447.625</c:v>
                </c:pt>
                <c:pt idx="9">
                  <c:v>2518.5625</c:v>
                </c:pt>
                <c:pt idx="10">
                  <c:v>2589.5</c:v>
                </c:pt>
                <c:pt idx="11">
                  <c:v>2703</c:v>
                </c:pt>
                <c:pt idx="12">
                  <c:v>2816.5</c:v>
                </c:pt>
                <c:pt idx="13">
                  <c:v>2930</c:v>
                </c:pt>
                <c:pt idx="14">
                  <c:v>3043.5</c:v>
                </c:pt>
                <c:pt idx="15">
                  <c:v>3157</c:v>
                </c:pt>
                <c:pt idx="16">
                  <c:v>3157</c:v>
                </c:pt>
                <c:pt idx="17">
                  <c:v>3157</c:v>
                </c:pt>
                <c:pt idx="18">
                  <c:v>3157</c:v>
                </c:pt>
                <c:pt idx="19">
                  <c:v>3157</c:v>
                </c:pt>
                <c:pt idx="20">
                  <c:v>3157</c:v>
                </c:pt>
                <c:pt idx="21">
                  <c:v>3362</c:v>
                </c:pt>
                <c:pt idx="22">
                  <c:v>3567</c:v>
                </c:pt>
                <c:pt idx="23">
                  <c:v>3772</c:v>
                </c:pt>
                <c:pt idx="24">
                  <c:v>3977</c:v>
                </c:pt>
                <c:pt idx="25">
                  <c:v>4182</c:v>
                </c:pt>
                <c:pt idx="26">
                  <c:v>4387</c:v>
                </c:pt>
                <c:pt idx="27">
                  <c:v>4592</c:v>
                </c:pt>
                <c:pt idx="28">
                  <c:v>4797</c:v>
                </c:pt>
                <c:pt idx="29">
                  <c:v>5002</c:v>
                </c:pt>
                <c:pt idx="30">
                  <c:v>5207</c:v>
                </c:pt>
              </c:numCache>
            </c:numRef>
          </c:val>
        </c:ser>
        <c:ser>
          <c:idx val="3"/>
          <c:order val="6"/>
          <c:tx>
            <c:strRef>
              <c:f>'Bilance ES'!$A$33</c:f>
              <c:strCache>
                <c:ptCount val="1"/>
                <c:pt idx="0">
                  <c:v>Bioplyn</c:v>
                </c:pt>
              </c:strCache>
            </c:strRef>
          </c:tx>
          <c:spPr>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ES'!$C$33:$AG$33</c:f>
              <c:numCache>
                <c:formatCode>#,##0</c:formatCode>
                <c:ptCount val="31"/>
                <c:pt idx="0">
                  <c:v>117.91800000000001</c:v>
                </c:pt>
                <c:pt idx="1">
                  <c:v>181.91800000000001</c:v>
                </c:pt>
                <c:pt idx="2">
                  <c:v>211.91800000000001</c:v>
                </c:pt>
                <c:pt idx="3">
                  <c:v>392</c:v>
                </c:pt>
                <c:pt idx="4">
                  <c:v>400</c:v>
                </c:pt>
                <c:pt idx="5">
                  <c:v>408</c:v>
                </c:pt>
                <c:pt idx="6">
                  <c:v>416</c:v>
                </c:pt>
                <c:pt idx="7">
                  <c:v>424</c:v>
                </c:pt>
                <c:pt idx="8">
                  <c:v>432</c:v>
                </c:pt>
                <c:pt idx="9">
                  <c:v>440</c:v>
                </c:pt>
                <c:pt idx="10">
                  <c:v>448</c:v>
                </c:pt>
                <c:pt idx="11">
                  <c:v>456</c:v>
                </c:pt>
                <c:pt idx="12">
                  <c:v>464</c:v>
                </c:pt>
                <c:pt idx="13">
                  <c:v>472</c:v>
                </c:pt>
                <c:pt idx="14">
                  <c:v>480</c:v>
                </c:pt>
                <c:pt idx="15">
                  <c:v>488</c:v>
                </c:pt>
                <c:pt idx="16">
                  <c:v>496</c:v>
                </c:pt>
                <c:pt idx="17">
                  <c:v>504</c:v>
                </c:pt>
                <c:pt idx="18">
                  <c:v>512</c:v>
                </c:pt>
                <c:pt idx="19">
                  <c:v>520</c:v>
                </c:pt>
                <c:pt idx="20">
                  <c:v>528</c:v>
                </c:pt>
                <c:pt idx="21">
                  <c:v>536</c:v>
                </c:pt>
                <c:pt idx="22">
                  <c:v>544</c:v>
                </c:pt>
                <c:pt idx="23">
                  <c:v>552</c:v>
                </c:pt>
                <c:pt idx="24">
                  <c:v>560</c:v>
                </c:pt>
                <c:pt idx="25">
                  <c:v>568</c:v>
                </c:pt>
                <c:pt idx="26">
                  <c:v>576</c:v>
                </c:pt>
                <c:pt idx="27">
                  <c:v>584</c:v>
                </c:pt>
                <c:pt idx="28">
                  <c:v>592</c:v>
                </c:pt>
                <c:pt idx="29">
                  <c:v>600</c:v>
                </c:pt>
                <c:pt idx="30">
                  <c:v>608</c:v>
                </c:pt>
              </c:numCache>
            </c:numRef>
          </c:val>
        </c:ser>
        <c:ser>
          <c:idx val="4"/>
          <c:order val="7"/>
          <c:tx>
            <c:strRef>
              <c:f>'Bilance ES'!$A$34</c:f>
              <c:strCache>
                <c:ptCount val="1"/>
                <c:pt idx="0">
                  <c:v>Geo</c:v>
                </c:pt>
              </c:strCache>
            </c:strRef>
          </c:tx>
          <c:spPr>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ES'!$C$34:$AG$34</c:f>
              <c:numCache>
                <c:formatCode>#,##0</c:formatCode>
                <c:ptCount val="31"/>
                <c:pt idx="0">
                  <c:v>0</c:v>
                </c:pt>
                <c:pt idx="1">
                  <c:v>0</c:v>
                </c:pt>
                <c:pt idx="2">
                  <c:v>0</c:v>
                </c:pt>
                <c:pt idx="3">
                  <c:v>0</c:v>
                </c:pt>
                <c:pt idx="4">
                  <c:v>0</c:v>
                </c:pt>
                <c:pt idx="5">
                  <c:v>0</c:v>
                </c:pt>
                <c:pt idx="6">
                  <c:v>0</c:v>
                </c:pt>
                <c:pt idx="7">
                  <c:v>4</c:v>
                </c:pt>
                <c:pt idx="8">
                  <c:v>4.4000000000000004</c:v>
                </c:pt>
                <c:pt idx="9">
                  <c:v>4.4000000000000004</c:v>
                </c:pt>
                <c:pt idx="10">
                  <c:v>4.4000000000000004</c:v>
                </c:pt>
                <c:pt idx="11">
                  <c:v>4.4000000000000004</c:v>
                </c:pt>
                <c:pt idx="12">
                  <c:v>4.4000000000000004</c:v>
                </c:pt>
                <c:pt idx="13">
                  <c:v>4.4000000000000004</c:v>
                </c:pt>
                <c:pt idx="14">
                  <c:v>4.4000000000000004</c:v>
                </c:pt>
                <c:pt idx="15">
                  <c:v>12</c:v>
                </c:pt>
                <c:pt idx="16">
                  <c:v>12</c:v>
                </c:pt>
                <c:pt idx="17">
                  <c:v>12</c:v>
                </c:pt>
                <c:pt idx="18">
                  <c:v>12</c:v>
                </c:pt>
                <c:pt idx="19">
                  <c:v>12</c:v>
                </c:pt>
                <c:pt idx="20">
                  <c:v>15</c:v>
                </c:pt>
                <c:pt idx="21">
                  <c:v>15</c:v>
                </c:pt>
                <c:pt idx="22">
                  <c:v>15</c:v>
                </c:pt>
                <c:pt idx="23">
                  <c:v>15</c:v>
                </c:pt>
                <c:pt idx="24">
                  <c:v>15</c:v>
                </c:pt>
                <c:pt idx="25">
                  <c:v>20</c:v>
                </c:pt>
                <c:pt idx="26">
                  <c:v>20</c:v>
                </c:pt>
                <c:pt idx="27">
                  <c:v>20</c:v>
                </c:pt>
                <c:pt idx="28">
                  <c:v>20</c:v>
                </c:pt>
                <c:pt idx="29">
                  <c:v>20</c:v>
                </c:pt>
                <c:pt idx="30">
                  <c:v>30</c:v>
                </c:pt>
              </c:numCache>
            </c:numRef>
          </c:val>
        </c:ser>
        <c:ser>
          <c:idx val="5"/>
          <c:order val="8"/>
          <c:tx>
            <c:strRef>
              <c:f>'Bilance ES'!$A$35</c:f>
              <c:strCache>
                <c:ptCount val="1"/>
                <c:pt idx="0">
                  <c:v>Vodní</c:v>
                </c:pt>
              </c:strCache>
            </c:strRef>
          </c:tx>
          <c:spPr>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ES'!$C$35:$AG$35</c:f>
              <c:numCache>
                <c:formatCode>#,##0</c:formatCode>
                <c:ptCount val="31"/>
                <c:pt idx="0">
                  <c:v>1048</c:v>
                </c:pt>
                <c:pt idx="1">
                  <c:v>1049.623</c:v>
                </c:pt>
                <c:pt idx="2">
                  <c:v>1061.2830000000001</c:v>
                </c:pt>
                <c:pt idx="3">
                  <c:v>1064.1780000000001</c:v>
                </c:pt>
                <c:pt idx="4">
                  <c:v>1079.5320000000002</c:v>
                </c:pt>
                <c:pt idx="5">
                  <c:v>1082.8820000000001</c:v>
                </c:pt>
                <c:pt idx="6">
                  <c:v>1087.5120000000002</c:v>
                </c:pt>
                <c:pt idx="7">
                  <c:v>1087.6620000000003</c:v>
                </c:pt>
                <c:pt idx="8">
                  <c:v>1096.5120000000002</c:v>
                </c:pt>
                <c:pt idx="9">
                  <c:v>1096.6620000000003</c:v>
                </c:pt>
                <c:pt idx="10">
                  <c:v>1096.8120000000004</c:v>
                </c:pt>
                <c:pt idx="11">
                  <c:v>1097</c:v>
                </c:pt>
                <c:pt idx="12">
                  <c:v>1098</c:v>
                </c:pt>
                <c:pt idx="13">
                  <c:v>1098</c:v>
                </c:pt>
                <c:pt idx="14">
                  <c:v>1098</c:v>
                </c:pt>
                <c:pt idx="15">
                  <c:v>1122</c:v>
                </c:pt>
                <c:pt idx="16">
                  <c:v>1122.2</c:v>
                </c:pt>
                <c:pt idx="17">
                  <c:v>1122.4000000000001</c:v>
                </c:pt>
                <c:pt idx="18">
                  <c:v>1122.6000000000001</c:v>
                </c:pt>
                <c:pt idx="19">
                  <c:v>1122.8000000000002</c:v>
                </c:pt>
                <c:pt idx="20">
                  <c:v>1123</c:v>
                </c:pt>
                <c:pt idx="21">
                  <c:v>1123</c:v>
                </c:pt>
                <c:pt idx="22">
                  <c:v>1123</c:v>
                </c:pt>
                <c:pt idx="23">
                  <c:v>1123</c:v>
                </c:pt>
                <c:pt idx="24">
                  <c:v>1123</c:v>
                </c:pt>
                <c:pt idx="25">
                  <c:v>1123</c:v>
                </c:pt>
                <c:pt idx="26">
                  <c:v>1123</c:v>
                </c:pt>
                <c:pt idx="27">
                  <c:v>1123</c:v>
                </c:pt>
                <c:pt idx="28">
                  <c:v>1123</c:v>
                </c:pt>
                <c:pt idx="29">
                  <c:v>1123</c:v>
                </c:pt>
                <c:pt idx="30">
                  <c:v>1123</c:v>
                </c:pt>
              </c:numCache>
            </c:numRef>
          </c:val>
        </c:ser>
        <c:ser>
          <c:idx val="7"/>
          <c:order val="9"/>
          <c:tx>
            <c:strRef>
              <c:f>'Bilance ES'!$A$37</c:f>
              <c:strCache>
                <c:ptCount val="1"/>
                <c:pt idx="0">
                  <c:v>PVE</c:v>
                </c:pt>
              </c:strCache>
            </c:strRef>
          </c:tx>
          <c:spPr>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ES'!$C$37:$AG$37</c:f>
              <c:numCache>
                <c:formatCode>#,##0</c:formatCode>
                <c:ptCount val="31"/>
                <c:pt idx="0">
                  <c:v>1146.5</c:v>
                </c:pt>
                <c:pt idx="1">
                  <c:v>1146.5</c:v>
                </c:pt>
                <c:pt idx="2">
                  <c:v>1146.5</c:v>
                </c:pt>
                <c:pt idx="3">
                  <c:v>1146.5</c:v>
                </c:pt>
                <c:pt idx="4">
                  <c:v>1146.5</c:v>
                </c:pt>
                <c:pt idx="5">
                  <c:v>1146.5</c:v>
                </c:pt>
                <c:pt idx="6">
                  <c:v>1146.5</c:v>
                </c:pt>
                <c:pt idx="7">
                  <c:v>1146.5</c:v>
                </c:pt>
                <c:pt idx="8">
                  <c:v>1146.5</c:v>
                </c:pt>
                <c:pt idx="9">
                  <c:v>1146.5</c:v>
                </c:pt>
                <c:pt idx="10">
                  <c:v>1146.5</c:v>
                </c:pt>
                <c:pt idx="11">
                  <c:v>1146.5</c:v>
                </c:pt>
                <c:pt idx="12">
                  <c:v>1146.5</c:v>
                </c:pt>
                <c:pt idx="13">
                  <c:v>1146.5</c:v>
                </c:pt>
                <c:pt idx="14">
                  <c:v>1146.5</c:v>
                </c:pt>
                <c:pt idx="15">
                  <c:v>1146.5</c:v>
                </c:pt>
                <c:pt idx="16">
                  <c:v>1146.5</c:v>
                </c:pt>
                <c:pt idx="17">
                  <c:v>1146.5</c:v>
                </c:pt>
                <c:pt idx="18">
                  <c:v>1146.5</c:v>
                </c:pt>
                <c:pt idx="19">
                  <c:v>1146.5</c:v>
                </c:pt>
                <c:pt idx="20">
                  <c:v>1146.5</c:v>
                </c:pt>
                <c:pt idx="21">
                  <c:v>1146.5</c:v>
                </c:pt>
                <c:pt idx="22">
                  <c:v>1146.5</c:v>
                </c:pt>
                <c:pt idx="23">
                  <c:v>1146.5</c:v>
                </c:pt>
                <c:pt idx="24">
                  <c:v>1146.5</c:v>
                </c:pt>
                <c:pt idx="25">
                  <c:v>1146.5</c:v>
                </c:pt>
                <c:pt idx="26">
                  <c:v>1146.5</c:v>
                </c:pt>
                <c:pt idx="27">
                  <c:v>1146.5</c:v>
                </c:pt>
                <c:pt idx="28">
                  <c:v>1146.5</c:v>
                </c:pt>
                <c:pt idx="29">
                  <c:v>1146.5</c:v>
                </c:pt>
                <c:pt idx="30">
                  <c:v>1146.5</c:v>
                </c:pt>
              </c:numCache>
            </c:numRef>
          </c:val>
        </c:ser>
        <c:ser>
          <c:idx val="6"/>
          <c:order val="10"/>
          <c:tx>
            <c:strRef>
              <c:f>'Bilance ES'!$A$36</c:f>
              <c:strCache>
                <c:ptCount val="1"/>
                <c:pt idx="0">
                  <c:v>Spalovny odpadu</c:v>
                </c:pt>
              </c:strCache>
            </c:strRef>
          </c:tx>
          <c:spPr>
            <a:solidFill>
              <a:schemeClr val="accent6">
                <a:lumMod val="75000"/>
              </a:schemeClr>
            </a:solidFill>
            <a:ln w="25400">
              <a:noFill/>
            </a:ln>
          </c:spPr>
          <c:cat>
            <c:numRef>
              <c:f>'Bilance ES'!$C$2:$AL$2</c:f>
              <c:numCache>
                <c:formatCode>General</c:formatCode>
                <c:ptCount val="3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numCache>
            </c:numRef>
          </c:cat>
          <c:val>
            <c:numRef>
              <c:f>'Bilance ES'!$C$36:$AG$36</c:f>
              <c:numCache>
                <c:formatCode>#,##0</c:formatCode>
                <c:ptCount val="31"/>
                <c:pt idx="0">
                  <c:v>25.2</c:v>
                </c:pt>
                <c:pt idx="1">
                  <c:v>22.7</c:v>
                </c:pt>
                <c:pt idx="2">
                  <c:v>45.277466000110245</c:v>
                </c:pt>
                <c:pt idx="3">
                  <c:v>45.277466000110245</c:v>
                </c:pt>
                <c:pt idx="4">
                  <c:v>45.277466000110245</c:v>
                </c:pt>
                <c:pt idx="5">
                  <c:v>45.277466000110245</c:v>
                </c:pt>
                <c:pt idx="6">
                  <c:v>45.277466000110245</c:v>
                </c:pt>
                <c:pt idx="7">
                  <c:v>45.277466000110245</c:v>
                </c:pt>
                <c:pt idx="8">
                  <c:v>45.277466000110245</c:v>
                </c:pt>
                <c:pt idx="9">
                  <c:v>45.277466000110245</c:v>
                </c:pt>
                <c:pt idx="10">
                  <c:v>70.240022701141172</c:v>
                </c:pt>
                <c:pt idx="11">
                  <c:v>70.240022701141172</c:v>
                </c:pt>
                <c:pt idx="12">
                  <c:v>70.240022701141172</c:v>
                </c:pt>
                <c:pt idx="13">
                  <c:v>70.240022701141172</c:v>
                </c:pt>
                <c:pt idx="14">
                  <c:v>70.240022701141172</c:v>
                </c:pt>
                <c:pt idx="15">
                  <c:v>153.97398976500514</c:v>
                </c:pt>
                <c:pt idx="16">
                  <c:v>201.41929703505468</c:v>
                </c:pt>
                <c:pt idx="17">
                  <c:v>201.41929703505468</c:v>
                </c:pt>
                <c:pt idx="18">
                  <c:v>201.41929703505468</c:v>
                </c:pt>
                <c:pt idx="19">
                  <c:v>201.41929703505468</c:v>
                </c:pt>
                <c:pt idx="20">
                  <c:v>209.13063724124024</c:v>
                </c:pt>
                <c:pt idx="21">
                  <c:v>209.13063724124024</c:v>
                </c:pt>
                <c:pt idx="22">
                  <c:v>209.13063724124024</c:v>
                </c:pt>
                <c:pt idx="23">
                  <c:v>209.13063724124024</c:v>
                </c:pt>
                <c:pt idx="24">
                  <c:v>209.13063724124024</c:v>
                </c:pt>
                <c:pt idx="25">
                  <c:v>209.13063724124024</c:v>
                </c:pt>
                <c:pt idx="26">
                  <c:v>209.13063724124024</c:v>
                </c:pt>
                <c:pt idx="27">
                  <c:v>209.13063724124024</c:v>
                </c:pt>
                <c:pt idx="28">
                  <c:v>209.13063724124024</c:v>
                </c:pt>
                <c:pt idx="29">
                  <c:v>209.13063724124024</c:v>
                </c:pt>
                <c:pt idx="30">
                  <c:v>209.13063724124024</c:v>
                </c:pt>
              </c:numCache>
            </c:numRef>
          </c:val>
        </c:ser>
        <c:dLbls>
          <c:showLegendKey val="0"/>
          <c:showVal val="0"/>
          <c:showCatName val="0"/>
          <c:showSerName val="0"/>
          <c:showPercent val="0"/>
          <c:showBubbleSize val="0"/>
        </c:dLbls>
        <c:axId val="171045248"/>
        <c:axId val="171046784"/>
      </c:areaChart>
      <c:catAx>
        <c:axId val="171045248"/>
        <c:scaling>
          <c:orientation val="minMax"/>
        </c:scaling>
        <c:delete val="0"/>
        <c:axPos val="b"/>
        <c:numFmt formatCode="General" sourceLinked="1"/>
        <c:majorTickMark val="out"/>
        <c:minorTickMark val="none"/>
        <c:tickLblPos val="nextTo"/>
        <c:txPr>
          <a:bodyPr rot="-5400000" vert="horz"/>
          <a:lstStyle/>
          <a:p>
            <a:pPr>
              <a:defRPr/>
            </a:pPr>
            <a:endParaRPr lang="cs-CZ"/>
          </a:p>
        </c:txPr>
        <c:crossAx val="171046784"/>
        <c:crosses val="autoZero"/>
        <c:auto val="1"/>
        <c:lblAlgn val="ctr"/>
        <c:lblOffset val="100"/>
        <c:tickLblSkip val="1"/>
        <c:noMultiLvlLbl val="0"/>
      </c:catAx>
      <c:valAx>
        <c:axId val="171046784"/>
        <c:scaling>
          <c:orientation val="minMax"/>
        </c:scaling>
        <c:delete val="0"/>
        <c:axPos val="l"/>
        <c:majorGridlines>
          <c:spPr>
            <a:ln>
              <a:solidFill>
                <a:schemeClr val="bg1">
                  <a:lumMod val="75000"/>
                </a:schemeClr>
              </a:solidFill>
              <a:prstDash val="sysDash"/>
            </a:ln>
          </c:spPr>
        </c:majorGridlines>
        <c:title>
          <c:tx>
            <c:rich>
              <a:bodyPr rot="-5400000" vert="horz"/>
              <a:lstStyle/>
              <a:p>
                <a:pPr>
                  <a:defRPr/>
                </a:pPr>
                <a:r>
                  <a:rPr lang="cs-CZ"/>
                  <a:t>Instalovaný výkon (MW)</a:t>
                </a:r>
              </a:p>
            </c:rich>
          </c:tx>
          <c:overlay val="0"/>
        </c:title>
        <c:numFmt formatCode="#,##0" sourceLinked="1"/>
        <c:majorTickMark val="out"/>
        <c:minorTickMark val="none"/>
        <c:tickLblPos val="nextTo"/>
        <c:crossAx val="171045248"/>
        <c:crosses val="autoZero"/>
        <c:crossBetween val="midCat"/>
      </c:valAx>
    </c:plotArea>
    <c:legend>
      <c:legendPos val="b"/>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Vývoj a struktura hrubé výroby elektřiny z OZE</a:t>
            </a:r>
            <a:endParaRPr lang="cs-CZ" sz="1200">
              <a:effectLst/>
            </a:endParaRPr>
          </a:p>
        </c:rich>
      </c:tx>
      <c:overlay val="0"/>
    </c:title>
    <c:autoTitleDeleted val="0"/>
    <c:plotArea>
      <c:layout/>
      <c:areaChart>
        <c:grouping val="stacked"/>
        <c:varyColors val="0"/>
        <c:ser>
          <c:idx val="0"/>
          <c:order val="0"/>
          <c:tx>
            <c:strRef>
              <c:f>List1!$A$2</c:f>
              <c:strCache>
                <c:ptCount val="1"/>
                <c:pt idx="0">
                  <c:v>Biomasa</c:v>
                </c:pt>
              </c:strCache>
            </c:strRef>
          </c:tx>
          <c:spPr>
            <a:solidFill>
              <a:srgbClr val="AC836C"/>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List1!$B$2:$AF$2</c:f>
              <c:numCache>
                <c:formatCode>#,##0.0</c:formatCode>
                <c:ptCount val="31"/>
                <c:pt idx="0">
                  <c:v>1492</c:v>
                </c:pt>
                <c:pt idx="1">
                  <c:v>1682.5628690016599</c:v>
                </c:pt>
                <c:pt idx="2">
                  <c:v>1837.3814659920058</c:v>
                </c:pt>
                <c:pt idx="3">
                  <c:v>1851.2045550090006</c:v>
                </c:pt>
                <c:pt idx="4">
                  <c:v>1865.027644026</c:v>
                </c:pt>
                <c:pt idx="5">
                  <c:v>1878.85073304299</c:v>
                </c:pt>
                <c:pt idx="6">
                  <c:v>2187.3513954892037</c:v>
                </c:pt>
                <c:pt idx="7">
                  <c:v>2214.8970369275944</c:v>
                </c:pt>
                <c:pt idx="8">
                  <c:v>2238.5682978918917</c:v>
                </c:pt>
                <c:pt idx="9">
                  <c:v>2249.5473188625297</c:v>
                </c:pt>
                <c:pt idx="10">
                  <c:v>2330.9653504778053</c:v>
                </c:pt>
                <c:pt idx="11">
                  <c:v>2372.9034547334777</c:v>
                </c:pt>
                <c:pt idx="12">
                  <c:v>2413.2671183689918</c:v>
                </c:pt>
                <c:pt idx="13">
                  <c:v>2455.9915389580101</c:v>
                </c:pt>
                <c:pt idx="14">
                  <c:v>2498.2314541801629</c:v>
                </c:pt>
                <c:pt idx="15">
                  <c:v>2540.559042115869</c:v>
                </c:pt>
                <c:pt idx="16">
                  <c:v>2676.0787184205224</c:v>
                </c:pt>
                <c:pt idx="17">
                  <c:v>2813.9879045866296</c:v>
                </c:pt>
                <c:pt idx="18">
                  <c:v>2954.4886967904899</c:v>
                </c:pt>
                <c:pt idx="19">
                  <c:v>3097.6606769813147</c:v>
                </c:pt>
                <c:pt idx="20">
                  <c:v>3243.3736834018764</c:v>
                </c:pt>
                <c:pt idx="21">
                  <c:v>3380.2015478956037</c:v>
                </c:pt>
                <c:pt idx="22">
                  <c:v>3518.8954792932127</c:v>
                </c:pt>
                <c:pt idx="23">
                  <c:v>3659.429967547524</c:v>
                </c:pt>
                <c:pt idx="24">
                  <c:v>3801.8212043744238</c:v>
                </c:pt>
                <c:pt idx="25">
                  <c:v>3946.0671580889666</c:v>
                </c:pt>
                <c:pt idx="26">
                  <c:v>4083.8252756550369</c:v>
                </c:pt>
                <c:pt idx="27">
                  <c:v>4222.9742508212794</c:v>
                </c:pt>
                <c:pt idx="28">
                  <c:v>4363.5130447240299</c:v>
                </c:pt>
                <c:pt idx="29">
                  <c:v>4505.4410207358524</c:v>
                </c:pt>
                <c:pt idx="30">
                  <c:v>4648.7589877356177</c:v>
                </c:pt>
              </c:numCache>
            </c:numRef>
          </c:val>
        </c:ser>
        <c:ser>
          <c:idx val="1"/>
          <c:order val="1"/>
          <c:tx>
            <c:strRef>
              <c:f>List1!$A$3</c:f>
              <c:strCache>
                <c:ptCount val="1"/>
                <c:pt idx="0">
                  <c:v>Bioplyn</c:v>
                </c:pt>
              </c:strCache>
            </c:strRef>
          </c:tx>
          <c:spPr>
            <a:solidFill>
              <a:srgbClr val="FFC000"/>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List1!$B$3:$AF$3</c:f>
              <c:numCache>
                <c:formatCode>#,##0.0</c:formatCode>
                <c:ptCount val="31"/>
                <c:pt idx="0">
                  <c:v>634.55872881355936</c:v>
                </c:pt>
                <c:pt idx="1">
                  <c:v>934.57873626373635</c:v>
                </c:pt>
                <c:pt idx="2">
                  <c:v>1328.4859528301886</c:v>
                </c:pt>
                <c:pt idx="3">
                  <c:v>2464.6614173228345</c:v>
                </c:pt>
                <c:pt idx="4">
                  <c:v>2626.7605633802818</c:v>
                </c:pt>
                <c:pt idx="5">
                  <c:v>2754</c:v>
                </c:pt>
                <c:pt idx="6">
                  <c:v>2845.4921630094045</c:v>
                </c:pt>
                <c:pt idx="7">
                  <c:v>2912.1437125748503</c:v>
                </c:pt>
                <c:pt idx="8">
                  <c:v>2997.6279069767443</c:v>
                </c:pt>
                <c:pt idx="9">
                  <c:v>3058.870056497175</c:v>
                </c:pt>
                <c:pt idx="10">
                  <c:v>3121.2307692307695</c:v>
                </c:pt>
                <c:pt idx="11">
                  <c:v>3192</c:v>
                </c:pt>
                <c:pt idx="12">
                  <c:v>3248</c:v>
                </c:pt>
                <c:pt idx="13">
                  <c:v>3304</c:v>
                </c:pt>
                <c:pt idx="14">
                  <c:v>3360</c:v>
                </c:pt>
                <c:pt idx="15">
                  <c:v>3416</c:v>
                </c:pt>
                <c:pt idx="16">
                  <c:v>3472</c:v>
                </c:pt>
                <c:pt idx="17">
                  <c:v>3528</c:v>
                </c:pt>
                <c:pt idx="18">
                  <c:v>3584</c:v>
                </c:pt>
                <c:pt idx="19">
                  <c:v>3640</c:v>
                </c:pt>
                <c:pt idx="20">
                  <c:v>3696</c:v>
                </c:pt>
                <c:pt idx="21">
                  <c:v>3752</c:v>
                </c:pt>
                <c:pt idx="22">
                  <c:v>3808</c:v>
                </c:pt>
                <c:pt idx="23">
                  <c:v>3864</c:v>
                </c:pt>
                <c:pt idx="24">
                  <c:v>3920</c:v>
                </c:pt>
                <c:pt idx="25">
                  <c:v>3976</c:v>
                </c:pt>
                <c:pt idx="26">
                  <c:v>4032</c:v>
                </c:pt>
                <c:pt idx="27">
                  <c:v>4088</c:v>
                </c:pt>
                <c:pt idx="28">
                  <c:v>4144</c:v>
                </c:pt>
                <c:pt idx="29">
                  <c:v>4200</c:v>
                </c:pt>
                <c:pt idx="30">
                  <c:v>4256</c:v>
                </c:pt>
              </c:numCache>
            </c:numRef>
          </c:val>
        </c:ser>
        <c:ser>
          <c:idx val="2"/>
          <c:order val="2"/>
          <c:tx>
            <c:strRef>
              <c:f>List1!$A$4</c:f>
              <c:strCache>
                <c:ptCount val="1"/>
                <c:pt idx="0">
                  <c:v>Biologicky rozložitelná část TKO</c:v>
                </c:pt>
              </c:strCache>
            </c:strRef>
          </c:tx>
          <c:spPr>
            <a:solidFill>
              <a:srgbClr val="C00000"/>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List1!$B$4:$AF$4</c:f>
              <c:numCache>
                <c:formatCode>#,##0.0</c:formatCode>
                <c:ptCount val="31"/>
                <c:pt idx="0">
                  <c:v>35.585999999999999</c:v>
                </c:pt>
                <c:pt idx="1">
                  <c:v>90.18</c:v>
                </c:pt>
                <c:pt idx="2">
                  <c:v>86.7</c:v>
                </c:pt>
                <c:pt idx="3">
                  <c:v>91.203501947006231</c:v>
                </c:pt>
                <c:pt idx="4">
                  <c:v>91.203501947006231</c:v>
                </c:pt>
                <c:pt idx="5">
                  <c:v>91.203501947006231</c:v>
                </c:pt>
                <c:pt idx="6">
                  <c:v>91.203501947006231</c:v>
                </c:pt>
                <c:pt idx="7">
                  <c:v>91.203501947006231</c:v>
                </c:pt>
                <c:pt idx="8">
                  <c:v>91.203501947006231</c:v>
                </c:pt>
                <c:pt idx="9">
                  <c:v>91.203501947006231</c:v>
                </c:pt>
                <c:pt idx="10">
                  <c:v>138.0639819470062</c:v>
                </c:pt>
                <c:pt idx="11">
                  <c:v>138.0639819470062</c:v>
                </c:pt>
                <c:pt idx="12">
                  <c:v>138.0639819470062</c:v>
                </c:pt>
                <c:pt idx="13">
                  <c:v>138.0639819470062</c:v>
                </c:pt>
                <c:pt idx="14">
                  <c:v>138.0639819470062</c:v>
                </c:pt>
                <c:pt idx="15">
                  <c:v>309.96398194700618</c:v>
                </c:pt>
                <c:pt idx="16">
                  <c:v>409.86398194700627</c:v>
                </c:pt>
                <c:pt idx="17">
                  <c:v>409.86398194700627</c:v>
                </c:pt>
                <c:pt idx="18">
                  <c:v>409.86398194700627</c:v>
                </c:pt>
                <c:pt idx="19">
                  <c:v>409.86398194700627</c:v>
                </c:pt>
                <c:pt idx="20">
                  <c:v>425.16398194700628</c:v>
                </c:pt>
                <c:pt idx="21">
                  <c:v>425.16398194700628</c:v>
                </c:pt>
                <c:pt idx="22">
                  <c:v>425.16398194700628</c:v>
                </c:pt>
                <c:pt idx="23">
                  <c:v>425.16398194700628</c:v>
                </c:pt>
                <c:pt idx="24">
                  <c:v>425.16398194700628</c:v>
                </c:pt>
                <c:pt idx="25">
                  <c:v>425.16398194700628</c:v>
                </c:pt>
                <c:pt idx="26">
                  <c:v>425.16398194700628</c:v>
                </c:pt>
                <c:pt idx="27">
                  <c:v>425.16398194700628</c:v>
                </c:pt>
                <c:pt idx="28">
                  <c:v>425.16398194700628</c:v>
                </c:pt>
                <c:pt idx="29">
                  <c:v>425.16398194700628</c:v>
                </c:pt>
                <c:pt idx="30">
                  <c:v>425.16398194700628</c:v>
                </c:pt>
              </c:numCache>
            </c:numRef>
          </c:val>
        </c:ser>
        <c:ser>
          <c:idx val="3"/>
          <c:order val="3"/>
          <c:tx>
            <c:strRef>
              <c:f>List1!$A$5</c:f>
              <c:strCache>
                <c:ptCount val="1"/>
                <c:pt idx="0">
                  <c:v>Vodní elektrárny</c:v>
                </c:pt>
              </c:strCache>
            </c:strRef>
          </c:tx>
          <c:spPr>
            <a:solidFill>
              <a:schemeClr val="tx2">
                <a:lumMod val="60000"/>
                <a:lumOff val="40000"/>
              </a:schemeClr>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List1!$B$5:$AF$5</c:f>
              <c:numCache>
                <c:formatCode>#,##0.0</c:formatCode>
                <c:ptCount val="31"/>
                <c:pt idx="0">
                  <c:v>2789.4740000000002</c:v>
                </c:pt>
                <c:pt idx="1">
                  <c:v>1963.153</c:v>
                </c:pt>
                <c:pt idx="2">
                  <c:v>2402.0958689999998</c:v>
                </c:pt>
                <c:pt idx="3">
                  <c:v>2412.0545090000001</c:v>
                </c:pt>
                <c:pt idx="4">
                  <c:v>2463.9513569999999</c:v>
                </c:pt>
                <c:pt idx="5">
                  <c:v>2475.5675569999999</c:v>
                </c:pt>
                <c:pt idx="6">
                  <c:v>2491.3393969999997</c:v>
                </c:pt>
                <c:pt idx="7">
                  <c:v>2491.8661970000003</c:v>
                </c:pt>
                <c:pt idx="8">
                  <c:v>2521.6510969999999</c:v>
                </c:pt>
                <c:pt idx="9">
                  <c:v>2522.177897</c:v>
                </c:pt>
                <c:pt idx="10">
                  <c:v>2522.7046970000001</c:v>
                </c:pt>
                <c:pt idx="11">
                  <c:v>2523.0558969999997</c:v>
                </c:pt>
                <c:pt idx="12">
                  <c:v>2523.4070970000002</c:v>
                </c:pt>
                <c:pt idx="13">
                  <c:v>2523.7582970000003</c:v>
                </c:pt>
                <c:pt idx="14">
                  <c:v>2524.1094969999999</c:v>
                </c:pt>
                <c:pt idx="15">
                  <c:v>2524.4606969999995</c:v>
                </c:pt>
                <c:pt idx="16">
                  <c:v>2524.811897</c:v>
                </c:pt>
                <c:pt idx="17">
                  <c:v>2525.1630970000001</c:v>
                </c:pt>
                <c:pt idx="18">
                  <c:v>2525.5142969999997</c:v>
                </c:pt>
                <c:pt idx="19">
                  <c:v>2525.8654969999998</c:v>
                </c:pt>
                <c:pt idx="20">
                  <c:v>2526.2166969999998</c:v>
                </c:pt>
                <c:pt idx="21">
                  <c:v>2526.5678969999999</c:v>
                </c:pt>
                <c:pt idx="22">
                  <c:v>2526.919097</c:v>
                </c:pt>
                <c:pt idx="23">
                  <c:v>2527.2702969999996</c:v>
                </c:pt>
                <c:pt idx="24">
                  <c:v>2527.6214969999996</c:v>
                </c:pt>
                <c:pt idx="25">
                  <c:v>2527.9726969999997</c:v>
                </c:pt>
                <c:pt idx="26">
                  <c:v>2528.3238969999998</c:v>
                </c:pt>
                <c:pt idx="27">
                  <c:v>2528.6750969999998</c:v>
                </c:pt>
                <c:pt idx="28">
                  <c:v>2529.0262969999999</c:v>
                </c:pt>
                <c:pt idx="29">
                  <c:v>2529.3774969999995</c:v>
                </c:pt>
                <c:pt idx="30">
                  <c:v>2529.7286969999996</c:v>
                </c:pt>
              </c:numCache>
            </c:numRef>
          </c:val>
        </c:ser>
        <c:ser>
          <c:idx val="4"/>
          <c:order val="4"/>
          <c:tx>
            <c:strRef>
              <c:f>List1!$A$6</c:f>
              <c:strCache>
                <c:ptCount val="1"/>
                <c:pt idx="0">
                  <c:v>Větrné elektrárny</c:v>
                </c:pt>
              </c:strCache>
            </c:strRef>
          </c:tx>
          <c:spPr>
            <a:solidFill>
              <a:srgbClr val="92D050"/>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List1!$B$6:$AF$6</c:f>
              <c:numCache>
                <c:formatCode>#,##0.0</c:formatCode>
                <c:ptCount val="31"/>
                <c:pt idx="0">
                  <c:v>335.49299999999999</c:v>
                </c:pt>
                <c:pt idx="1">
                  <c:v>397.00299999999999</c:v>
                </c:pt>
                <c:pt idx="2">
                  <c:v>417.3</c:v>
                </c:pt>
                <c:pt idx="3">
                  <c:v>500.5</c:v>
                </c:pt>
                <c:pt idx="4">
                  <c:v>573.83333333333337</c:v>
                </c:pt>
                <c:pt idx="5">
                  <c:v>647.16666666666663</c:v>
                </c:pt>
                <c:pt idx="6">
                  <c:v>720.5</c:v>
                </c:pt>
                <c:pt idx="7">
                  <c:v>793.83333333333326</c:v>
                </c:pt>
                <c:pt idx="8">
                  <c:v>867.16666666666663</c:v>
                </c:pt>
                <c:pt idx="9">
                  <c:v>940.5</c:v>
                </c:pt>
                <c:pt idx="10">
                  <c:v>1013.8333333333333</c:v>
                </c:pt>
                <c:pt idx="11">
                  <c:v>1075.937312390924</c:v>
                </c:pt>
                <c:pt idx="12">
                  <c:v>1138.4459685863874</c:v>
                </c:pt>
                <c:pt idx="13">
                  <c:v>1201.3593019197206</c:v>
                </c:pt>
                <c:pt idx="14">
                  <c:v>1264.677312390925</c:v>
                </c:pt>
                <c:pt idx="15">
                  <c:v>1328.4</c:v>
                </c:pt>
                <c:pt idx="16">
                  <c:v>1382.4</c:v>
                </c:pt>
                <c:pt idx="17">
                  <c:v>1436.4</c:v>
                </c:pt>
                <c:pt idx="18">
                  <c:v>1490.4</c:v>
                </c:pt>
                <c:pt idx="19">
                  <c:v>1544.4</c:v>
                </c:pt>
                <c:pt idx="20">
                  <c:v>1598.4</c:v>
                </c:pt>
                <c:pt idx="21">
                  <c:v>1667.88</c:v>
                </c:pt>
                <c:pt idx="22">
                  <c:v>1737.36</c:v>
                </c:pt>
                <c:pt idx="23">
                  <c:v>1806.8400000000001</c:v>
                </c:pt>
                <c:pt idx="24">
                  <c:v>1876.3200000000002</c:v>
                </c:pt>
                <c:pt idx="25">
                  <c:v>1945.8</c:v>
                </c:pt>
                <c:pt idx="26">
                  <c:v>2014.9200000000003</c:v>
                </c:pt>
                <c:pt idx="27">
                  <c:v>2084.0400000000004</c:v>
                </c:pt>
                <c:pt idx="28">
                  <c:v>2153.1600000000003</c:v>
                </c:pt>
                <c:pt idx="29">
                  <c:v>2222.2800000000007</c:v>
                </c:pt>
                <c:pt idx="30">
                  <c:v>2291.4</c:v>
                </c:pt>
              </c:numCache>
            </c:numRef>
          </c:val>
        </c:ser>
        <c:ser>
          <c:idx val="5"/>
          <c:order val="5"/>
          <c:tx>
            <c:strRef>
              <c:f>List1!$A$7</c:f>
              <c:strCache>
                <c:ptCount val="1"/>
                <c:pt idx="0">
                  <c:v>Fotovoltaické elektrárny</c:v>
                </c:pt>
              </c:strCache>
            </c:strRef>
          </c:tx>
          <c:spPr>
            <a:solidFill>
              <a:schemeClr val="accent2">
                <a:lumMod val="60000"/>
                <a:lumOff val="40000"/>
              </a:schemeClr>
            </a:solidFill>
          </c:spP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List1!$B$7:$AF$7</c:f>
              <c:numCache>
                <c:formatCode>#,##0.0</c:formatCode>
                <c:ptCount val="31"/>
                <c:pt idx="0">
                  <c:v>615.70000000000005</c:v>
                </c:pt>
                <c:pt idx="1">
                  <c:v>2182.0183030029998</c:v>
                </c:pt>
                <c:pt idx="2">
                  <c:v>2173.1</c:v>
                </c:pt>
                <c:pt idx="3">
                  <c:v>2216.8472222222222</c:v>
                </c:pt>
                <c:pt idx="4">
                  <c:v>2244.1805555555557</c:v>
                </c:pt>
                <c:pt idx="5">
                  <c:v>2275.5</c:v>
                </c:pt>
                <c:pt idx="6">
                  <c:v>2309.6666666666665</c:v>
                </c:pt>
                <c:pt idx="7">
                  <c:v>2343.8333333333335</c:v>
                </c:pt>
                <c:pt idx="8">
                  <c:v>2369.4583333333335</c:v>
                </c:pt>
                <c:pt idx="9">
                  <c:v>2386.5416666666665</c:v>
                </c:pt>
                <c:pt idx="10">
                  <c:v>2403.625</c:v>
                </c:pt>
                <c:pt idx="11">
                  <c:v>3054.39</c:v>
                </c:pt>
                <c:pt idx="12">
                  <c:v>3182.645</c:v>
                </c:pt>
                <c:pt idx="13">
                  <c:v>3310.9</c:v>
                </c:pt>
                <c:pt idx="14">
                  <c:v>3439.1550000000002</c:v>
                </c:pt>
                <c:pt idx="15">
                  <c:v>3567.41</c:v>
                </c:pt>
                <c:pt idx="16">
                  <c:v>3567.41</c:v>
                </c:pt>
                <c:pt idx="17">
                  <c:v>3567.41</c:v>
                </c:pt>
                <c:pt idx="18">
                  <c:v>3567.41</c:v>
                </c:pt>
                <c:pt idx="19">
                  <c:v>3567.41</c:v>
                </c:pt>
                <c:pt idx="20">
                  <c:v>3567.41</c:v>
                </c:pt>
                <c:pt idx="21">
                  <c:v>3799.06</c:v>
                </c:pt>
                <c:pt idx="22">
                  <c:v>4030.71</c:v>
                </c:pt>
                <c:pt idx="23">
                  <c:v>4262.3599999999997</c:v>
                </c:pt>
                <c:pt idx="24">
                  <c:v>4494.01</c:v>
                </c:pt>
                <c:pt idx="25">
                  <c:v>4725.66</c:v>
                </c:pt>
                <c:pt idx="26">
                  <c:v>4957.3100000000004</c:v>
                </c:pt>
                <c:pt idx="27">
                  <c:v>5188.96</c:v>
                </c:pt>
                <c:pt idx="28">
                  <c:v>5420.61</c:v>
                </c:pt>
                <c:pt idx="29">
                  <c:v>5652.26</c:v>
                </c:pt>
                <c:pt idx="30">
                  <c:v>5883.91</c:v>
                </c:pt>
              </c:numCache>
            </c:numRef>
          </c:val>
        </c:ser>
        <c:ser>
          <c:idx val="6"/>
          <c:order val="6"/>
          <c:tx>
            <c:strRef>
              <c:f>List1!$A$8</c:f>
              <c:strCache>
                <c:ptCount val="1"/>
                <c:pt idx="0">
                  <c:v>Geotermální energie</c:v>
                </c:pt>
              </c:strCache>
            </c:strRef>
          </c:tx>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List1!$B$8:$AF$8</c:f>
              <c:numCache>
                <c:formatCode>#,##0.0</c:formatCode>
                <c:ptCount val="31"/>
                <c:pt idx="0">
                  <c:v>0</c:v>
                </c:pt>
                <c:pt idx="1">
                  <c:v>0</c:v>
                </c:pt>
                <c:pt idx="2">
                  <c:v>0</c:v>
                </c:pt>
                <c:pt idx="3">
                  <c:v>0</c:v>
                </c:pt>
                <c:pt idx="4">
                  <c:v>0</c:v>
                </c:pt>
                <c:pt idx="5">
                  <c:v>0</c:v>
                </c:pt>
                <c:pt idx="6">
                  <c:v>0</c:v>
                </c:pt>
                <c:pt idx="7">
                  <c:v>8</c:v>
                </c:pt>
                <c:pt idx="8">
                  <c:v>18.399999999999999</c:v>
                </c:pt>
                <c:pt idx="9">
                  <c:v>18.399999999999999</c:v>
                </c:pt>
                <c:pt idx="10">
                  <c:v>18.399999999999999</c:v>
                </c:pt>
                <c:pt idx="11">
                  <c:v>18.400800000000004</c:v>
                </c:pt>
                <c:pt idx="12">
                  <c:v>18.400800000000004</c:v>
                </c:pt>
                <c:pt idx="13">
                  <c:v>18.400800000000004</c:v>
                </c:pt>
                <c:pt idx="14">
                  <c:v>18.400800000000004</c:v>
                </c:pt>
                <c:pt idx="15">
                  <c:v>55.2</c:v>
                </c:pt>
                <c:pt idx="16">
                  <c:v>55.2</c:v>
                </c:pt>
                <c:pt idx="17">
                  <c:v>55.2</c:v>
                </c:pt>
                <c:pt idx="18">
                  <c:v>55.2</c:v>
                </c:pt>
                <c:pt idx="19">
                  <c:v>55.2</c:v>
                </c:pt>
                <c:pt idx="20">
                  <c:v>69</c:v>
                </c:pt>
                <c:pt idx="21">
                  <c:v>69</c:v>
                </c:pt>
                <c:pt idx="22">
                  <c:v>69</c:v>
                </c:pt>
                <c:pt idx="23">
                  <c:v>69</c:v>
                </c:pt>
                <c:pt idx="24">
                  <c:v>69</c:v>
                </c:pt>
                <c:pt idx="25">
                  <c:v>92</c:v>
                </c:pt>
                <c:pt idx="26">
                  <c:v>92</c:v>
                </c:pt>
                <c:pt idx="27">
                  <c:v>92</c:v>
                </c:pt>
                <c:pt idx="28">
                  <c:v>92</c:v>
                </c:pt>
                <c:pt idx="29">
                  <c:v>92</c:v>
                </c:pt>
                <c:pt idx="30">
                  <c:v>138</c:v>
                </c:pt>
              </c:numCache>
            </c:numRef>
          </c:val>
        </c:ser>
        <c:dLbls>
          <c:showLegendKey val="0"/>
          <c:showVal val="0"/>
          <c:showCatName val="0"/>
          <c:showSerName val="0"/>
          <c:showPercent val="0"/>
          <c:showBubbleSize val="0"/>
        </c:dLbls>
        <c:axId val="171050880"/>
        <c:axId val="171052416"/>
      </c:areaChart>
      <c:catAx>
        <c:axId val="171050880"/>
        <c:scaling>
          <c:orientation val="minMax"/>
        </c:scaling>
        <c:delete val="0"/>
        <c:axPos val="b"/>
        <c:numFmt formatCode="General" sourceLinked="1"/>
        <c:majorTickMark val="out"/>
        <c:minorTickMark val="none"/>
        <c:tickLblPos val="nextTo"/>
        <c:spPr>
          <a:ln>
            <a:solidFill>
              <a:schemeClr val="bg1">
                <a:lumMod val="65000"/>
              </a:schemeClr>
            </a:solidFill>
          </a:ln>
        </c:spPr>
        <c:txPr>
          <a:bodyPr/>
          <a:lstStyle/>
          <a:p>
            <a:pPr>
              <a:defRPr sz="900" b="0"/>
            </a:pPr>
            <a:endParaRPr lang="cs-CZ"/>
          </a:p>
        </c:txPr>
        <c:crossAx val="171052416"/>
        <c:crosses val="autoZero"/>
        <c:auto val="1"/>
        <c:lblAlgn val="ctr"/>
        <c:lblOffset val="100"/>
        <c:noMultiLvlLbl val="0"/>
      </c:catAx>
      <c:valAx>
        <c:axId val="171052416"/>
        <c:scaling>
          <c:orientation val="minMax"/>
        </c:scaling>
        <c:delete val="0"/>
        <c:axPos val="l"/>
        <c:majorGridlines>
          <c:spPr>
            <a:ln>
              <a:solidFill>
                <a:schemeClr val="bg1">
                  <a:lumMod val="85000"/>
                </a:schemeClr>
              </a:solidFill>
            </a:ln>
          </c:spPr>
        </c:majorGridlines>
        <c:title>
          <c:tx>
            <c:rich>
              <a:bodyPr rot="-5400000" vert="horz"/>
              <a:lstStyle/>
              <a:p>
                <a:pPr>
                  <a:defRPr/>
                </a:pPr>
                <a:r>
                  <a:rPr lang="cs-CZ"/>
                  <a:t>GWh</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1050880"/>
        <c:crosses val="autoZero"/>
        <c:crossBetween val="midCat"/>
      </c:valAx>
    </c:plotArea>
    <c:legend>
      <c:legendPos val="b"/>
      <c:layout>
        <c:manualLayout>
          <c:xMode val="edge"/>
          <c:yMode val="edge"/>
          <c:x val="0.12181758530183721"/>
          <c:y val="0.82609585578782552"/>
          <c:w val="0.85366304418559247"/>
          <c:h val="0.16498859556913067"/>
        </c:manualLayout>
      </c:layout>
      <c:overlay val="0"/>
      <c:txPr>
        <a:bodyPr/>
        <a:lstStyle/>
        <a:p>
          <a:pPr>
            <a:defRPr sz="900" spc="-40" baseline="0"/>
          </a:pPr>
          <a:endParaRPr lang="cs-CZ"/>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Vývoj a struktura spotřeby elektřiny</a:t>
            </a:r>
            <a:endParaRPr lang="cs-CZ" sz="1200">
              <a:effectLst/>
            </a:endParaRPr>
          </a:p>
        </c:rich>
      </c:tx>
      <c:overlay val="0"/>
    </c:title>
    <c:autoTitleDeleted val="0"/>
    <c:plotArea>
      <c:layout>
        <c:manualLayout>
          <c:layoutTarget val="inner"/>
          <c:xMode val="edge"/>
          <c:yMode val="edge"/>
          <c:x val="0.13651494475269804"/>
          <c:y val="0.11401924611605709"/>
          <c:w val="0.84335599025458208"/>
          <c:h val="0.65508416269424274"/>
        </c:manualLayout>
      </c:layout>
      <c:barChart>
        <c:barDir val="col"/>
        <c:grouping val="stacked"/>
        <c:varyColors val="0"/>
        <c:ser>
          <c:idx val="0"/>
          <c:order val="0"/>
          <c:tx>
            <c:strRef>
              <c:f>List1!$A$2</c:f>
              <c:strCache>
                <c:ptCount val="1"/>
                <c:pt idx="0">
                  <c:v>Velkoodběr</c:v>
                </c:pt>
              </c:strCache>
            </c:strRef>
          </c:tx>
          <c:spPr>
            <a:solidFill>
              <a:srgbClr val="FF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34162</c:v>
                </c:pt>
                <c:pt idx="1">
                  <c:v>34857.435045712249</c:v>
                </c:pt>
                <c:pt idx="2">
                  <c:v>37228.234810754744</c:v>
                </c:pt>
                <c:pt idx="3">
                  <c:v>40238.07977080952</c:v>
                </c:pt>
                <c:pt idx="4">
                  <c:v>42140.414612418193</c:v>
                </c:pt>
                <c:pt idx="5">
                  <c:v>43362.312743597962</c:v>
                </c:pt>
                <c:pt idx="6">
                  <c:v>44053.096763235655</c:v>
                </c:pt>
              </c:numCache>
            </c:numRef>
          </c:val>
        </c:ser>
        <c:ser>
          <c:idx val="1"/>
          <c:order val="1"/>
          <c:tx>
            <c:strRef>
              <c:f>List1!$A$3</c:f>
              <c:strCache>
                <c:ptCount val="1"/>
                <c:pt idx="0">
                  <c:v>Maloodběr</c:v>
                </c:pt>
              </c:strCache>
            </c:strRef>
          </c:tx>
          <c:spPr>
            <a:solidFill>
              <a:schemeClr val="tx2">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23505.9</c:v>
                </c:pt>
                <c:pt idx="1">
                  <c:v>22644.110510175233</c:v>
                </c:pt>
                <c:pt idx="2">
                  <c:v>23177.655784996306</c:v>
                </c:pt>
                <c:pt idx="3">
                  <c:v>24195.908756687633</c:v>
                </c:pt>
                <c:pt idx="4">
                  <c:v>24744.472079184838</c:v>
                </c:pt>
                <c:pt idx="5">
                  <c:v>24844.393753656965</c:v>
                </c:pt>
                <c:pt idx="6">
                  <c:v>24956.588394688566</c:v>
                </c:pt>
              </c:numCache>
            </c:numRef>
          </c:val>
        </c:ser>
        <c:ser>
          <c:idx val="2"/>
          <c:order val="2"/>
          <c:tx>
            <c:strRef>
              <c:f>List1!$A$4</c:f>
              <c:strCache>
                <c:ptCount val="1"/>
                <c:pt idx="0">
                  <c:v>Elektromobilita</c:v>
                </c:pt>
              </c:strCache>
            </c:strRef>
          </c:tx>
          <c:spPr>
            <a:solidFill>
              <a:srgbClr val="FFFF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0.87587392843961809</c:v>
                </c:pt>
                <c:pt idx="1">
                  <c:v>6.8038493305214187</c:v>
                </c:pt>
                <c:pt idx="2">
                  <c:v>50.850282089559855</c:v>
                </c:pt>
                <c:pt idx="3">
                  <c:v>438.09205152839564</c:v>
                </c:pt>
                <c:pt idx="4">
                  <c:v>1189.6116581766664</c:v>
                </c:pt>
                <c:pt idx="5">
                  <c:v>2328.4920923434024</c:v>
                </c:pt>
                <c:pt idx="6">
                  <c:v>3442.2310776804734</c:v>
                </c:pt>
              </c:numCache>
            </c:numRef>
          </c:val>
        </c:ser>
        <c:ser>
          <c:idx val="3"/>
          <c:order val="3"/>
          <c:tx>
            <c:strRef>
              <c:f>List1!$A$5</c:f>
              <c:strCache>
                <c:ptCount val="1"/>
                <c:pt idx="0">
                  <c:v>Ostatní spotřeba (-akumulace PV)</c:v>
                </c:pt>
              </c:strCache>
            </c:strRef>
          </c:tx>
          <c:spPr>
            <a:solidFill>
              <a:schemeClr val="accent4">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1586.6999999999998</c:v>
                </c:pt>
                <c:pt idx="1">
                  <c:v>1600</c:v>
                </c:pt>
                <c:pt idx="2">
                  <c:v>1620</c:v>
                </c:pt>
                <c:pt idx="3">
                  <c:v>1620</c:v>
                </c:pt>
                <c:pt idx="4">
                  <c:v>1620</c:v>
                </c:pt>
                <c:pt idx="5">
                  <c:v>1620</c:v>
                </c:pt>
                <c:pt idx="6">
                  <c:v>1620</c:v>
                </c:pt>
              </c:numCache>
            </c:numRef>
          </c:val>
        </c:ser>
        <c:ser>
          <c:idx val="4"/>
          <c:order val="4"/>
          <c:tx>
            <c:strRef>
              <c:f>List1!$A$6</c:f>
              <c:strCache>
                <c:ptCount val="1"/>
                <c:pt idx="0">
                  <c:v>Čerpání (akumulace PVE)</c:v>
                </c:pt>
              </c:strCache>
            </c:strRef>
          </c:tx>
          <c:spPr>
            <a:solidFill>
              <a:schemeClr val="accent4">
                <a:lumMod val="7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795</c:v>
                </c:pt>
                <c:pt idx="1">
                  <c:v>1000</c:v>
                </c:pt>
                <c:pt idx="2">
                  <c:v>1000</c:v>
                </c:pt>
                <c:pt idx="3">
                  <c:v>1000</c:v>
                </c:pt>
                <c:pt idx="4">
                  <c:v>1000</c:v>
                </c:pt>
                <c:pt idx="5">
                  <c:v>1000</c:v>
                </c:pt>
                <c:pt idx="6">
                  <c:v>1000</c:v>
                </c:pt>
              </c:numCache>
            </c:numRef>
          </c:val>
        </c:ser>
        <c:ser>
          <c:idx val="5"/>
          <c:order val="5"/>
          <c:tx>
            <c:strRef>
              <c:f>List1!$A$7</c:f>
              <c:strCache>
                <c:ptCount val="1"/>
                <c:pt idx="0">
                  <c:v>Ztráty v sítích</c:v>
                </c:pt>
              </c:strCache>
            </c:strRef>
          </c:tx>
          <c:spPr>
            <a:solidFill>
              <a:schemeClr val="accent3"/>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4467</c:v>
                </c:pt>
                <c:pt idx="1">
                  <c:v>3960.3502107424451</c:v>
                </c:pt>
                <c:pt idx="2">
                  <c:v>4120.3956498526313</c:v>
                </c:pt>
                <c:pt idx="3">
                  <c:v>4358.506300590604</c:v>
                </c:pt>
                <c:pt idx="4">
                  <c:v>4490.1911683932522</c:v>
                </c:pt>
                <c:pt idx="5">
                  <c:v>4547.8049090152481</c:v>
                </c:pt>
                <c:pt idx="6">
                  <c:v>4572.1793897336784</c:v>
                </c:pt>
              </c:numCache>
            </c:numRef>
          </c:val>
        </c:ser>
        <c:ser>
          <c:idx val="6"/>
          <c:order val="6"/>
          <c:tx>
            <c:strRef>
              <c:f>List1!$A$8</c:f>
              <c:strCache>
                <c:ptCount val="1"/>
                <c:pt idx="0">
                  <c:v>Vlastní spotřeba na výrobu elektřiny</c:v>
                </c:pt>
              </c:strCache>
            </c:strRef>
          </c:tx>
          <c:spPr>
            <a:solidFill>
              <a:srgbClr val="FFC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#,##0.0</c:formatCode>
                <c:ptCount val="7"/>
                <c:pt idx="0">
                  <c:v>6446</c:v>
                </c:pt>
                <c:pt idx="1">
                  <c:v>7126.7246542748144</c:v>
                </c:pt>
                <c:pt idx="2">
                  <c:v>6604.3253383210322</c:v>
                </c:pt>
                <c:pt idx="3">
                  <c:v>5773.0036033069355</c:v>
                </c:pt>
                <c:pt idx="4">
                  <c:v>5523.3125980818231</c:v>
                </c:pt>
                <c:pt idx="5">
                  <c:v>5612.7653254169054</c:v>
                </c:pt>
                <c:pt idx="6">
                  <c:v>5191.8733514931291</c:v>
                </c:pt>
              </c:numCache>
            </c:numRef>
          </c:val>
        </c:ser>
        <c:dLbls>
          <c:showLegendKey val="0"/>
          <c:showVal val="0"/>
          <c:showCatName val="0"/>
          <c:showSerName val="0"/>
          <c:showPercent val="0"/>
          <c:showBubbleSize val="0"/>
        </c:dLbls>
        <c:gapWidth val="150"/>
        <c:overlap val="100"/>
        <c:axId val="174688128"/>
        <c:axId val="174689664"/>
      </c:barChart>
      <c:catAx>
        <c:axId val="174688128"/>
        <c:scaling>
          <c:orientation val="minMax"/>
        </c:scaling>
        <c:delete val="0"/>
        <c:axPos val="b"/>
        <c:numFmt formatCode="General" sourceLinked="1"/>
        <c:majorTickMark val="out"/>
        <c:minorTickMark val="none"/>
        <c:tickLblPos val="nextTo"/>
        <c:spPr>
          <a:ln>
            <a:solidFill>
              <a:schemeClr val="bg1">
                <a:lumMod val="65000"/>
              </a:schemeClr>
            </a:solidFill>
          </a:ln>
        </c:spPr>
        <c:txPr>
          <a:bodyPr/>
          <a:lstStyle/>
          <a:p>
            <a:pPr>
              <a:defRPr sz="900" b="0"/>
            </a:pPr>
            <a:endParaRPr lang="cs-CZ"/>
          </a:p>
        </c:txPr>
        <c:crossAx val="174689664"/>
        <c:crosses val="autoZero"/>
        <c:auto val="1"/>
        <c:lblAlgn val="ctr"/>
        <c:lblOffset val="100"/>
        <c:noMultiLvlLbl val="0"/>
      </c:catAx>
      <c:valAx>
        <c:axId val="174689664"/>
        <c:scaling>
          <c:orientation val="minMax"/>
          <c:max val="90000"/>
        </c:scaling>
        <c:delete val="0"/>
        <c:axPos val="l"/>
        <c:majorGridlines>
          <c:spPr>
            <a:ln>
              <a:solidFill>
                <a:schemeClr val="bg1">
                  <a:lumMod val="85000"/>
                </a:schemeClr>
              </a:solidFill>
              <a:prstDash val="sysDash"/>
            </a:ln>
          </c:spPr>
        </c:majorGridlines>
        <c:title>
          <c:tx>
            <c:rich>
              <a:bodyPr rot="-5400000" vert="horz"/>
              <a:lstStyle/>
              <a:p>
                <a:pPr>
                  <a:defRPr/>
                </a:pPr>
                <a:r>
                  <a:rPr lang="cs-CZ"/>
                  <a:t>GWh</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4688128"/>
        <c:crosses val="autoZero"/>
        <c:crossBetween val="between"/>
      </c:valAx>
    </c:plotArea>
    <c:legend>
      <c:legendPos val="b"/>
      <c:layout>
        <c:manualLayout>
          <c:xMode val="edge"/>
          <c:yMode val="edge"/>
          <c:x val="0.13385114898123954"/>
          <c:y val="0.82975219075438167"/>
          <c:w val="0.84419114552829699"/>
          <c:h val="0.15399706841080368"/>
        </c:manualLayout>
      </c:layout>
      <c:overlay val="0"/>
      <c:txPr>
        <a:bodyPr/>
        <a:lstStyle/>
        <a:p>
          <a:pPr>
            <a:defRPr sz="900" spc="0" baseline="0"/>
          </a:pPr>
          <a:endParaRPr lang="cs-CZ"/>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Vývoj a struktura dodávek tepla ze soustav zásobování teplem</a:t>
            </a:r>
            <a:endParaRPr lang="cs-CZ" sz="1200">
              <a:effectLst/>
            </a:endParaRPr>
          </a:p>
        </c:rich>
      </c:tx>
      <c:overlay val="0"/>
    </c:title>
    <c:autoTitleDeleted val="0"/>
    <c:plotArea>
      <c:layout/>
      <c:barChart>
        <c:barDir val="col"/>
        <c:grouping val="stacked"/>
        <c:varyColors val="0"/>
        <c:ser>
          <c:idx val="0"/>
          <c:order val="0"/>
          <c:tx>
            <c:strRef>
              <c:f>List1!$A$2</c:f>
              <c:strCache>
                <c:ptCount val="1"/>
                <c:pt idx="0">
                  <c:v>Černé uhlí</c:v>
                </c:pt>
              </c:strCache>
            </c:strRef>
          </c:tx>
          <c:spPr>
            <a:solidFill>
              <a:schemeClr val="tx1">
                <a:lumMod val="65000"/>
                <a:lumOff val="35000"/>
              </a:schemeClr>
            </a:solidFill>
          </c:spPr>
          <c:invertIfNegative val="0"/>
          <c:cat>
            <c:strRef>
              <c:f>List1!$B$1:$H$1</c:f>
              <c:strCache>
                <c:ptCount val="7"/>
                <c:pt idx="0">
                  <c:v>2010</c:v>
                </c:pt>
                <c:pt idx="1">
                  <c:v>2015</c:v>
                </c:pt>
                <c:pt idx="2">
                  <c:v>2020</c:v>
                </c:pt>
                <c:pt idx="3">
                  <c:v>2025</c:v>
                </c:pt>
                <c:pt idx="4">
                  <c:v>2030</c:v>
                </c:pt>
                <c:pt idx="5">
                  <c:v>2035</c:v>
                </c:pt>
                <c:pt idx="6">
                  <c:v>2040</c:v>
                </c:pt>
              </c:strCache>
            </c:strRef>
          </c:cat>
          <c:val>
            <c:numRef>
              <c:f>List1!$B$2:$H$2</c:f>
              <c:numCache>
                <c:formatCode>0.00</c:formatCode>
                <c:ptCount val="7"/>
                <c:pt idx="0">
                  <c:v>16.805000000000003</c:v>
                </c:pt>
                <c:pt idx="1">
                  <c:v>16.278390657957942</c:v>
                </c:pt>
                <c:pt idx="2">
                  <c:v>14.475320481903243</c:v>
                </c:pt>
                <c:pt idx="3">
                  <c:v>14.300443402198965</c:v>
                </c:pt>
                <c:pt idx="4">
                  <c:v>9.7513733540914362</c:v>
                </c:pt>
                <c:pt idx="5">
                  <c:v>7.9216733540914364</c:v>
                </c:pt>
                <c:pt idx="6">
                  <c:v>8.2276551440677181</c:v>
                </c:pt>
              </c:numCache>
            </c:numRef>
          </c:val>
        </c:ser>
        <c:ser>
          <c:idx val="1"/>
          <c:order val="1"/>
          <c:tx>
            <c:strRef>
              <c:f>List1!$A$3</c:f>
              <c:strCache>
                <c:ptCount val="1"/>
                <c:pt idx="0">
                  <c:v>Hnědé uhlí</c:v>
                </c:pt>
              </c:strCache>
            </c:strRef>
          </c:tx>
          <c:spPr>
            <a:solidFill>
              <a:srgbClr val="9A0000"/>
            </a:solidFill>
          </c:spPr>
          <c:invertIfNegative val="0"/>
          <c:cat>
            <c:strRef>
              <c:f>List1!$B$1:$H$1</c:f>
              <c:strCache>
                <c:ptCount val="7"/>
                <c:pt idx="0">
                  <c:v>2010</c:v>
                </c:pt>
                <c:pt idx="1">
                  <c:v>2015</c:v>
                </c:pt>
                <c:pt idx="2">
                  <c:v>2020</c:v>
                </c:pt>
                <c:pt idx="3">
                  <c:v>2025</c:v>
                </c:pt>
                <c:pt idx="4">
                  <c:v>2030</c:v>
                </c:pt>
                <c:pt idx="5">
                  <c:v>2035</c:v>
                </c:pt>
                <c:pt idx="6">
                  <c:v>2040</c:v>
                </c:pt>
              </c:strCache>
            </c:strRef>
          </c:cat>
          <c:val>
            <c:numRef>
              <c:f>List1!$B$3:$H$3</c:f>
              <c:numCache>
                <c:formatCode>0.00</c:formatCode>
                <c:ptCount val="7"/>
                <c:pt idx="0">
                  <c:v>53.025999999999996</c:v>
                </c:pt>
                <c:pt idx="1">
                  <c:v>46.962511657535352</c:v>
                </c:pt>
                <c:pt idx="2">
                  <c:v>42.394963403878442</c:v>
                </c:pt>
                <c:pt idx="3">
                  <c:v>32.434919952844844</c:v>
                </c:pt>
                <c:pt idx="4">
                  <c:v>25.390989344769665</c:v>
                </c:pt>
                <c:pt idx="5">
                  <c:v>23.944938357186821</c:v>
                </c:pt>
                <c:pt idx="6">
                  <c:v>18.050730526090664</c:v>
                </c:pt>
              </c:numCache>
            </c:numRef>
          </c:val>
        </c:ser>
        <c:ser>
          <c:idx val="2"/>
          <c:order val="2"/>
          <c:tx>
            <c:strRef>
              <c:f>List1!$A$4</c:f>
              <c:strCache>
                <c:ptCount val="1"/>
                <c:pt idx="0">
                  <c:v>Zemní plyn</c:v>
                </c:pt>
              </c:strCache>
            </c:strRef>
          </c:tx>
          <c:spPr>
            <a:solidFill>
              <a:srgbClr val="FFFF00"/>
            </a:solidFill>
          </c:spPr>
          <c:invertIfNegative val="0"/>
          <c:cat>
            <c:strRef>
              <c:f>List1!$B$1:$H$1</c:f>
              <c:strCache>
                <c:ptCount val="7"/>
                <c:pt idx="0">
                  <c:v>2010</c:v>
                </c:pt>
                <c:pt idx="1">
                  <c:v>2015</c:v>
                </c:pt>
                <c:pt idx="2">
                  <c:v>2020</c:v>
                </c:pt>
                <c:pt idx="3">
                  <c:v>2025</c:v>
                </c:pt>
                <c:pt idx="4">
                  <c:v>2030</c:v>
                </c:pt>
                <c:pt idx="5">
                  <c:v>2035</c:v>
                </c:pt>
                <c:pt idx="6">
                  <c:v>2040</c:v>
                </c:pt>
              </c:strCache>
            </c:strRef>
          </c:cat>
          <c:val>
            <c:numRef>
              <c:f>List1!$B$4:$H$4</c:f>
              <c:numCache>
                <c:formatCode>0.00</c:formatCode>
                <c:ptCount val="7"/>
                <c:pt idx="0">
                  <c:v>24</c:v>
                </c:pt>
                <c:pt idx="1">
                  <c:v>25.284517845420964</c:v>
                </c:pt>
                <c:pt idx="2">
                  <c:v>25.320984792650968</c:v>
                </c:pt>
                <c:pt idx="3">
                  <c:v>25.364237806265841</c:v>
                </c:pt>
                <c:pt idx="4">
                  <c:v>25.415539692737692</c:v>
                </c:pt>
                <c:pt idx="5">
                  <c:v>24.798454461425273</c:v>
                </c:pt>
                <c:pt idx="6">
                  <c:v>24.95084851613565</c:v>
                </c:pt>
              </c:numCache>
            </c:numRef>
          </c:val>
        </c:ser>
        <c:ser>
          <c:idx val="3"/>
          <c:order val="3"/>
          <c:tx>
            <c:strRef>
              <c:f>List1!$A$5</c:f>
              <c:strCache>
                <c:ptCount val="1"/>
                <c:pt idx="0">
                  <c:v>Ostatní paliva</c:v>
                </c:pt>
              </c:strCache>
            </c:strRef>
          </c:tx>
          <c:spPr>
            <a:solidFill>
              <a:srgbClr val="FFC000"/>
            </a:solidFill>
          </c:spPr>
          <c:invertIfNegative val="0"/>
          <c:cat>
            <c:strRef>
              <c:f>List1!$B$1:$H$1</c:f>
              <c:strCache>
                <c:ptCount val="7"/>
                <c:pt idx="0">
                  <c:v>2010</c:v>
                </c:pt>
                <c:pt idx="1">
                  <c:v>2015</c:v>
                </c:pt>
                <c:pt idx="2">
                  <c:v>2020</c:v>
                </c:pt>
                <c:pt idx="3">
                  <c:v>2025</c:v>
                </c:pt>
                <c:pt idx="4">
                  <c:v>2030</c:v>
                </c:pt>
                <c:pt idx="5">
                  <c:v>2035</c:v>
                </c:pt>
                <c:pt idx="6">
                  <c:v>2040</c:v>
                </c:pt>
              </c:strCache>
            </c:strRef>
          </c:cat>
          <c:val>
            <c:numRef>
              <c:f>List1!$B$5:$H$5</c:f>
              <c:numCache>
                <c:formatCode>0.00</c:formatCode>
                <c:ptCount val="7"/>
                <c:pt idx="0">
                  <c:v>3.2410000000000005</c:v>
                </c:pt>
                <c:pt idx="1">
                  <c:v>3.2265378117987269</c:v>
                </c:pt>
                <c:pt idx="2">
                  <c:v>3.6541026117987276</c:v>
                </c:pt>
                <c:pt idx="3">
                  <c:v>5.079382611798728</c:v>
                </c:pt>
                <c:pt idx="4">
                  <c:v>6.9603049577870024</c:v>
                </c:pt>
                <c:pt idx="5">
                  <c:v>6.9603049577870024</c:v>
                </c:pt>
                <c:pt idx="6">
                  <c:v>8.108555627695198</c:v>
                </c:pt>
              </c:numCache>
            </c:numRef>
          </c:val>
        </c:ser>
        <c:ser>
          <c:idx val="4"/>
          <c:order val="4"/>
          <c:tx>
            <c:strRef>
              <c:f>List1!$A$6</c:f>
              <c:strCache>
                <c:ptCount val="1"/>
                <c:pt idx="0">
                  <c:v>Obnovitelné a druhotné zdroje energie</c:v>
                </c:pt>
              </c:strCache>
            </c:strRef>
          </c:tx>
          <c:spPr>
            <a:solidFill>
              <a:schemeClr val="accent3"/>
            </a:solidFill>
          </c:spPr>
          <c:invertIfNegative val="0"/>
          <c:cat>
            <c:strRef>
              <c:f>List1!$B$1:$H$1</c:f>
              <c:strCache>
                <c:ptCount val="7"/>
                <c:pt idx="0">
                  <c:v>2010</c:v>
                </c:pt>
                <c:pt idx="1">
                  <c:v>2015</c:v>
                </c:pt>
                <c:pt idx="2">
                  <c:v>2020</c:v>
                </c:pt>
                <c:pt idx="3">
                  <c:v>2025</c:v>
                </c:pt>
                <c:pt idx="4">
                  <c:v>2030</c:v>
                </c:pt>
                <c:pt idx="5">
                  <c:v>2035</c:v>
                </c:pt>
                <c:pt idx="6">
                  <c:v>2040</c:v>
                </c:pt>
              </c:strCache>
            </c:strRef>
          </c:cat>
          <c:val>
            <c:numRef>
              <c:f>List1!$B$6:$H$6</c:f>
              <c:numCache>
                <c:formatCode>0.00</c:formatCode>
                <c:ptCount val="7"/>
                <c:pt idx="0">
                  <c:v>3.0490000000000004</c:v>
                </c:pt>
                <c:pt idx="1">
                  <c:v>6.5563067176980905</c:v>
                </c:pt>
                <c:pt idx="2">
                  <c:v>8.7036539176980909</c:v>
                </c:pt>
                <c:pt idx="3">
                  <c:v>12.314768715767219</c:v>
                </c:pt>
                <c:pt idx="4">
                  <c:v>16.39357056492987</c:v>
                </c:pt>
                <c:pt idx="5">
                  <c:v>18.579970486582912</c:v>
                </c:pt>
                <c:pt idx="6">
                  <c:v>20.844843379256911</c:v>
                </c:pt>
              </c:numCache>
            </c:numRef>
          </c:val>
        </c:ser>
        <c:dLbls>
          <c:showLegendKey val="0"/>
          <c:showVal val="0"/>
          <c:showCatName val="0"/>
          <c:showSerName val="0"/>
          <c:showPercent val="0"/>
          <c:showBubbleSize val="0"/>
        </c:dLbls>
        <c:gapWidth val="150"/>
        <c:overlap val="100"/>
        <c:axId val="171289600"/>
        <c:axId val="171291392"/>
      </c:barChart>
      <c:catAx>
        <c:axId val="171289600"/>
        <c:scaling>
          <c:orientation val="minMax"/>
        </c:scaling>
        <c:delete val="0"/>
        <c:axPos val="b"/>
        <c:numFmt formatCode="General" sourceLinked="0"/>
        <c:majorTickMark val="out"/>
        <c:minorTickMark val="none"/>
        <c:tickLblPos val="nextTo"/>
        <c:crossAx val="171291392"/>
        <c:crosses val="autoZero"/>
        <c:auto val="1"/>
        <c:lblAlgn val="ctr"/>
        <c:lblOffset val="100"/>
        <c:noMultiLvlLbl val="0"/>
      </c:catAx>
      <c:valAx>
        <c:axId val="17129139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crossAx val="171289600"/>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a:pPr>
            <a:r>
              <a:rPr lang="cs-CZ" sz="1200" b="1" i="0" u="none" strike="noStrike" baseline="0">
                <a:effectLst/>
              </a:rPr>
              <a:t>Zásoby primárních energetických zdrojů</a:t>
            </a:r>
            <a:endParaRPr lang="cs-CZ" sz="1200" b="1" i="0"/>
          </a:p>
        </c:rich>
      </c:tx>
      <c:overlay val="0"/>
    </c:title>
    <c:autoTitleDeleted val="0"/>
    <c:plotArea>
      <c:layout/>
      <c:barChart>
        <c:barDir val="col"/>
        <c:grouping val="stacked"/>
        <c:varyColors val="0"/>
        <c:ser>
          <c:idx val="4"/>
          <c:order val="0"/>
          <c:tx>
            <c:strRef>
              <c:f>List1!$A$7</c:f>
              <c:strCache>
                <c:ptCount val="1"/>
                <c:pt idx="0">
                  <c:v>Absolutní výše zásob PEZ</c:v>
                </c:pt>
              </c:strCache>
            </c:strRef>
          </c:tx>
          <c:spPr>
            <a:pattFill prst="pct50">
              <a:fgClr>
                <a:schemeClr val="accent2"/>
              </a:fgClr>
              <a:bgClr>
                <a:schemeClr val="bg1"/>
              </a:bgClr>
            </a:pattFill>
            <a:ln>
              <a:solidFill>
                <a:schemeClr val="accent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1951.9725106895205</c:v>
                </c:pt>
                <c:pt idx="1">
                  <c:v>2013.4252307906622</c:v>
                </c:pt>
                <c:pt idx="2">
                  <c:v>2677.3211227173592</c:v>
                </c:pt>
                <c:pt idx="3">
                  <c:v>2581.2996929550677</c:v>
                </c:pt>
                <c:pt idx="4">
                  <c:v>2572.2456120028301</c:v>
                </c:pt>
                <c:pt idx="5">
                  <c:v>2972.3267475083881</c:v>
                </c:pt>
                <c:pt idx="6">
                  <c:v>2969.8674440857553</c:v>
                </c:pt>
              </c:numCache>
            </c:numRef>
          </c:val>
        </c:ser>
        <c:dLbls>
          <c:showLegendKey val="0"/>
          <c:showVal val="0"/>
          <c:showCatName val="0"/>
          <c:showSerName val="0"/>
          <c:showPercent val="0"/>
          <c:showBubbleSize val="0"/>
        </c:dLbls>
        <c:gapWidth val="150"/>
        <c:overlap val="100"/>
        <c:axId val="171326464"/>
        <c:axId val="171332352"/>
      </c:barChart>
      <c:lineChart>
        <c:grouping val="standard"/>
        <c:varyColors val="0"/>
        <c:ser>
          <c:idx val="5"/>
          <c:order val="1"/>
          <c:tx>
            <c:strRef>
              <c:f>List1!$A$8</c:f>
              <c:strCache>
                <c:ptCount val="1"/>
                <c:pt idx="0">
                  <c:v>Relativní výše zásob PEZ</c:v>
                </c:pt>
              </c:strCache>
            </c:strRef>
          </c:tx>
          <c:spPr>
            <a:ln>
              <a:solidFill>
                <a:srgbClr val="C00000"/>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c:formatCode>
                <c:ptCount val="7"/>
                <c:pt idx="0">
                  <c:v>1.0526707218026685</c:v>
                </c:pt>
                <c:pt idx="1">
                  <c:v>1.0869787246499027</c:v>
                </c:pt>
                <c:pt idx="2">
                  <c:v>1.4664380257997414</c:v>
                </c:pt>
                <c:pt idx="3">
                  <c:v>1.4574355796506315</c:v>
                </c:pt>
                <c:pt idx="4">
                  <c:v>1.4644163009662308</c:v>
                </c:pt>
                <c:pt idx="5">
                  <c:v>1.6544090902139552</c:v>
                </c:pt>
                <c:pt idx="6">
                  <c:v>1.7006009990012172</c:v>
                </c:pt>
              </c:numCache>
            </c:numRef>
          </c:val>
          <c:smooth val="0"/>
        </c:ser>
        <c:dLbls>
          <c:showLegendKey val="0"/>
          <c:showVal val="0"/>
          <c:showCatName val="0"/>
          <c:showSerName val="0"/>
          <c:showPercent val="0"/>
          <c:showBubbleSize val="0"/>
        </c:dLbls>
        <c:marker val="1"/>
        <c:smooth val="0"/>
        <c:axId val="171336064"/>
        <c:axId val="171334272"/>
      </c:lineChart>
      <c:catAx>
        <c:axId val="171326464"/>
        <c:scaling>
          <c:orientation val="minMax"/>
        </c:scaling>
        <c:delete val="0"/>
        <c:axPos val="b"/>
        <c:numFmt formatCode="General" sourceLinked="0"/>
        <c:majorTickMark val="out"/>
        <c:minorTickMark val="none"/>
        <c:tickLblPos val="nextTo"/>
        <c:crossAx val="171332352"/>
        <c:crosses val="autoZero"/>
        <c:auto val="1"/>
        <c:lblAlgn val="ctr"/>
        <c:lblOffset val="100"/>
        <c:noMultiLvlLbl val="0"/>
      </c:catAx>
      <c:valAx>
        <c:axId val="17133235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Absolutní výše zásob </a:t>
                </a:r>
                <a:r>
                  <a:rPr lang="en-US"/>
                  <a:t>[</a:t>
                </a:r>
                <a:r>
                  <a:rPr lang="cs-CZ"/>
                  <a:t>PJ</a:t>
                </a:r>
                <a:r>
                  <a:rPr lang="en-US"/>
                  <a:t>]</a:t>
                </a:r>
                <a:endParaRPr lang="cs-CZ"/>
              </a:p>
            </c:rich>
          </c:tx>
          <c:overlay val="0"/>
        </c:title>
        <c:numFmt formatCode="#,##0" sourceLinked="0"/>
        <c:majorTickMark val="out"/>
        <c:minorTickMark val="none"/>
        <c:tickLblPos val="nextTo"/>
        <c:crossAx val="171326464"/>
        <c:crosses val="autoZero"/>
        <c:crossBetween val="between"/>
      </c:valAx>
      <c:valAx>
        <c:axId val="171334272"/>
        <c:scaling>
          <c:orientation val="minMax"/>
        </c:scaling>
        <c:delete val="0"/>
        <c:axPos val="r"/>
        <c:numFmt formatCode="0%" sourceLinked="1"/>
        <c:majorTickMark val="out"/>
        <c:minorTickMark val="none"/>
        <c:tickLblPos val="nextTo"/>
        <c:crossAx val="171336064"/>
        <c:crosses val="max"/>
        <c:crossBetween val="between"/>
      </c:valAx>
      <c:catAx>
        <c:axId val="171336064"/>
        <c:scaling>
          <c:orientation val="minMax"/>
        </c:scaling>
        <c:delete val="1"/>
        <c:axPos val="b"/>
        <c:numFmt formatCode="General" sourceLinked="1"/>
        <c:majorTickMark val="out"/>
        <c:minorTickMark val="none"/>
        <c:tickLblPos val="nextTo"/>
        <c:crossAx val="1713342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u="none" strike="noStrike" baseline="0">
                <a:effectLst/>
              </a:rPr>
              <a:t>Ukazatele diverzifikace</a:t>
            </a:r>
            <a:endParaRPr lang="cs-CZ" sz="1200"/>
          </a:p>
        </c:rich>
      </c:tx>
      <c:overlay val="0"/>
    </c:title>
    <c:autoTitleDeleted val="0"/>
    <c:plotArea>
      <c:layout/>
      <c:barChart>
        <c:barDir val="col"/>
        <c:grouping val="clustered"/>
        <c:varyColors val="0"/>
        <c:ser>
          <c:idx val="0"/>
          <c:order val="0"/>
          <c:tx>
            <c:strRef>
              <c:f>List1!$A$2</c:f>
              <c:strCache>
                <c:ptCount val="1"/>
                <c:pt idx="0">
                  <c:v>Diverzifikace PEZ</c:v>
                </c:pt>
              </c:strCache>
            </c:strRef>
          </c:tx>
          <c:spPr>
            <a:solidFill>
              <a:schemeClr val="accent5"/>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0.27769094256703236</c:v>
                </c:pt>
                <c:pt idx="1">
                  <c:v>0.2645096022506549</c:v>
                </c:pt>
                <c:pt idx="2">
                  <c:v>0.24358302525328102</c:v>
                </c:pt>
                <c:pt idx="3">
                  <c:v>0.21874409048989921</c:v>
                </c:pt>
                <c:pt idx="4">
                  <c:v>0.21120576386096096</c:v>
                </c:pt>
                <c:pt idx="5">
                  <c:v>0.21407928283673228</c:v>
                </c:pt>
                <c:pt idx="6">
                  <c:v>0.21136376560709469</c:v>
                </c:pt>
              </c:numCache>
            </c:numRef>
          </c:val>
        </c:ser>
        <c:ser>
          <c:idx val="1"/>
          <c:order val="1"/>
          <c:tx>
            <c:strRef>
              <c:f>List1!$A$3</c:f>
              <c:strCache>
                <c:ptCount val="1"/>
                <c:pt idx="0">
                  <c:v>Diverzifikace importu</c:v>
                </c:pt>
              </c:strCache>
            </c:strRef>
          </c:tx>
          <c:spPr>
            <a:solidFill>
              <a:srgbClr val="FFC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0.00</c:formatCode>
                <c:ptCount val="7"/>
                <c:pt idx="0">
                  <c:v>0.33674500916799921</c:v>
                </c:pt>
                <c:pt idx="1">
                  <c:v>0.31881779711537528</c:v>
                </c:pt>
                <c:pt idx="2">
                  <c:v>0.29696627834654998</c:v>
                </c:pt>
                <c:pt idx="3">
                  <c:v>0.27255306315483474</c:v>
                </c:pt>
                <c:pt idx="4">
                  <c:v>0.27657820523267013</c:v>
                </c:pt>
                <c:pt idx="5">
                  <c:v>0.28474645061580472</c:v>
                </c:pt>
                <c:pt idx="6">
                  <c:v>0.29235844720621534</c:v>
                </c:pt>
              </c:numCache>
            </c:numRef>
          </c:val>
        </c:ser>
        <c:ser>
          <c:idx val="2"/>
          <c:order val="2"/>
          <c:tx>
            <c:strRef>
              <c:f>List1!$A$4</c:f>
              <c:strCache>
                <c:ptCount val="1"/>
                <c:pt idx="0">
                  <c:v>Diverzifikace hrubé výroby elektřiny</c:v>
                </c:pt>
              </c:strCache>
            </c:strRef>
          </c:tx>
          <c:spPr>
            <a:solidFill>
              <a:schemeClr val="bg1">
                <a:lumMod val="6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0.00</c:formatCode>
                <c:ptCount val="7"/>
                <c:pt idx="0">
                  <c:v>0.36609494075649357</c:v>
                </c:pt>
                <c:pt idx="1">
                  <c:v>0.31779573447398851</c:v>
                </c:pt>
                <c:pt idx="2">
                  <c:v>0.31074772316049787</c:v>
                </c:pt>
                <c:pt idx="3">
                  <c:v>0.28442528074106543</c:v>
                </c:pt>
                <c:pt idx="4">
                  <c:v>0.28753978422354565</c:v>
                </c:pt>
                <c:pt idx="5">
                  <c:v>0.30735709534129707</c:v>
                </c:pt>
                <c:pt idx="6">
                  <c:v>0.32061500635671419</c:v>
                </c:pt>
              </c:numCache>
            </c:numRef>
          </c:val>
        </c:ser>
        <c:dLbls>
          <c:showLegendKey val="0"/>
          <c:showVal val="0"/>
          <c:showCatName val="0"/>
          <c:showSerName val="0"/>
          <c:showPercent val="0"/>
          <c:showBubbleSize val="0"/>
        </c:dLbls>
        <c:gapWidth val="150"/>
        <c:axId val="177887104"/>
        <c:axId val="177888640"/>
      </c:barChart>
      <c:catAx>
        <c:axId val="177887104"/>
        <c:scaling>
          <c:orientation val="minMax"/>
        </c:scaling>
        <c:delete val="0"/>
        <c:axPos val="b"/>
        <c:numFmt formatCode="General" sourceLinked="0"/>
        <c:majorTickMark val="out"/>
        <c:minorTickMark val="none"/>
        <c:tickLblPos val="nextTo"/>
        <c:txPr>
          <a:bodyPr/>
          <a:lstStyle/>
          <a:p>
            <a:pPr>
              <a:defRPr sz="900" b="0"/>
            </a:pPr>
            <a:endParaRPr lang="cs-CZ"/>
          </a:p>
        </c:txPr>
        <c:crossAx val="177888640"/>
        <c:crosses val="autoZero"/>
        <c:auto val="1"/>
        <c:lblAlgn val="ctr"/>
        <c:lblOffset val="100"/>
        <c:noMultiLvlLbl val="0"/>
      </c:catAx>
      <c:valAx>
        <c:axId val="177888640"/>
        <c:scaling>
          <c:orientation val="minMax"/>
          <c:max val="0.5"/>
        </c:scaling>
        <c:delete val="0"/>
        <c:axPos val="l"/>
        <c:majorGridlines>
          <c:spPr>
            <a:ln>
              <a:solidFill>
                <a:schemeClr val="bg1">
                  <a:lumMod val="85000"/>
                </a:schemeClr>
              </a:solidFill>
            </a:ln>
          </c:spPr>
        </c:majorGridlines>
        <c:title>
          <c:tx>
            <c:rich>
              <a:bodyPr rot="-5400000" vert="horz"/>
              <a:lstStyle/>
              <a:p>
                <a:pPr>
                  <a:defRPr sz="400"/>
                </a:pPr>
                <a:r>
                  <a:rPr lang="cs-CZ" sz="1000" b="1" i="0" baseline="0">
                    <a:effectLst/>
                  </a:rPr>
                  <a:t>Ukazatele diverzifikace </a:t>
                </a:r>
                <a:r>
                  <a:rPr lang="en-US" sz="1000" b="1" i="0" baseline="0">
                    <a:effectLst/>
                  </a:rPr>
                  <a:t>[</a:t>
                </a:r>
                <a:r>
                  <a:rPr lang="cs-CZ" sz="1000" b="1" i="0" baseline="0">
                    <a:effectLst/>
                  </a:rPr>
                  <a:t>-</a:t>
                </a:r>
                <a:r>
                  <a:rPr lang="en-US" sz="1000" b="1" i="0" baseline="0">
                    <a:effectLst/>
                  </a:rPr>
                  <a:t>]</a:t>
                </a:r>
                <a:endParaRPr lang="cs-CZ" sz="400">
                  <a:effectLst/>
                </a:endParaRPr>
              </a:p>
            </c:rich>
          </c:tx>
          <c:overlay val="0"/>
        </c:title>
        <c:numFmt formatCode="0.00" sourceLinked="0"/>
        <c:majorTickMark val="out"/>
        <c:minorTickMark val="none"/>
        <c:tickLblPos val="nextTo"/>
        <c:spPr>
          <a:noFill/>
          <a:ln>
            <a:solidFill>
              <a:schemeClr val="bg1">
                <a:lumMod val="65000"/>
              </a:schemeClr>
            </a:solidFill>
          </a:ln>
        </c:spPr>
        <c:txPr>
          <a:bodyPr/>
          <a:lstStyle/>
          <a:p>
            <a:pPr>
              <a:defRPr sz="900"/>
            </a:pPr>
            <a:endParaRPr lang="cs-CZ"/>
          </a:p>
        </c:txPr>
        <c:crossAx val="177887104"/>
        <c:crosses val="autoZero"/>
        <c:crossBetween val="between"/>
        <c:majorUnit val="5.0000000000000024E-2"/>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Podíl a</a:t>
            </a:r>
            <a:r>
              <a:rPr lang="cs-CZ" sz="1200" baseline="0"/>
              <a:t> struktura dovozu PEZ</a:t>
            </a:r>
            <a:endParaRPr lang="cs-CZ" sz="1200"/>
          </a:p>
        </c:rich>
      </c:tx>
      <c:overlay val="0"/>
    </c:title>
    <c:autoTitleDeleted val="0"/>
    <c:plotArea>
      <c:layout/>
      <c:lineChart>
        <c:grouping val="standard"/>
        <c:varyColors val="0"/>
        <c:ser>
          <c:idx val="0"/>
          <c:order val="0"/>
          <c:tx>
            <c:strRef>
              <c:f>List1!$A$2</c:f>
              <c:strCache>
                <c:ptCount val="1"/>
                <c:pt idx="0">
                  <c:v>Jaderné palivo</c:v>
                </c:pt>
              </c:strCache>
            </c:strRef>
          </c:tx>
          <c:spPr>
            <a:ln>
              <a:solidFill>
                <a:srgbClr val="00B0F0"/>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c:formatCode>
                <c:ptCount val="7"/>
                <c:pt idx="0">
                  <c:v>0.31494134782359151</c:v>
                </c:pt>
                <c:pt idx="1">
                  <c:v>0.32164166503923608</c:v>
                </c:pt>
                <c:pt idx="2">
                  <c:v>0.30936737072535742</c:v>
                </c:pt>
                <c:pt idx="3">
                  <c:v>0.29136102172652106</c:v>
                </c:pt>
                <c:pt idx="4">
                  <c:v>0.2965616295382687</c:v>
                </c:pt>
                <c:pt idx="5">
                  <c:v>0.3591774888707196</c:v>
                </c:pt>
                <c:pt idx="6">
                  <c:v>0.3743101322723818</c:v>
                </c:pt>
              </c:numCache>
            </c:numRef>
          </c:val>
          <c:smooth val="0"/>
        </c:ser>
        <c:ser>
          <c:idx val="1"/>
          <c:order val="1"/>
          <c:tx>
            <c:strRef>
              <c:f>List1!$A$3</c:f>
              <c:strCache>
                <c:ptCount val="1"/>
                <c:pt idx="0">
                  <c:v>Ropa a ropné produkty</c:v>
                </c:pt>
              </c:strCache>
            </c:strRef>
          </c:tx>
          <c:spPr>
            <a:ln>
              <a:solidFill>
                <a:schemeClr val="accent6"/>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c:formatCode>
                <c:ptCount val="7"/>
                <c:pt idx="0">
                  <c:v>0.38763054701151922</c:v>
                </c:pt>
                <c:pt idx="1">
                  <c:v>0.34385745038515347</c:v>
                </c:pt>
                <c:pt idx="2">
                  <c:v>0.32233121034589646</c:v>
                </c:pt>
                <c:pt idx="3">
                  <c:v>0.29725439473305582</c:v>
                </c:pt>
                <c:pt idx="4">
                  <c:v>0.28692028072838804</c:v>
                </c:pt>
                <c:pt idx="5">
                  <c:v>0.24779852716972392</c:v>
                </c:pt>
                <c:pt idx="6">
                  <c:v>0.22654117451483335</c:v>
                </c:pt>
              </c:numCache>
            </c:numRef>
          </c:val>
          <c:smooth val="0"/>
        </c:ser>
        <c:ser>
          <c:idx val="2"/>
          <c:order val="2"/>
          <c:tx>
            <c:strRef>
              <c:f>List1!$A$4</c:f>
              <c:strCache>
                <c:ptCount val="1"/>
                <c:pt idx="0">
                  <c:v>Zemní plyn</c:v>
                </c:pt>
              </c:strCache>
            </c:strRef>
          </c:tx>
          <c:spPr>
            <a:ln>
              <a:solidFill>
                <a:srgbClr val="FFC000"/>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c:formatCode>
                <c:ptCount val="7"/>
                <c:pt idx="0">
                  <c:v>0.29545834847094066</c:v>
                </c:pt>
                <c:pt idx="1">
                  <c:v>0.31074446542091688</c:v>
                </c:pt>
                <c:pt idx="2">
                  <c:v>0.30567793176768016</c:v>
                </c:pt>
                <c:pt idx="3">
                  <c:v>0.29137486058625894</c:v>
                </c:pt>
                <c:pt idx="4">
                  <c:v>0.30715924225642183</c:v>
                </c:pt>
                <c:pt idx="5">
                  <c:v>0.28897805616854838</c:v>
                </c:pt>
                <c:pt idx="6">
                  <c:v>0.30269958281739523</c:v>
                </c:pt>
              </c:numCache>
            </c:numRef>
          </c:val>
          <c:smooth val="0"/>
        </c:ser>
        <c:ser>
          <c:idx val="3"/>
          <c:order val="3"/>
          <c:tx>
            <c:strRef>
              <c:f>List1!$A$5</c:f>
              <c:strCache>
                <c:ptCount val="1"/>
                <c:pt idx="0">
                  <c:v>Uhelné produkty</c:v>
                </c:pt>
              </c:strCache>
            </c:strRef>
          </c:tx>
          <c:spPr>
            <a:ln>
              <a:solidFill>
                <a:srgbClr val="917A6F"/>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c:formatCode>
                <c:ptCount val="7"/>
                <c:pt idx="0">
                  <c:v>1.9697566939486212E-3</c:v>
                </c:pt>
                <c:pt idx="1">
                  <c:v>2.3756419154693516E-2</c:v>
                </c:pt>
                <c:pt idx="2">
                  <c:v>6.2623487161065985E-2</c:v>
                </c:pt>
                <c:pt idx="3">
                  <c:v>0.12000972295416426</c:v>
                </c:pt>
                <c:pt idx="4">
                  <c:v>0.10935884747692143</c:v>
                </c:pt>
                <c:pt idx="5">
                  <c:v>0.10404592779100816</c:v>
                </c:pt>
                <c:pt idx="6">
                  <c:v>9.6449110395389712E-2</c:v>
                </c:pt>
              </c:numCache>
            </c:numRef>
          </c:val>
          <c:smooth val="0"/>
        </c:ser>
        <c:dLbls>
          <c:showLegendKey val="0"/>
          <c:showVal val="0"/>
          <c:showCatName val="0"/>
          <c:showSerName val="0"/>
          <c:showPercent val="0"/>
          <c:showBubbleSize val="0"/>
        </c:dLbls>
        <c:marker val="1"/>
        <c:smooth val="0"/>
        <c:axId val="171223296"/>
        <c:axId val="171274240"/>
      </c:lineChart>
      <c:catAx>
        <c:axId val="171223296"/>
        <c:scaling>
          <c:orientation val="minMax"/>
        </c:scaling>
        <c:delete val="0"/>
        <c:axPos val="b"/>
        <c:numFmt formatCode="General" sourceLinked="0"/>
        <c:majorTickMark val="out"/>
        <c:minorTickMark val="none"/>
        <c:tickLblPos val="nextTo"/>
        <c:crossAx val="171274240"/>
        <c:crosses val="autoZero"/>
        <c:auto val="1"/>
        <c:lblAlgn val="ctr"/>
        <c:lblOffset val="100"/>
        <c:noMultiLvlLbl val="0"/>
      </c:catAx>
      <c:valAx>
        <c:axId val="171274240"/>
        <c:scaling>
          <c:orientation val="minMax"/>
        </c:scaling>
        <c:delete val="0"/>
        <c:axPos val="l"/>
        <c:majorGridlines>
          <c:spPr>
            <a:ln>
              <a:solidFill>
                <a:schemeClr val="bg1">
                  <a:lumMod val="85000"/>
                </a:schemeClr>
              </a:solidFill>
              <a:prstDash val="sysDash"/>
            </a:ln>
          </c:spPr>
        </c:majorGridlines>
        <c:numFmt formatCode="0%" sourceLinked="1"/>
        <c:majorTickMark val="out"/>
        <c:minorTickMark val="none"/>
        <c:tickLblPos val="nextTo"/>
        <c:crossAx val="171223296"/>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Struktura čistého dovozu primárních paliv</a:t>
            </a:r>
          </a:p>
        </c:rich>
      </c:tx>
      <c:overlay val="0"/>
    </c:title>
    <c:autoTitleDeleted val="0"/>
    <c:plotArea>
      <c:layout/>
      <c:barChart>
        <c:barDir val="col"/>
        <c:grouping val="stacked"/>
        <c:varyColors val="0"/>
        <c:ser>
          <c:idx val="0"/>
          <c:order val="0"/>
          <c:tx>
            <c:strRef>
              <c:f>List1!$A$2</c:f>
              <c:strCache>
                <c:ptCount val="1"/>
                <c:pt idx="0">
                  <c:v>Černé uhlí</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-39.148200000000003</c:v>
                </c:pt>
                <c:pt idx="1">
                  <c:v>-4.7899800000000141</c:v>
                </c:pt>
                <c:pt idx="2">
                  <c:v>31.86143999999997</c:v>
                </c:pt>
                <c:pt idx="3">
                  <c:v>69.238259999999983</c:v>
                </c:pt>
                <c:pt idx="4">
                  <c:v>50.799059999999997</c:v>
                </c:pt>
                <c:pt idx="5">
                  <c:v>49.863059999999997</c:v>
                </c:pt>
                <c:pt idx="6">
                  <c:v>43.217460000000003</c:v>
                </c:pt>
              </c:numCache>
            </c:numRef>
          </c:val>
        </c:ser>
        <c:ser>
          <c:idx val="1"/>
          <c:order val="1"/>
          <c:tx>
            <c:strRef>
              <c:f>List1!$A$3</c:f>
              <c:strCache>
                <c:ptCount val="1"/>
                <c:pt idx="0">
                  <c:v>Hnědé uhlí</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-11.221360000000001</c:v>
                </c:pt>
                <c:pt idx="1">
                  <c:v>21.207772037914491</c:v>
                </c:pt>
                <c:pt idx="2">
                  <c:v>25.817928335713791</c:v>
                </c:pt>
                <c:pt idx="3">
                  <c:v>30.033575992160703</c:v>
                </c:pt>
                <c:pt idx="4">
                  <c:v>29.932282312591866</c:v>
                </c:pt>
                <c:pt idx="5">
                  <c:v>29.603077853993138</c:v>
                </c:pt>
                <c:pt idx="6">
                  <c:v>22.8735</c:v>
                </c:pt>
              </c:numCache>
            </c:numRef>
          </c:val>
        </c:ser>
        <c:ser>
          <c:idx val="2"/>
          <c:order val="2"/>
          <c:tx>
            <c:strRef>
              <c:f>List1!$A$4</c:f>
              <c:strCache>
                <c:ptCount val="1"/>
                <c:pt idx="0">
                  <c:v>Zemní plyn</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286.54000000000002</c:v>
                </c:pt>
                <c:pt idx="1">
                  <c:v>331.94270463086292</c:v>
                </c:pt>
                <c:pt idx="2">
                  <c:v>339.48579545692564</c:v>
                </c:pt>
                <c:pt idx="3">
                  <c:v>343.59960424435866</c:v>
                </c:pt>
                <c:pt idx="4">
                  <c:v>355.86121383001563</c:v>
                </c:pt>
                <c:pt idx="5">
                  <c:v>361.41660913688389</c:v>
                </c:pt>
                <c:pt idx="6">
                  <c:v>381.15144668198838</c:v>
                </c:pt>
              </c:numCache>
            </c:numRef>
          </c:val>
        </c:ser>
        <c:ser>
          <c:idx val="3"/>
          <c:order val="3"/>
          <c:tx>
            <c:strRef>
              <c:f>List1!$A$5</c:f>
              <c:strCache>
                <c:ptCount val="1"/>
                <c:pt idx="0">
                  <c:v>UVPK</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-73.814999999999998</c:v>
                </c:pt>
                <c:pt idx="1">
                  <c:v>-18.923999999999999</c:v>
                </c:pt>
                <c:pt idx="2">
                  <c:v>6.7259999999999991</c:v>
                </c:pt>
                <c:pt idx="3">
                  <c:v>37.10364705882354</c:v>
                </c:pt>
                <c:pt idx="4">
                  <c:v>41.797764705882358</c:v>
                </c:pt>
                <c:pt idx="5">
                  <c:v>46.491882352941197</c:v>
                </c:pt>
                <c:pt idx="6">
                  <c:v>51.186</c:v>
                </c:pt>
              </c:numCache>
            </c:numRef>
          </c:val>
        </c:ser>
        <c:ser>
          <c:idx val="4"/>
          <c:order val="4"/>
          <c:tx>
            <c:strRef>
              <c:f>List1!$A$6</c:f>
              <c:strCache>
                <c:ptCount val="1"/>
                <c:pt idx="0">
                  <c:v>Brikety</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1.6421999999999994</c:v>
                </c:pt>
                <c:pt idx="1">
                  <c:v>3.9</c:v>
                </c:pt>
                <c:pt idx="2">
                  <c:v>4.875</c:v>
                </c:pt>
                <c:pt idx="3">
                  <c:v>4.875</c:v>
                </c:pt>
                <c:pt idx="4">
                  <c:v>3.9</c:v>
                </c:pt>
                <c:pt idx="5">
                  <c:v>3.9</c:v>
                </c:pt>
                <c:pt idx="6">
                  <c:v>3.9</c:v>
                </c:pt>
              </c:numCache>
            </c:numRef>
          </c:val>
        </c:ser>
        <c:ser>
          <c:idx val="5"/>
          <c:order val="5"/>
          <c:tx>
            <c:strRef>
              <c:f>List1!$A$7</c:f>
              <c:strCache>
                <c:ptCount val="1"/>
                <c:pt idx="0">
                  <c:v>Ropa</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328.95</c:v>
                </c:pt>
                <c:pt idx="1">
                  <c:v>326.39999999999998</c:v>
                </c:pt>
                <c:pt idx="2">
                  <c:v>322.14999999999998</c:v>
                </c:pt>
                <c:pt idx="3">
                  <c:v>317.89999999999998</c:v>
                </c:pt>
                <c:pt idx="4">
                  <c:v>313.64999999999998</c:v>
                </c:pt>
                <c:pt idx="5">
                  <c:v>300.89999999999998</c:v>
                </c:pt>
                <c:pt idx="6">
                  <c:v>281.77499999999998</c:v>
                </c:pt>
              </c:numCache>
            </c:numRef>
          </c:val>
        </c:ser>
        <c:ser>
          <c:idx val="6"/>
          <c:order val="6"/>
          <c:tx>
            <c:strRef>
              <c:f>List1!$A$8</c:f>
              <c:strCache>
                <c:ptCount val="1"/>
                <c:pt idx="0">
                  <c:v>Ropné produkty</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#,##0.0</c:formatCode>
                <c:ptCount val="7"/>
                <c:pt idx="0">
                  <c:v>46.980000000000004</c:v>
                </c:pt>
                <c:pt idx="1">
                  <c:v>40.91457769879085</c:v>
                </c:pt>
                <c:pt idx="2">
                  <c:v>35.830920349972658</c:v>
                </c:pt>
                <c:pt idx="3">
                  <c:v>32.632960134828622</c:v>
                </c:pt>
                <c:pt idx="4">
                  <c:v>18.763241491249047</c:v>
                </c:pt>
                <c:pt idx="5">
                  <c:v>9.0145472366248569</c:v>
                </c:pt>
                <c:pt idx="6">
                  <c:v>3.4797585156548436</c:v>
                </c:pt>
              </c:numCache>
            </c:numRef>
          </c:val>
        </c:ser>
        <c:ser>
          <c:idx val="7"/>
          <c:order val="7"/>
          <c:tx>
            <c:strRef>
              <c:f>List1!$A$9</c:f>
              <c:strCache>
                <c:ptCount val="1"/>
                <c:pt idx="0">
                  <c:v>Koks</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List1!$B$9:$AF$9</c:f>
              <c:numCache>
                <c:formatCode>#,##0.0</c:formatCode>
                <c:ptCount val="7"/>
                <c:pt idx="0">
                  <c:v>0.26810000000000045</c:v>
                </c:pt>
                <c:pt idx="1">
                  <c:v>0.26925283000000277</c:v>
                </c:pt>
                <c:pt idx="2">
                  <c:v>0.26925283000000277</c:v>
                </c:pt>
                <c:pt idx="3">
                  <c:v>0.26925283000000277</c:v>
                </c:pt>
                <c:pt idx="4">
                  <c:v>0.26925283000000277</c:v>
                </c:pt>
                <c:pt idx="5">
                  <c:v>0.26925283000000277</c:v>
                </c:pt>
                <c:pt idx="6">
                  <c:v>0.26925283000000277</c:v>
                </c:pt>
              </c:numCache>
            </c:numRef>
          </c:val>
        </c:ser>
        <c:ser>
          <c:idx val="8"/>
          <c:order val="8"/>
          <c:tx>
            <c:strRef>
              <c:f>List1!$A$10</c:f>
              <c:strCache>
                <c:ptCount val="1"/>
                <c:pt idx="0">
                  <c:v>Jaderné palivo</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List1!$B$10:$AF$10</c:f>
              <c:numCache>
                <c:formatCode>#,##0.0</c:formatCode>
                <c:ptCount val="7"/>
                <c:pt idx="0">
                  <c:v>305.43490909090912</c:v>
                </c:pt>
                <c:pt idx="1">
                  <c:v>343.5832849684968</c:v>
                </c:pt>
                <c:pt idx="2">
                  <c:v>343.5832849684968</c:v>
                </c:pt>
                <c:pt idx="3">
                  <c:v>343.5832849684968</c:v>
                </c:pt>
                <c:pt idx="4">
                  <c:v>343.5832849684968</c:v>
                </c:pt>
                <c:pt idx="5">
                  <c:v>449.21303654365437</c:v>
                </c:pt>
                <c:pt idx="6">
                  <c:v>471.32158919891981</c:v>
                </c:pt>
              </c:numCache>
            </c:numRef>
          </c:val>
        </c:ser>
        <c:ser>
          <c:idx val="9"/>
          <c:order val="9"/>
          <c:tx>
            <c:strRef>
              <c:f>List1!$A$11</c:f>
              <c:strCache>
                <c:ptCount val="1"/>
                <c:pt idx="0">
                  <c:v>Saldo elektřiny</c:v>
                </c:pt>
              </c:strCache>
            </c:strRef>
          </c:tx>
          <c:spPr>
            <a:solidFill>
              <a:srgbClr val="FF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List1!$B$11:$AF$11</c:f>
              <c:numCache>
                <c:formatCode>#,##0.0</c:formatCode>
                <c:ptCount val="7"/>
                <c:pt idx="0">
                  <c:v>-53.814239999999998</c:v>
                </c:pt>
                <c:pt idx="1">
                  <c:v>-80.091897734453539</c:v>
                </c:pt>
                <c:pt idx="2">
                  <c:v>-58.876304035961255</c:v>
                </c:pt>
                <c:pt idx="3">
                  <c:v>-22.33024526194006</c:v>
                </c:pt>
                <c:pt idx="4">
                  <c:v>-11.896873516052322</c:v>
                </c:pt>
                <c:pt idx="5">
                  <c:v>-29.935412276686829</c:v>
                </c:pt>
                <c:pt idx="6">
                  <c:v>-13.340474780853373</c:v>
                </c:pt>
              </c:numCache>
            </c:numRef>
          </c:val>
        </c:ser>
        <c:dLbls>
          <c:showLegendKey val="0"/>
          <c:showVal val="0"/>
          <c:showCatName val="0"/>
          <c:showSerName val="0"/>
          <c:showPercent val="0"/>
          <c:showBubbleSize val="0"/>
        </c:dLbls>
        <c:gapWidth val="150"/>
        <c:overlap val="100"/>
        <c:axId val="174795776"/>
        <c:axId val="174801664"/>
      </c:barChart>
      <c:catAx>
        <c:axId val="174795776"/>
        <c:scaling>
          <c:orientation val="minMax"/>
        </c:scaling>
        <c:delete val="0"/>
        <c:axPos val="b"/>
        <c:numFmt formatCode="General" sourceLinked="0"/>
        <c:majorTickMark val="out"/>
        <c:minorTickMark val="none"/>
        <c:tickLblPos val="low"/>
        <c:crossAx val="174801664"/>
        <c:crosses val="autoZero"/>
        <c:auto val="1"/>
        <c:lblAlgn val="ctr"/>
        <c:lblOffset val="100"/>
        <c:noMultiLvlLbl val="0"/>
      </c:catAx>
      <c:valAx>
        <c:axId val="174801664"/>
        <c:scaling>
          <c:orientation val="minMax"/>
          <c:min val="-200"/>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0" sourceLinked="1"/>
        <c:majorTickMark val="out"/>
        <c:minorTickMark val="none"/>
        <c:tickLblPos val="nextTo"/>
        <c:crossAx val="174795776"/>
        <c:crosses val="autoZero"/>
        <c:crossBetween val="between"/>
      </c:valAx>
    </c:plotArea>
    <c:legend>
      <c:legendPos val="b"/>
      <c:layout>
        <c:manualLayout>
          <c:xMode val="edge"/>
          <c:yMode val="edge"/>
          <c:x val="9.9653142315543869E-2"/>
          <c:y val="0.86429361400389459"/>
          <c:w val="0.84165202490184599"/>
          <c:h val="0.1164259505345207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u="none" strike="noStrike" baseline="0">
                <a:effectLst/>
              </a:rPr>
              <a:t>Dovozní závislost</a:t>
            </a:r>
            <a:endParaRPr lang="cs-CZ" sz="1200"/>
          </a:p>
        </c:rich>
      </c:tx>
      <c:overlay val="0"/>
    </c:title>
    <c:autoTitleDeleted val="0"/>
    <c:plotArea>
      <c:layout/>
      <c:barChart>
        <c:barDir val="col"/>
        <c:grouping val="clustered"/>
        <c:varyColors val="0"/>
        <c:ser>
          <c:idx val="0"/>
          <c:order val="0"/>
          <c:tx>
            <c:strRef>
              <c:f>List1!$A$2</c:f>
              <c:strCache>
                <c:ptCount val="1"/>
                <c:pt idx="0">
                  <c:v>Dovozní závislost</c:v>
                </c:pt>
              </c:strCache>
            </c:strRef>
          </c:tx>
          <c:spPr>
            <a:pattFill prst="pct50">
              <a:fgClr>
                <a:schemeClr val="accent1"/>
              </a:fgClr>
              <a:bgClr>
                <a:schemeClr val="bg1"/>
              </a:bgClr>
            </a:pattFill>
            <a:ln>
              <a:solidFill>
                <a:schemeClr val="tx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c:formatCode>
                <c:ptCount val="7"/>
                <c:pt idx="0">
                  <c:v>0.26229855280882236</c:v>
                </c:pt>
                <c:pt idx="1">
                  <c:v>0.33516382141452411</c:v>
                </c:pt>
                <c:pt idx="2">
                  <c:v>0.38786661154617613</c:v>
                </c:pt>
                <c:pt idx="3">
                  <c:v>0.45921227353186062</c:v>
                </c:pt>
                <c:pt idx="4">
                  <c:v>0.45720264596185473</c:v>
                </c:pt>
                <c:pt idx="5">
                  <c:v>0.42943283201463739</c:v>
                </c:pt>
                <c:pt idx="6">
                  <c:v>0.44349985621305471</c:v>
                </c:pt>
              </c:numCache>
            </c:numRef>
          </c:val>
        </c:ser>
        <c:ser>
          <c:idx val="1"/>
          <c:order val="1"/>
          <c:tx>
            <c:strRef>
              <c:f>List1!$A$3</c:f>
              <c:strCache>
                <c:ptCount val="1"/>
                <c:pt idx="0">
                  <c:v>Dovozní závislost včetně primárního tepla z JE</c:v>
                </c:pt>
              </c:strCache>
            </c:strRef>
          </c:tx>
          <c:spPr>
            <a:pattFill prst="pct50">
              <a:fgClr>
                <a:srgbClr val="C00000"/>
              </a:fgClr>
              <a:bgClr>
                <a:schemeClr val="bg1"/>
              </a:bgClr>
            </a:pattFill>
            <a:ln>
              <a:solidFill>
                <a:schemeClr val="accent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c:formatCode>
                <c:ptCount val="7"/>
                <c:pt idx="0">
                  <c:v>0.4270152096550216</c:v>
                </c:pt>
                <c:pt idx="1">
                  <c:v>0.5206525672565645</c:v>
                </c:pt>
                <c:pt idx="2">
                  <c:v>0.57605606324542313</c:v>
                </c:pt>
                <c:pt idx="3">
                  <c:v>0.65320389157334069</c:v>
                </c:pt>
                <c:pt idx="4">
                  <c:v>0.65280953548265186</c:v>
                </c:pt>
                <c:pt idx="5">
                  <c:v>0.67946662514435385</c:v>
                </c:pt>
                <c:pt idx="6">
                  <c:v>0.71338731096754382</c:v>
                </c:pt>
              </c:numCache>
            </c:numRef>
          </c:val>
        </c:ser>
        <c:dLbls>
          <c:showLegendKey val="0"/>
          <c:showVal val="0"/>
          <c:showCatName val="0"/>
          <c:showSerName val="0"/>
          <c:showPercent val="0"/>
          <c:showBubbleSize val="0"/>
        </c:dLbls>
        <c:gapWidth val="150"/>
        <c:axId val="179165056"/>
        <c:axId val="179166592"/>
      </c:barChart>
      <c:catAx>
        <c:axId val="179165056"/>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166592"/>
        <c:crosses val="autoZero"/>
        <c:auto val="1"/>
        <c:lblAlgn val="ctr"/>
        <c:lblOffset val="100"/>
        <c:noMultiLvlLbl val="0"/>
      </c:catAx>
      <c:valAx>
        <c:axId val="179166592"/>
        <c:scaling>
          <c:orientation val="minMax"/>
        </c:scaling>
        <c:delete val="0"/>
        <c:axPos val="l"/>
        <c:majorGridlines>
          <c:spPr>
            <a:ln>
              <a:solidFill>
                <a:schemeClr val="bg1">
                  <a:lumMod val="85000"/>
                </a:schemeClr>
              </a:solidFill>
              <a:prstDash val="sysDash"/>
            </a:ln>
          </c:spPr>
        </c:majorGridlines>
        <c:numFmt formatCode="0%" sourceLinked="1"/>
        <c:majorTickMark val="out"/>
        <c:minorTickMark val="none"/>
        <c:tickLblPos val="nextTo"/>
        <c:spPr>
          <a:ln>
            <a:solidFill>
              <a:schemeClr val="bg1">
                <a:lumMod val="65000"/>
              </a:schemeClr>
            </a:solidFill>
          </a:ln>
        </c:spPr>
        <c:txPr>
          <a:bodyPr/>
          <a:lstStyle/>
          <a:p>
            <a:pPr>
              <a:defRPr sz="900" b="0"/>
            </a:pPr>
            <a:endParaRPr lang="cs-CZ"/>
          </a:p>
        </c:txPr>
        <c:crossAx val="179165056"/>
        <c:crosses val="autoZero"/>
        <c:crossBetween val="between"/>
      </c:valAx>
    </c:plotArea>
    <c:legend>
      <c:legendPos val="b"/>
      <c:overlay val="0"/>
      <c:txPr>
        <a:bodyPr/>
        <a:lstStyle/>
        <a:p>
          <a:pPr>
            <a:defRPr sz="1000" spc="-50" baseline="0"/>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Složení plných nákladů na výrobu 1 MWh</a:t>
            </a:r>
          </a:p>
        </c:rich>
      </c:tx>
      <c:overlay val="0"/>
    </c:title>
    <c:autoTitleDeleted val="0"/>
    <c:plotArea>
      <c:layout/>
      <c:barChart>
        <c:barDir val="col"/>
        <c:grouping val="stacked"/>
        <c:varyColors val="0"/>
        <c:ser>
          <c:idx val="4"/>
          <c:order val="0"/>
          <c:tx>
            <c:strRef>
              <c:f>Output!$B$15</c:f>
              <c:strCache>
                <c:ptCount val="1"/>
                <c:pt idx="0">
                  <c:v>Investiční náklady</c:v>
                </c:pt>
              </c:strCache>
            </c:strRef>
          </c:tx>
          <c:spPr>
            <a:pattFill prst="pct50">
              <a:fgClr>
                <a:schemeClr val="accent2"/>
              </a:fgClr>
              <a:bgClr>
                <a:schemeClr val="bg1"/>
              </a:bgClr>
            </a:pattFill>
            <a:ln>
              <a:solidFill>
                <a:schemeClr val="bg1">
                  <a:lumMod val="50000"/>
                </a:schemeClr>
              </a:solidFill>
            </a:ln>
          </c:spPr>
          <c:invertIfNegative val="0"/>
          <c:cat>
            <c:strRef>
              <c:f>Output!$D$8:$K$8</c:f>
              <c:strCache>
                <c:ptCount val="8"/>
                <c:pt idx="0">
                  <c:v>VTE (onshore)</c:v>
                </c:pt>
                <c:pt idx="1">
                  <c:v>FVE</c:v>
                </c:pt>
                <c:pt idx="2">
                  <c:v>JE (Gen III)</c:v>
                </c:pt>
                <c:pt idx="3">
                  <c:v>VTE (Offshore)</c:v>
                </c:pt>
                <c:pt idx="4">
                  <c:v>Uhlí</c:v>
                </c:pt>
                <c:pt idx="5">
                  <c:v>CCGT</c:v>
                </c:pt>
                <c:pt idx="6">
                  <c:v>CCGT CCS</c:v>
                </c:pt>
                <c:pt idx="7">
                  <c:v>Uhlí CCS</c:v>
                </c:pt>
              </c:strCache>
            </c:strRef>
          </c:cat>
          <c:val>
            <c:numRef>
              <c:f>Output!$D$15:$K$15</c:f>
              <c:numCache>
                <c:formatCode>#,##0.00</c:formatCode>
                <c:ptCount val="8"/>
                <c:pt idx="0">
                  <c:v>1550.1984763346491</c:v>
                </c:pt>
                <c:pt idx="1">
                  <c:v>1654.8602934123835</c:v>
                </c:pt>
                <c:pt idx="2">
                  <c:v>1028.3842331658693</c:v>
                </c:pt>
                <c:pt idx="3">
                  <c:v>3413.0284502401105</c:v>
                </c:pt>
                <c:pt idx="4">
                  <c:v>461.38332585725732</c:v>
                </c:pt>
                <c:pt idx="5">
                  <c:v>289.93657833057807</c:v>
                </c:pt>
                <c:pt idx="6">
                  <c:v>485.11339691408915</c:v>
                </c:pt>
                <c:pt idx="7">
                  <c:v>649.15560963637358</c:v>
                </c:pt>
              </c:numCache>
            </c:numRef>
          </c:val>
        </c:ser>
        <c:ser>
          <c:idx val="0"/>
          <c:order val="1"/>
          <c:tx>
            <c:strRef>
              <c:f>Output!$B$9</c:f>
              <c:strCache>
                <c:ptCount val="1"/>
                <c:pt idx="0">
                  <c:v>Palivové náklady (Upstream)</c:v>
                </c:pt>
              </c:strCache>
            </c:strRef>
          </c:tx>
          <c:spPr>
            <a:pattFill prst="pct50">
              <a:fgClr>
                <a:schemeClr val="accent6"/>
              </a:fgClr>
              <a:bgClr>
                <a:schemeClr val="bg1"/>
              </a:bgClr>
            </a:pattFill>
            <a:ln>
              <a:solidFill>
                <a:schemeClr val="bg1">
                  <a:lumMod val="50000"/>
                </a:schemeClr>
              </a:solidFill>
            </a:ln>
          </c:spPr>
          <c:invertIfNegative val="0"/>
          <c:cat>
            <c:strRef>
              <c:f>Output!$D$8:$K$8</c:f>
              <c:strCache>
                <c:ptCount val="8"/>
                <c:pt idx="0">
                  <c:v>VTE (onshore)</c:v>
                </c:pt>
                <c:pt idx="1">
                  <c:v>FVE</c:v>
                </c:pt>
                <c:pt idx="2">
                  <c:v>JE (Gen III)</c:v>
                </c:pt>
                <c:pt idx="3">
                  <c:v>VTE (Offshore)</c:v>
                </c:pt>
                <c:pt idx="4">
                  <c:v>Uhlí</c:v>
                </c:pt>
                <c:pt idx="5">
                  <c:v>CCGT</c:v>
                </c:pt>
                <c:pt idx="6">
                  <c:v>CCGT CCS</c:v>
                </c:pt>
                <c:pt idx="7">
                  <c:v>Uhlí CCS</c:v>
                </c:pt>
              </c:strCache>
            </c:strRef>
          </c:cat>
          <c:val>
            <c:numRef>
              <c:f>Output!$D$9:$K$9</c:f>
              <c:numCache>
                <c:formatCode>#,##0.00</c:formatCode>
                <c:ptCount val="8"/>
                <c:pt idx="0">
                  <c:v>0</c:v>
                </c:pt>
                <c:pt idx="1">
                  <c:v>0</c:v>
                </c:pt>
                <c:pt idx="2">
                  <c:v>185.70154068034552</c:v>
                </c:pt>
                <c:pt idx="3">
                  <c:v>0</c:v>
                </c:pt>
                <c:pt idx="4">
                  <c:v>659.80742364779735</c:v>
                </c:pt>
                <c:pt idx="5">
                  <c:v>1690</c:v>
                </c:pt>
                <c:pt idx="6">
                  <c:v>1960.3999999999999</c:v>
                </c:pt>
                <c:pt idx="7">
                  <c:v>864.34772497861468</c:v>
                </c:pt>
              </c:numCache>
            </c:numRef>
          </c:val>
        </c:ser>
        <c:ser>
          <c:idx val="1"/>
          <c:order val="2"/>
          <c:tx>
            <c:strRef>
              <c:f>Output!$B$10</c:f>
              <c:strCache>
                <c:ptCount val="1"/>
                <c:pt idx="0">
                  <c:v>Palivové náklady (Downstream)</c:v>
                </c:pt>
              </c:strCache>
            </c:strRef>
          </c:tx>
          <c:spPr>
            <a:pattFill prst="pct50">
              <a:fgClr>
                <a:srgbClr val="FFC000"/>
              </a:fgClr>
              <a:bgClr>
                <a:schemeClr val="bg1"/>
              </a:bgClr>
            </a:pattFill>
            <a:ln>
              <a:solidFill>
                <a:schemeClr val="bg1">
                  <a:lumMod val="50000"/>
                </a:schemeClr>
              </a:solidFill>
            </a:ln>
          </c:spPr>
          <c:invertIfNegative val="0"/>
          <c:cat>
            <c:strRef>
              <c:f>Output!$D$8:$K$8</c:f>
              <c:strCache>
                <c:ptCount val="8"/>
                <c:pt idx="0">
                  <c:v>VTE (onshore)</c:v>
                </c:pt>
                <c:pt idx="1">
                  <c:v>FVE</c:v>
                </c:pt>
                <c:pt idx="2">
                  <c:v>JE (Gen III)</c:v>
                </c:pt>
                <c:pt idx="3">
                  <c:v>VTE (Offshore)</c:v>
                </c:pt>
                <c:pt idx="4">
                  <c:v>Uhlí</c:v>
                </c:pt>
                <c:pt idx="5">
                  <c:v>CCGT</c:v>
                </c:pt>
                <c:pt idx="6">
                  <c:v>CCGT CCS</c:v>
                </c:pt>
                <c:pt idx="7">
                  <c:v>Uhlí CCS</c:v>
                </c:pt>
              </c:strCache>
            </c:strRef>
          </c:cat>
          <c:val>
            <c:numRef>
              <c:f>Output!$D$10:$K$10</c:f>
              <c:numCache>
                <c:formatCode>#,##0.00</c:formatCode>
                <c:ptCount val="8"/>
                <c:pt idx="0">
                  <c:v>0</c:v>
                </c:pt>
                <c:pt idx="1">
                  <c:v>0</c:v>
                </c:pt>
                <c:pt idx="2">
                  <c:v>46.425385170086379</c:v>
                </c:pt>
                <c:pt idx="3">
                  <c:v>0</c:v>
                </c:pt>
                <c:pt idx="4">
                  <c:v>0</c:v>
                </c:pt>
                <c:pt idx="5">
                  <c:v>0</c:v>
                </c:pt>
                <c:pt idx="6">
                  <c:v>0</c:v>
                </c:pt>
                <c:pt idx="7">
                  <c:v>0</c:v>
                </c:pt>
              </c:numCache>
            </c:numRef>
          </c:val>
        </c:ser>
        <c:ser>
          <c:idx val="6"/>
          <c:order val="3"/>
          <c:tx>
            <c:strRef>
              <c:f>Output!$B$11</c:f>
              <c:strCache>
                <c:ptCount val="1"/>
                <c:pt idx="0">
                  <c:v>Náklady na CO2</c:v>
                </c:pt>
              </c:strCache>
            </c:strRef>
          </c:tx>
          <c:spPr>
            <a:pattFill prst="pct50">
              <a:fgClr>
                <a:schemeClr val="tx1">
                  <a:lumMod val="65000"/>
                  <a:lumOff val="35000"/>
                </a:schemeClr>
              </a:fgClr>
              <a:bgClr>
                <a:schemeClr val="bg1"/>
              </a:bgClr>
            </a:pattFill>
            <a:ln>
              <a:solidFill>
                <a:schemeClr val="bg1">
                  <a:lumMod val="50000"/>
                </a:schemeClr>
              </a:solidFill>
            </a:ln>
          </c:spPr>
          <c:invertIfNegative val="0"/>
          <c:val>
            <c:numRef>
              <c:f>Output!$D$11:$K$11</c:f>
              <c:numCache>
                <c:formatCode>#,##0.00</c:formatCode>
                <c:ptCount val="8"/>
                <c:pt idx="0">
                  <c:v>0</c:v>
                </c:pt>
                <c:pt idx="1">
                  <c:v>0</c:v>
                </c:pt>
                <c:pt idx="2">
                  <c:v>0</c:v>
                </c:pt>
                <c:pt idx="3">
                  <c:v>0</c:v>
                </c:pt>
                <c:pt idx="4">
                  <c:v>466.72500000000002</c:v>
                </c:pt>
                <c:pt idx="5">
                  <c:v>224.78749999999999</c:v>
                </c:pt>
                <c:pt idx="6">
                  <c:v>31.85</c:v>
                </c:pt>
                <c:pt idx="7">
                  <c:v>68.599999999999994</c:v>
                </c:pt>
              </c:numCache>
            </c:numRef>
          </c:val>
        </c:ser>
        <c:ser>
          <c:idx val="2"/>
          <c:order val="4"/>
          <c:tx>
            <c:strRef>
              <c:f>Output!$B$12</c:f>
              <c:strCache>
                <c:ptCount val="1"/>
                <c:pt idx="0">
                  <c:v>Proměnné náklady</c:v>
                </c:pt>
              </c:strCache>
            </c:strRef>
          </c:tx>
          <c:spPr>
            <a:pattFill prst="pct50">
              <a:fgClr>
                <a:schemeClr val="accent5"/>
              </a:fgClr>
              <a:bgClr>
                <a:schemeClr val="bg1"/>
              </a:bgClr>
            </a:pattFill>
            <a:ln>
              <a:solidFill>
                <a:schemeClr val="bg1">
                  <a:lumMod val="50000"/>
                </a:schemeClr>
              </a:solidFill>
            </a:ln>
          </c:spPr>
          <c:invertIfNegative val="0"/>
          <c:cat>
            <c:strRef>
              <c:f>Output!$D$8:$K$8</c:f>
              <c:strCache>
                <c:ptCount val="8"/>
                <c:pt idx="0">
                  <c:v>VTE (onshore)</c:v>
                </c:pt>
                <c:pt idx="1">
                  <c:v>FVE</c:v>
                </c:pt>
                <c:pt idx="2">
                  <c:v>JE (Gen III)</c:v>
                </c:pt>
                <c:pt idx="3">
                  <c:v>VTE (Offshore)</c:v>
                </c:pt>
                <c:pt idx="4">
                  <c:v>Uhlí</c:v>
                </c:pt>
                <c:pt idx="5">
                  <c:v>CCGT</c:v>
                </c:pt>
                <c:pt idx="6">
                  <c:v>CCGT CCS</c:v>
                </c:pt>
                <c:pt idx="7">
                  <c:v>Uhlí CCS</c:v>
                </c:pt>
              </c:strCache>
            </c:strRef>
          </c:cat>
          <c:val>
            <c:numRef>
              <c:f>Output!$D$12:$K$12</c:f>
              <c:numCache>
                <c:formatCode>#,##0.00</c:formatCode>
                <c:ptCount val="8"/>
                <c:pt idx="0">
                  <c:v>0</c:v>
                </c:pt>
                <c:pt idx="1">
                  <c:v>0</c:v>
                </c:pt>
                <c:pt idx="2">
                  <c:v>94</c:v>
                </c:pt>
                <c:pt idx="3">
                  <c:v>0</c:v>
                </c:pt>
                <c:pt idx="4">
                  <c:v>179</c:v>
                </c:pt>
                <c:pt idx="5">
                  <c:v>99</c:v>
                </c:pt>
                <c:pt idx="6">
                  <c:v>99</c:v>
                </c:pt>
                <c:pt idx="7">
                  <c:v>179</c:v>
                </c:pt>
              </c:numCache>
            </c:numRef>
          </c:val>
        </c:ser>
        <c:ser>
          <c:idx val="3"/>
          <c:order val="5"/>
          <c:tx>
            <c:strRef>
              <c:f>Output!$B$13</c:f>
              <c:strCache>
                <c:ptCount val="1"/>
                <c:pt idx="0">
                  <c:v>Stálé náklady</c:v>
                </c:pt>
              </c:strCache>
            </c:strRef>
          </c:tx>
          <c:spPr>
            <a:pattFill prst="pct50">
              <a:fgClr>
                <a:schemeClr val="accent3"/>
              </a:fgClr>
              <a:bgClr>
                <a:schemeClr val="bg1"/>
              </a:bgClr>
            </a:pattFill>
            <a:ln>
              <a:solidFill>
                <a:schemeClr val="bg1">
                  <a:lumMod val="50000"/>
                </a:schemeClr>
              </a:solidFill>
            </a:ln>
          </c:spPr>
          <c:invertIfNegative val="0"/>
          <c:cat>
            <c:strRef>
              <c:f>Output!$D$8:$K$8</c:f>
              <c:strCache>
                <c:ptCount val="8"/>
                <c:pt idx="0">
                  <c:v>VTE (onshore)</c:v>
                </c:pt>
                <c:pt idx="1">
                  <c:v>FVE</c:v>
                </c:pt>
                <c:pt idx="2">
                  <c:v>JE (Gen III)</c:v>
                </c:pt>
                <c:pt idx="3">
                  <c:v>VTE (Offshore)</c:v>
                </c:pt>
                <c:pt idx="4">
                  <c:v>Uhlí</c:v>
                </c:pt>
                <c:pt idx="5">
                  <c:v>CCGT</c:v>
                </c:pt>
                <c:pt idx="6">
                  <c:v>CCGT CCS</c:v>
                </c:pt>
                <c:pt idx="7">
                  <c:v>Uhlí CCS</c:v>
                </c:pt>
              </c:strCache>
            </c:strRef>
          </c:cat>
          <c:val>
            <c:numRef>
              <c:f>Output!$D$13:$K$13</c:f>
              <c:numCache>
                <c:formatCode>#,##0.00</c:formatCode>
                <c:ptCount val="8"/>
                <c:pt idx="0">
                  <c:v>615.82252440019693</c:v>
                </c:pt>
                <c:pt idx="1">
                  <c:v>1036.6666666666667</c:v>
                </c:pt>
                <c:pt idx="2">
                  <c:v>250.94594594594594</c:v>
                </c:pt>
                <c:pt idx="3">
                  <c:v>923.73378660029539</c:v>
                </c:pt>
                <c:pt idx="4">
                  <c:v>141.83333333333334</c:v>
                </c:pt>
                <c:pt idx="5">
                  <c:v>89.8</c:v>
                </c:pt>
                <c:pt idx="6">
                  <c:v>89.8</c:v>
                </c:pt>
                <c:pt idx="7">
                  <c:v>141.83333333333334</c:v>
                </c:pt>
              </c:numCache>
            </c:numRef>
          </c:val>
        </c:ser>
        <c:ser>
          <c:idx val="5"/>
          <c:order val="6"/>
          <c:tx>
            <c:strRef>
              <c:f>Output!$B$18</c:f>
              <c:strCache>
                <c:ptCount val="1"/>
                <c:pt idx="0">
                  <c:v>Decommissioning</c:v>
                </c:pt>
              </c:strCache>
            </c:strRef>
          </c:tx>
          <c:spPr>
            <a:pattFill prst="pct50">
              <a:fgClr>
                <a:srgbClr val="FF0000"/>
              </a:fgClr>
              <a:bgClr>
                <a:schemeClr val="bg1"/>
              </a:bgClr>
            </a:pattFill>
            <a:ln>
              <a:solidFill>
                <a:schemeClr val="bg1">
                  <a:lumMod val="50000"/>
                </a:schemeClr>
              </a:solidFill>
            </a:ln>
          </c:spPr>
          <c:invertIfNegative val="0"/>
          <c:cat>
            <c:strRef>
              <c:f>Output!$D$8:$K$8</c:f>
              <c:strCache>
                <c:ptCount val="8"/>
                <c:pt idx="0">
                  <c:v>VTE (onshore)</c:v>
                </c:pt>
                <c:pt idx="1">
                  <c:v>FVE</c:v>
                </c:pt>
                <c:pt idx="2">
                  <c:v>JE (Gen III)</c:v>
                </c:pt>
                <c:pt idx="3">
                  <c:v>VTE (Offshore)</c:v>
                </c:pt>
                <c:pt idx="4">
                  <c:v>Uhlí</c:v>
                </c:pt>
                <c:pt idx="5">
                  <c:v>CCGT</c:v>
                </c:pt>
                <c:pt idx="6">
                  <c:v>CCGT CCS</c:v>
                </c:pt>
                <c:pt idx="7">
                  <c:v>Uhlí CCS</c:v>
                </c:pt>
              </c:strCache>
            </c:strRef>
          </c:cat>
          <c:val>
            <c:numRef>
              <c:f>Output!$D$18:$K$18</c:f>
              <c:numCache>
                <c:formatCode>#,##0.00</c:formatCode>
                <c:ptCount val="8"/>
                <c:pt idx="0">
                  <c:v>8.6915509229134589</c:v>
                </c:pt>
                <c:pt idx="1">
                  <c:v>2.0451348003952514</c:v>
                </c:pt>
                <c:pt idx="2">
                  <c:v>222.60296827275042</c:v>
                </c:pt>
                <c:pt idx="3">
                  <c:v>50.615293286892928</c:v>
                </c:pt>
                <c:pt idx="4">
                  <c:v>3.6974994392942997</c:v>
                </c:pt>
                <c:pt idx="5">
                  <c:v>2.1674631332231229</c:v>
                </c:pt>
                <c:pt idx="6">
                  <c:v>3.6265358765635658</c:v>
                </c:pt>
                <c:pt idx="7">
                  <c:v>5.2022957227280262</c:v>
                </c:pt>
              </c:numCache>
            </c:numRef>
          </c:val>
        </c:ser>
        <c:ser>
          <c:idx val="7"/>
          <c:order val="7"/>
          <c:tx>
            <c:strRef>
              <c:f>Output!$B$16</c:f>
              <c:strCache>
                <c:ptCount val="1"/>
                <c:pt idx="0">
                  <c:v>Akumulace</c:v>
                </c:pt>
              </c:strCache>
            </c:strRef>
          </c:tx>
          <c:spPr>
            <a:pattFill prst="pct50">
              <a:fgClr>
                <a:srgbClr val="FFFF00"/>
              </a:fgClr>
              <a:bgClr>
                <a:schemeClr val="bg1"/>
              </a:bgClr>
            </a:pattFill>
            <a:ln>
              <a:solidFill>
                <a:schemeClr val="bg1">
                  <a:lumMod val="50000"/>
                </a:schemeClr>
              </a:solidFill>
            </a:ln>
          </c:spPr>
          <c:invertIfNegative val="0"/>
          <c:val>
            <c:numRef>
              <c:f>Output!$D$16:$K$16</c:f>
              <c:numCache>
                <c:formatCode>#,##0.00</c:formatCode>
                <c:ptCount val="8"/>
                <c:pt idx="0">
                  <c:v>860.66467113574811</c:v>
                </c:pt>
                <c:pt idx="1">
                  <c:v>1825.2334599767423</c:v>
                </c:pt>
                <c:pt idx="3">
                  <c:v>1108.0152127582965</c:v>
                </c:pt>
                <c:pt idx="4">
                  <c:v>0</c:v>
                </c:pt>
                <c:pt idx="5">
                  <c:v>0</c:v>
                </c:pt>
                <c:pt idx="6">
                  <c:v>0</c:v>
                </c:pt>
                <c:pt idx="7">
                  <c:v>0</c:v>
                </c:pt>
              </c:numCache>
            </c:numRef>
          </c:val>
        </c:ser>
        <c:dLbls>
          <c:showLegendKey val="0"/>
          <c:showVal val="0"/>
          <c:showCatName val="0"/>
          <c:showSerName val="0"/>
          <c:showPercent val="0"/>
          <c:showBubbleSize val="0"/>
        </c:dLbls>
        <c:gapWidth val="150"/>
        <c:overlap val="100"/>
        <c:axId val="133955584"/>
        <c:axId val="133957120"/>
      </c:barChart>
      <c:catAx>
        <c:axId val="133955584"/>
        <c:scaling>
          <c:orientation val="minMax"/>
        </c:scaling>
        <c:delete val="0"/>
        <c:axPos val="b"/>
        <c:majorTickMark val="out"/>
        <c:minorTickMark val="none"/>
        <c:tickLblPos val="nextTo"/>
        <c:crossAx val="133957120"/>
        <c:crosses val="autoZero"/>
        <c:auto val="1"/>
        <c:lblAlgn val="ctr"/>
        <c:lblOffset val="100"/>
        <c:noMultiLvlLbl val="0"/>
      </c:catAx>
      <c:valAx>
        <c:axId val="133957120"/>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Kč/MWh</a:t>
                </a:r>
              </a:p>
            </c:rich>
          </c:tx>
          <c:overlay val="0"/>
        </c:title>
        <c:numFmt formatCode="#,##0" sourceLinked="0"/>
        <c:majorTickMark val="out"/>
        <c:minorTickMark val="none"/>
        <c:tickLblPos val="nextTo"/>
        <c:crossAx val="133955584"/>
        <c:crosses val="autoZero"/>
        <c:crossBetween val="between"/>
      </c:valAx>
      <c:spPr>
        <a:noFill/>
      </c:spPr>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Soběstačnost v dodávkách elektřiny</a:t>
            </a:r>
          </a:p>
        </c:rich>
      </c:tx>
      <c:overlay val="0"/>
    </c:title>
    <c:autoTitleDeleted val="0"/>
    <c:plotArea>
      <c:layout/>
      <c:barChart>
        <c:barDir val="col"/>
        <c:grouping val="clustered"/>
        <c:varyColors val="0"/>
        <c:ser>
          <c:idx val="0"/>
          <c:order val="0"/>
          <c:tx>
            <c:strRef>
              <c:f>List1!$A$2</c:f>
              <c:strCache>
                <c:ptCount val="1"/>
                <c:pt idx="0">
                  <c:v>Výroba elektřiny brutto</c:v>
                </c:pt>
              </c:strCache>
            </c:strRef>
          </c:tx>
          <c:spPr>
            <a:pattFill prst="pct50">
              <a:fgClr>
                <a:srgbClr val="4F81BD"/>
              </a:fgClr>
              <a:bgClr>
                <a:sysClr val="window" lastClr="FFFFFF"/>
              </a:bgClr>
            </a:pattFill>
            <a:ln>
              <a:solidFill>
                <a:srgbClr val="1F497D"/>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c:formatCode>
                <c:ptCount val="7"/>
                <c:pt idx="0">
                  <c:v>85910</c:v>
                </c:pt>
                <c:pt idx="1">
                  <c:v>93443.173640670779</c:v>
                </c:pt>
                <c:pt idx="2">
                  <c:v>90155.990764629634</c:v>
                </c:pt>
                <c:pt idx="3">
                  <c:v>83826.436388733549</c:v>
                </c:pt>
                <c:pt idx="4">
                  <c:v>84012.689203749658</c:v>
                </c:pt>
                <c:pt idx="5">
                  <c:v>91631.1611228041</c:v>
                </c:pt>
                <c:pt idx="6">
                  <c:v>88541.656415646517</c:v>
                </c:pt>
              </c:numCache>
            </c:numRef>
          </c:val>
        </c:ser>
        <c:ser>
          <c:idx val="1"/>
          <c:order val="1"/>
          <c:tx>
            <c:strRef>
              <c:f>List1!$A$3</c:f>
              <c:strCache>
                <c:ptCount val="1"/>
                <c:pt idx="0">
                  <c:v>Spotřeba elektřiny brutto</c:v>
                </c:pt>
              </c:strCache>
            </c:strRef>
          </c:tx>
          <c:spPr>
            <a:pattFill prst="pct50">
              <a:fgClr>
                <a:srgbClr val="C00000"/>
              </a:fgClr>
              <a:bgClr>
                <a:sysClr val="window" lastClr="FFFFFF"/>
              </a:bgClr>
            </a:pattFill>
            <a:ln>
              <a:solidFill>
                <a:srgbClr val="C0504D"/>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c:formatCode>
                <c:ptCount val="7"/>
                <c:pt idx="0">
                  <c:v>70963.475873928444</c:v>
                </c:pt>
                <c:pt idx="1">
                  <c:v>71195.424269989249</c:v>
                </c:pt>
                <c:pt idx="2">
                  <c:v>73801.461865751524</c:v>
                </c:pt>
                <c:pt idx="3">
                  <c:v>77623.590482639091</c:v>
                </c:pt>
                <c:pt idx="4">
                  <c:v>80708.002115957352</c:v>
                </c:pt>
                <c:pt idx="5">
                  <c:v>83315.768823724415</c:v>
                </c:pt>
                <c:pt idx="6">
                  <c:v>84835.968976520599</c:v>
                </c:pt>
              </c:numCache>
            </c:numRef>
          </c:val>
        </c:ser>
        <c:dLbls>
          <c:showLegendKey val="0"/>
          <c:showVal val="0"/>
          <c:showCatName val="0"/>
          <c:showSerName val="0"/>
          <c:showPercent val="0"/>
          <c:showBubbleSize val="0"/>
        </c:dLbls>
        <c:gapWidth val="150"/>
        <c:axId val="177823744"/>
        <c:axId val="177813376"/>
      </c:barChart>
      <c:lineChart>
        <c:grouping val="standard"/>
        <c:varyColors val="0"/>
        <c:ser>
          <c:idx val="2"/>
          <c:order val="2"/>
          <c:tx>
            <c:strRef>
              <c:f>List1!$A$4</c:f>
              <c:strCache>
                <c:ptCount val="1"/>
                <c:pt idx="0">
                  <c:v>Soběstačnost v dodávkách</c:v>
                </c:pt>
              </c:strCache>
            </c:strRef>
          </c:tx>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c:formatCode>
                <c:ptCount val="7"/>
                <c:pt idx="0">
                  <c:v>1.2106227737861248</c:v>
                </c:pt>
                <c:pt idx="1">
                  <c:v>1.3124884723814974</c:v>
                </c:pt>
                <c:pt idx="2">
                  <c:v>1.2216016930481377</c:v>
                </c:pt>
                <c:pt idx="3">
                  <c:v>1.079909288755224</c:v>
                </c:pt>
                <c:pt idx="4">
                  <c:v>1.0409462135247047</c:v>
                </c:pt>
                <c:pt idx="5">
                  <c:v>1.0998057440563622</c:v>
                </c:pt>
                <c:pt idx="6">
                  <c:v>1.0436806166515469</c:v>
                </c:pt>
              </c:numCache>
            </c:numRef>
          </c:val>
          <c:smooth val="0"/>
        </c:ser>
        <c:dLbls>
          <c:showLegendKey val="0"/>
          <c:showVal val="0"/>
          <c:showCatName val="0"/>
          <c:showSerName val="0"/>
          <c:showPercent val="0"/>
          <c:showBubbleSize val="0"/>
        </c:dLbls>
        <c:marker val="1"/>
        <c:smooth val="0"/>
        <c:axId val="177805568"/>
        <c:axId val="177811456"/>
      </c:lineChart>
      <c:catAx>
        <c:axId val="177805568"/>
        <c:scaling>
          <c:orientation val="minMax"/>
        </c:scaling>
        <c:delete val="0"/>
        <c:axPos val="b"/>
        <c:numFmt formatCode="General" sourceLinked="0"/>
        <c:majorTickMark val="out"/>
        <c:minorTickMark val="none"/>
        <c:tickLblPos val="nextTo"/>
        <c:crossAx val="177811456"/>
        <c:crosses val="autoZero"/>
        <c:auto val="1"/>
        <c:lblAlgn val="ctr"/>
        <c:lblOffset val="100"/>
        <c:tickMarkSkip val="1"/>
        <c:noMultiLvlLbl val="0"/>
      </c:catAx>
      <c:valAx>
        <c:axId val="177811456"/>
        <c:scaling>
          <c:orientation val="minMax"/>
          <c:max val="1.4"/>
        </c:scaling>
        <c:delete val="0"/>
        <c:axPos val="l"/>
        <c:majorGridlines>
          <c:spPr>
            <a:ln>
              <a:solidFill>
                <a:sysClr val="window" lastClr="FFFFFF">
                  <a:lumMod val="85000"/>
                </a:sysClr>
              </a:solidFill>
            </a:ln>
          </c:spPr>
        </c:majorGridlines>
        <c:title>
          <c:tx>
            <c:rich>
              <a:bodyPr rot="-5400000" vert="horz"/>
              <a:lstStyle/>
              <a:p>
                <a:pPr>
                  <a:defRPr/>
                </a:pPr>
                <a:r>
                  <a:rPr lang="cs-CZ"/>
                  <a:t>Soběstačnost v dodávkách elektřiny </a:t>
                </a:r>
                <a:r>
                  <a:rPr lang="en-US"/>
                  <a:t>[</a:t>
                </a:r>
                <a:r>
                  <a:rPr lang="cs-CZ"/>
                  <a:t>%</a:t>
                </a:r>
                <a:r>
                  <a:rPr lang="en-US"/>
                  <a:t>]</a:t>
                </a:r>
                <a:endParaRPr lang="cs-CZ"/>
              </a:p>
            </c:rich>
          </c:tx>
          <c:overlay val="0"/>
        </c:title>
        <c:numFmt formatCode="0%" sourceLinked="0"/>
        <c:majorTickMark val="out"/>
        <c:minorTickMark val="none"/>
        <c:tickLblPos val="nextTo"/>
        <c:crossAx val="177805568"/>
        <c:crosses val="autoZero"/>
        <c:crossBetween val="between"/>
        <c:majorUnit val="0.2"/>
      </c:valAx>
      <c:valAx>
        <c:axId val="177813376"/>
        <c:scaling>
          <c:orientation val="minMax"/>
          <c:max val="100000"/>
        </c:scaling>
        <c:delete val="0"/>
        <c:axPos val="r"/>
        <c:title>
          <c:tx>
            <c:rich>
              <a:bodyPr rot="-5400000" vert="horz"/>
              <a:lstStyle/>
              <a:p>
                <a:pPr>
                  <a:defRPr/>
                </a:pPr>
                <a:r>
                  <a:rPr lang="cs-CZ" baseline="0"/>
                  <a:t>Množství elektřiny </a:t>
                </a:r>
                <a:r>
                  <a:rPr lang="en-US" baseline="0"/>
                  <a:t>[</a:t>
                </a:r>
                <a:r>
                  <a:rPr lang="cs-CZ" baseline="0"/>
                  <a:t>GWh</a:t>
                </a:r>
                <a:r>
                  <a:rPr lang="en-US" baseline="0"/>
                  <a:t>]</a:t>
                </a:r>
                <a:endParaRPr lang="cs-CZ"/>
              </a:p>
            </c:rich>
          </c:tx>
          <c:overlay val="0"/>
        </c:title>
        <c:numFmt formatCode="#,##0" sourceLinked="1"/>
        <c:majorTickMark val="out"/>
        <c:minorTickMark val="none"/>
        <c:tickLblPos val="nextTo"/>
        <c:crossAx val="177823744"/>
        <c:crosses val="max"/>
        <c:crossBetween val="between"/>
        <c:majorUnit val="10000"/>
      </c:valAx>
      <c:catAx>
        <c:axId val="177823744"/>
        <c:scaling>
          <c:orientation val="minMax"/>
        </c:scaling>
        <c:delete val="1"/>
        <c:axPos val="b"/>
        <c:numFmt formatCode="General" sourceLinked="1"/>
        <c:majorTickMark val="out"/>
        <c:minorTickMark val="none"/>
        <c:tickLblPos val="nextTo"/>
        <c:crossAx val="17781337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u="none" strike="noStrike" baseline="0">
                <a:effectLst/>
              </a:rPr>
              <a:t>Vývoj očekávané výkonové rezervy</a:t>
            </a:r>
            <a:endParaRPr lang="en-US" sz="1200"/>
          </a:p>
        </c:rich>
      </c:tx>
      <c:overlay val="0"/>
    </c:title>
    <c:autoTitleDeleted val="0"/>
    <c:plotArea>
      <c:layout/>
      <c:barChart>
        <c:barDir val="col"/>
        <c:grouping val="clustered"/>
        <c:varyColors val="0"/>
        <c:ser>
          <c:idx val="0"/>
          <c:order val="0"/>
          <c:tx>
            <c:v>Leden 19:00</c:v>
          </c:tx>
          <c:spPr>
            <a:pattFill prst="pct50">
              <a:fgClr>
                <a:schemeClr val="accent1"/>
              </a:fgClr>
              <a:bgClr>
                <a:schemeClr val="bg1"/>
              </a:bgClr>
            </a:pattFill>
            <a:ln>
              <a:solidFill>
                <a:schemeClr val="tx2"/>
              </a:solidFill>
            </a:ln>
          </c:spPr>
          <c:invertIfNegative val="0"/>
          <c:cat>
            <c:numRef>
              <c:f>(SOAF!$E$2;SOAF!$H$2;SOAF!$K$2;SOAF!$N$2;SOAF!$Q$2;SOAF!$T$2;SOAF!$W$2;SOAF!$Z$2)</c:f>
              <c:numCache>
                <c:formatCode>General</c:formatCode>
                <c:ptCount val="8"/>
                <c:pt idx="0">
                  <c:v>2014</c:v>
                </c:pt>
                <c:pt idx="1">
                  <c:v>2015</c:v>
                </c:pt>
                <c:pt idx="2">
                  <c:v>2016</c:v>
                </c:pt>
                <c:pt idx="3">
                  <c:v>2020</c:v>
                </c:pt>
                <c:pt idx="4">
                  <c:v>2025</c:v>
                </c:pt>
                <c:pt idx="5">
                  <c:v>2030</c:v>
                </c:pt>
                <c:pt idx="6">
                  <c:v>2035</c:v>
                </c:pt>
                <c:pt idx="7">
                  <c:v>2040</c:v>
                </c:pt>
              </c:numCache>
            </c:numRef>
          </c:cat>
          <c:val>
            <c:numRef>
              <c:f>(SOAF!$E$35;SOAF!$H$35;SOAF!$K$35;SOAF!$N$35;SOAF!$Q$35;SOAF!$T$35;SOAF!$W$35;SOAF!$Z$35)</c:f>
              <c:numCache>
                <c:formatCode>0.00</c:formatCode>
                <c:ptCount val="8"/>
                <c:pt idx="0">
                  <c:v>4.2979837237778504</c:v>
                </c:pt>
                <c:pt idx="1">
                  <c:v>4.1718787397606256</c:v>
                </c:pt>
                <c:pt idx="2">
                  <c:v>3.7111613993107699</c:v>
                </c:pt>
                <c:pt idx="3">
                  <c:v>2.6505482621005427</c:v>
                </c:pt>
                <c:pt idx="4">
                  <c:v>1.4277835932321015</c:v>
                </c:pt>
                <c:pt idx="5">
                  <c:v>0.53453259873586489</c:v>
                </c:pt>
                <c:pt idx="6">
                  <c:v>1.6014275194910166</c:v>
                </c:pt>
                <c:pt idx="7">
                  <c:v>-1.5432148368774872</c:v>
                </c:pt>
              </c:numCache>
            </c:numRef>
          </c:val>
        </c:ser>
        <c:ser>
          <c:idx val="1"/>
          <c:order val="1"/>
          <c:tx>
            <c:v>Leden 11:00</c:v>
          </c:tx>
          <c:spPr>
            <a:pattFill prst="pct50">
              <a:fgClr>
                <a:schemeClr val="accent2"/>
              </a:fgClr>
              <a:bgClr>
                <a:schemeClr val="bg1"/>
              </a:bgClr>
            </a:pattFill>
            <a:ln>
              <a:solidFill>
                <a:srgbClr val="C00000"/>
              </a:solidFill>
            </a:ln>
          </c:spPr>
          <c:invertIfNegative val="0"/>
          <c:val>
            <c:numRef>
              <c:f>(SOAF!$D$35;SOAF!$G$35;SOAF!$J$35;SOAF!$M$35;SOAF!$P$35;SOAF!$S$35;SOAF!$V$35;SOAF!$Y$35)</c:f>
              <c:numCache>
                <c:formatCode>0.00</c:formatCode>
                <c:ptCount val="8"/>
                <c:pt idx="0">
                  <c:v>4.7292457237778507</c:v>
                </c:pt>
                <c:pt idx="1">
                  <c:v>4.6169147397606256</c:v>
                </c:pt>
                <c:pt idx="2">
                  <c:v>4.1699713993107697</c:v>
                </c:pt>
                <c:pt idx="3">
                  <c:v>3.1644542621005431</c:v>
                </c:pt>
                <c:pt idx="4">
                  <c:v>2.051687593232101</c:v>
                </c:pt>
                <c:pt idx="5">
                  <c:v>1.1584365987358645</c:v>
                </c:pt>
                <c:pt idx="6">
                  <c:v>2.4241815194910163</c:v>
                </c:pt>
                <c:pt idx="7">
                  <c:v>-0.52161083687748722</c:v>
                </c:pt>
              </c:numCache>
            </c:numRef>
          </c:val>
        </c:ser>
        <c:ser>
          <c:idx val="2"/>
          <c:order val="2"/>
          <c:tx>
            <c:v>Červenec 11:00</c:v>
          </c:tx>
          <c:spPr>
            <a:pattFill prst="pct50">
              <a:fgClr>
                <a:schemeClr val="accent3"/>
              </a:fgClr>
              <a:bgClr>
                <a:schemeClr val="bg1"/>
              </a:bgClr>
            </a:pattFill>
            <a:ln>
              <a:solidFill>
                <a:schemeClr val="accent3">
                  <a:lumMod val="75000"/>
                </a:schemeClr>
              </a:solidFill>
            </a:ln>
          </c:spPr>
          <c:invertIfNegative val="0"/>
          <c:val>
            <c:numRef>
              <c:f>(SOAF!$F$35;SOAF!$I$35;SOAF!$L$35;SOAF!$O$35;SOAF!$R$35;SOAF!$U$35;SOAF!$X$35;SOAF!$AA$35)</c:f>
              <c:numCache>
                <c:formatCode>0.00</c:formatCode>
                <c:ptCount val="8"/>
                <c:pt idx="0">
                  <c:v>5.9949924451228167</c:v>
                </c:pt>
                <c:pt idx="1">
                  <c:v>5.9159542809930645</c:v>
                </c:pt>
                <c:pt idx="2">
                  <c:v>5.5258442500636882</c:v>
                </c:pt>
                <c:pt idx="3">
                  <c:v>4.7104578026832602</c:v>
                </c:pt>
                <c:pt idx="4">
                  <c:v>3.9566789348522704</c:v>
                </c:pt>
                <c:pt idx="5">
                  <c:v>3.1561595716906119</c:v>
                </c:pt>
                <c:pt idx="6">
                  <c:v>4.6892591321716885</c:v>
                </c:pt>
                <c:pt idx="7">
                  <c:v>2.3219772148164726</c:v>
                </c:pt>
              </c:numCache>
            </c:numRef>
          </c:val>
        </c:ser>
        <c:dLbls>
          <c:showLegendKey val="0"/>
          <c:showVal val="0"/>
          <c:showCatName val="0"/>
          <c:showSerName val="0"/>
          <c:showPercent val="0"/>
          <c:showBubbleSize val="0"/>
        </c:dLbls>
        <c:gapWidth val="150"/>
        <c:axId val="177845376"/>
        <c:axId val="177846912"/>
      </c:barChart>
      <c:catAx>
        <c:axId val="177845376"/>
        <c:scaling>
          <c:orientation val="minMax"/>
        </c:scaling>
        <c:delete val="0"/>
        <c:axPos val="b"/>
        <c:numFmt formatCode="General" sourceLinked="1"/>
        <c:majorTickMark val="out"/>
        <c:minorTickMark val="none"/>
        <c:tickLblPos val="low"/>
        <c:crossAx val="177846912"/>
        <c:crosses val="autoZero"/>
        <c:auto val="1"/>
        <c:lblAlgn val="ctr"/>
        <c:lblOffset val="100"/>
        <c:noMultiLvlLbl val="0"/>
      </c:catAx>
      <c:valAx>
        <c:axId val="17784691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GW</a:t>
                </a:r>
              </a:p>
            </c:rich>
          </c:tx>
          <c:overlay val="0"/>
        </c:title>
        <c:numFmt formatCode="0.00" sourceLinked="1"/>
        <c:majorTickMark val="out"/>
        <c:minorTickMark val="none"/>
        <c:tickLblPos val="nextTo"/>
        <c:crossAx val="177845376"/>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Diskontované náklady</a:t>
            </a:r>
            <a:r>
              <a:rPr lang="cs-CZ" sz="1100"/>
              <a:t> na zajištění energie</a:t>
            </a:r>
            <a:endParaRPr lang="en-US" sz="1100"/>
          </a:p>
        </c:rich>
      </c:tx>
      <c:overlay val="0"/>
    </c:title>
    <c:autoTitleDeleted val="0"/>
    <c:plotArea>
      <c:layout/>
      <c:barChart>
        <c:barDir val="col"/>
        <c:grouping val="clustered"/>
        <c:varyColors val="0"/>
        <c:ser>
          <c:idx val="0"/>
          <c:order val="0"/>
          <c:tx>
            <c:strRef>
              <c:f>List1!$B$1</c:f>
              <c:strCache>
                <c:ptCount val="1"/>
                <c:pt idx="0">
                  <c:v>Diskontované náklady</c:v>
                </c:pt>
              </c:strCache>
            </c:strRef>
          </c:tx>
          <c:spPr>
            <a:pattFill prst="pct50">
              <a:fgClr>
                <a:schemeClr val="accent1"/>
              </a:fgClr>
              <a:bgClr>
                <a:schemeClr val="bg1"/>
              </a:bgClr>
            </a:pattFill>
            <a:ln>
              <a:solidFill>
                <a:schemeClr val="tx2"/>
              </a:solidFill>
            </a:ln>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List1!$A$2:$A$4</c:f>
              <c:strCache>
                <c:ptCount val="3"/>
                <c:pt idx="0">
                  <c:v>Diskontní faktor I. - 5,0 %</c:v>
                </c:pt>
                <c:pt idx="1">
                  <c:v>Diskontní faktor II. - 7,5 %</c:v>
                </c:pt>
                <c:pt idx="2">
                  <c:v>Diskontní faktor III. - 10,0 %</c:v>
                </c:pt>
              </c:strCache>
            </c:strRef>
          </c:cat>
          <c:val>
            <c:numRef>
              <c:f>List1!$B$2:$B$4</c:f>
              <c:numCache>
                <c:formatCode>#,##0</c:formatCode>
                <c:ptCount val="3"/>
                <c:pt idx="0">
                  <c:v>6234.1572837067997</c:v>
                </c:pt>
                <c:pt idx="1">
                  <c:v>4678.5499174922297</c:v>
                </c:pt>
                <c:pt idx="2">
                  <c:v>3648.7624498002624</c:v>
                </c:pt>
              </c:numCache>
            </c:numRef>
          </c:val>
        </c:ser>
        <c:dLbls>
          <c:showLegendKey val="0"/>
          <c:showVal val="0"/>
          <c:showCatName val="0"/>
          <c:showSerName val="0"/>
          <c:showPercent val="0"/>
          <c:showBubbleSize val="0"/>
        </c:dLbls>
        <c:gapWidth val="150"/>
        <c:axId val="174944256"/>
        <c:axId val="174945792"/>
      </c:barChart>
      <c:catAx>
        <c:axId val="174944256"/>
        <c:scaling>
          <c:orientation val="minMax"/>
        </c:scaling>
        <c:delete val="0"/>
        <c:axPos val="b"/>
        <c:numFmt formatCode="General" sourceLinked="1"/>
        <c:majorTickMark val="out"/>
        <c:minorTickMark val="none"/>
        <c:tickLblPos val="nextTo"/>
        <c:crossAx val="174945792"/>
        <c:crosses val="autoZero"/>
        <c:auto val="1"/>
        <c:lblAlgn val="ctr"/>
        <c:lblOffset val="100"/>
        <c:noMultiLvlLbl val="0"/>
      </c:catAx>
      <c:valAx>
        <c:axId val="174945792"/>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cs-CZ" baseline="0"/>
                  <a:t>mld. Kč</a:t>
                </a:r>
                <a:endParaRPr lang="cs-CZ"/>
              </a:p>
            </c:rich>
          </c:tx>
          <c:overlay val="0"/>
        </c:title>
        <c:numFmt formatCode="#,##0" sourceLinked="1"/>
        <c:majorTickMark val="out"/>
        <c:minorTickMark val="none"/>
        <c:tickLblPos val="nextTo"/>
        <c:crossAx val="17494425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Ceny vybraných energetických komodit</a:t>
            </a:r>
            <a:endParaRPr lang="cs-CZ" sz="1100">
              <a:effectLst/>
            </a:endParaRPr>
          </a:p>
        </c:rich>
      </c:tx>
      <c:overlay val="0"/>
    </c:title>
    <c:autoTitleDeleted val="0"/>
    <c:plotArea>
      <c:layout/>
      <c:lineChart>
        <c:grouping val="standard"/>
        <c:varyColors val="0"/>
        <c:ser>
          <c:idx val="1"/>
          <c:order val="0"/>
          <c:tx>
            <c:strRef>
              <c:f>List1!$A$3</c:f>
              <c:strCache>
                <c:ptCount val="1"/>
                <c:pt idx="0">
                  <c:v>Zemní plyn v ST</c:v>
                </c:pt>
              </c:strCache>
            </c:strRef>
          </c:tx>
          <c:spPr>
            <a:ln>
              <a:solidFill>
                <a:srgbClr val="FFFF00"/>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176.30331753554503</c:v>
                </c:pt>
                <c:pt idx="1">
                  <c:v>208.53080568720381</c:v>
                </c:pt>
                <c:pt idx="2">
                  <c:v>218.00947867298581</c:v>
                </c:pt>
                <c:pt idx="3">
                  <c:v>225.5924170616114</c:v>
                </c:pt>
                <c:pt idx="4">
                  <c:v>231.27962085308059</c:v>
                </c:pt>
                <c:pt idx="5">
                  <c:v>236.96682464454977</c:v>
                </c:pt>
                <c:pt idx="6">
                  <c:v>240.75829383886258</c:v>
                </c:pt>
              </c:numCache>
            </c:numRef>
          </c:val>
          <c:smooth val="0"/>
        </c:ser>
        <c:ser>
          <c:idx val="2"/>
          <c:order val="1"/>
          <c:tx>
            <c:strRef>
              <c:f>List1!$A$4</c:f>
              <c:strCache>
                <c:ptCount val="1"/>
                <c:pt idx="0">
                  <c:v>Ropa</c:v>
                </c:pt>
              </c:strCache>
            </c:strRef>
          </c:tx>
          <c:spPr>
            <a:ln>
              <a:solidFill>
                <a:schemeClr val="accent4">
                  <a:lumMod val="60000"/>
                  <a:lumOff val="40000"/>
                </a:schemeClr>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260.99959315792501</c:v>
                </c:pt>
                <c:pt idx="1">
                  <c:v>414.20101148882299</c:v>
                </c:pt>
                <c:pt idx="2">
                  <c:v>426.6984558009861</c:v>
                </c:pt>
                <c:pt idx="3">
                  <c:v>435.2681319007549</c:v>
                </c:pt>
                <c:pt idx="4">
                  <c:v>441.33831913809138</c:v>
                </c:pt>
                <c:pt idx="5">
                  <c:v>446.33729686295635</c:v>
                </c:pt>
                <c:pt idx="6">
                  <c:v>449.90799523786001</c:v>
                </c:pt>
              </c:numCache>
            </c:numRef>
          </c:val>
          <c:smooth val="0"/>
        </c:ser>
        <c:ser>
          <c:idx val="3"/>
          <c:order val="2"/>
          <c:tx>
            <c:strRef>
              <c:f>List1!$A$5</c:f>
              <c:strCache>
                <c:ptCount val="1"/>
                <c:pt idx="0">
                  <c:v>Černé uhlí</c:v>
                </c:pt>
              </c:strCache>
            </c:strRef>
          </c:tx>
          <c:spPr>
            <a:ln>
              <a:solidFill>
                <a:schemeClr val="tx1">
                  <a:lumMod val="65000"/>
                  <a:lumOff val="35000"/>
                </a:schemeClr>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64.201777013470917</c:v>
                </c:pt>
                <c:pt idx="1">
                  <c:v>68.36983333050263</c:v>
                </c:pt>
                <c:pt idx="2">
                  <c:v>70.575311825034973</c:v>
                </c:pt>
                <c:pt idx="3">
                  <c:v>71.205448537758485</c:v>
                </c:pt>
                <c:pt idx="4">
                  <c:v>71.835585250481998</c:v>
                </c:pt>
                <c:pt idx="5">
                  <c:v>72.465721963205539</c:v>
                </c:pt>
                <c:pt idx="6">
                  <c:v>73.095858675929051</c:v>
                </c:pt>
              </c:numCache>
            </c:numRef>
          </c:val>
          <c:smooth val="0"/>
        </c:ser>
        <c:ser>
          <c:idx val="4"/>
          <c:order val="3"/>
          <c:tx>
            <c:strRef>
              <c:f>List1!$A$6</c:f>
              <c:strCache>
                <c:ptCount val="1"/>
                <c:pt idx="0">
                  <c:v>Hnědé uhlí</c:v>
                </c:pt>
              </c:strCache>
            </c:strRef>
          </c:tx>
          <c:spPr>
            <a:ln>
              <a:solidFill>
                <a:srgbClr val="AC836C"/>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30</c:v>
                </c:pt>
                <c:pt idx="1">
                  <c:v>41.551747311255042</c:v>
                </c:pt>
                <c:pt idx="2">
                  <c:v>48.431115589392675</c:v>
                </c:pt>
                <c:pt idx="3">
                  <c:v>48.863536264297963</c:v>
                </c:pt>
                <c:pt idx="4">
                  <c:v>49.295956939203251</c:v>
                </c:pt>
                <c:pt idx="5">
                  <c:v>49.728377614108538</c:v>
                </c:pt>
                <c:pt idx="6">
                  <c:v>50.160798289013833</c:v>
                </c:pt>
              </c:numCache>
            </c:numRef>
          </c:val>
          <c:smooth val="0"/>
        </c:ser>
        <c:ser>
          <c:idx val="5"/>
          <c:order val="4"/>
          <c:tx>
            <c:strRef>
              <c:f>List1!$A$7</c:f>
              <c:strCache>
                <c:ptCount val="1"/>
                <c:pt idx="0">
                  <c:v>Jaderné palivo</c:v>
                </c:pt>
              </c:strCache>
            </c:strRef>
          </c:tx>
          <c:spPr>
            <a:ln>
              <a:solidFill>
                <a:schemeClr val="accent5"/>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9.59</c:v>
                </c:pt>
                <c:pt idx="1">
                  <c:v>16</c:v>
                </c:pt>
                <c:pt idx="2">
                  <c:v>22</c:v>
                </c:pt>
                <c:pt idx="3">
                  <c:v>28</c:v>
                </c:pt>
                <c:pt idx="4">
                  <c:v>32</c:v>
                </c:pt>
                <c:pt idx="5">
                  <c:v>34</c:v>
                </c:pt>
                <c:pt idx="6">
                  <c:v>36</c:v>
                </c:pt>
              </c:numCache>
            </c:numRef>
          </c:val>
          <c:smooth val="0"/>
        </c:ser>
        <c:dLbls>
          <c:showLegendKey val="0"/>
          <c:showVal val="0"/>
          <c:showCatName val="0"/>
          <c:showSerName val="0"/>
          <c:showPercent val="0"/>
          <c:showBubbleSize val="0"/>
        </c:dLbls>
        <c:marker val="1"/>
        <c:smooth val="0"/>
        <c:axId val="179184384"/>
        <c:axId val="179185920"/>
      </c:lineChart>
      <c:catAx>
        <c:axId val="179184384"/>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185920"/>
        <c:crosses val="autoZero"/>
        <c:auto val="1"/>
        <c:lblAlgn val="ctr"/>
        <c:lblOffset val="100"/>
        <c:noMultiLvlLbl val="0"/>
      </c:catAx>
      <c:valAx>
        <c:axId val="179185920"/>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Kč/GJ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9184384"/>
        <c:crosses val="autoZero"/>
        <c:crossBetween val="between"/>
      </c:valAx>
    </c:plotArea>
    <c:legend>
      <c:legendPos val="b"/>
      <c:layout>
        <c:manualLayout>
          <c:xMode val="edge"/>
          <c:yMode val="edge"/>
          <c:x val="8.7465521355285167E-2"/>
          <c:y val="0.92769716789433554"/>
          <c:w val="0.89999991323398698"/>
          <c:h val="5.6675459648148505E-2"/>
        </c:manualLayout>
      </c:layout>
      <c:overlay val="0"/>
      <c:txPr>
        <a:bodyPr/>
        <a:lstStyle/>
        <a:p>
          <a:pPr>
            <a:defRPr sz="900"/>
          </a:pPr>
          <a:endParaRPr lang="cs-CZ"/>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u="none" strike="noStrike" baseline="0">
                <a:effectLst/>
              </a:rPr>
              <a:t>Konečné ceny elektřiny</a:t>
            </a:r>
            <a:endParaRPr lang="cs-CZ" sz="1200"/>
          </a:p>
        </c:rich>
      </c:tx>
      <c:overlay val="0"/>
    </c:title>
    <c:autoTitleDeleted val="0"/>
    <c:plotArea>
      <c:layout/>
      <c:barChart>
        <c:barDir val="col"/>
        <c:grouping val="clustered"/>
        <c:varyColors val="0"/>
        <c:ser>
          <c:idx val="0"/>
          <c:order val="0"/>
          <c:tx>
            <c:strRef>
              <c:f>List1!$A$2</c:f>
              <c:strCache>
                <c:ptCount val="1"/>
                <c:pt idx="0">
                  <c:v>Cena elektřiny na hladině nn</c:v>
                </c:pt>
              </c:strCache>
            </c:strRef>
          </c:tx>
          <c:spPr>
            <a:pattFill prst="pct50">
              <a:fgClr>
                <a:schemeClr val="accent1"/>
              </a:fgClr>
              <a:bgClr>
                <a:schemeClr val="bg1"/>
              </a:bgClr>
            </a:pattFill>
            <a:ln>
              <a:solidFill>
                <a:schemeClr val="tx2"/>
              </a:solidFill>
            </a:ln>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c:formatCode>
                <c:ptCount val="7"/>
                <c:pt idx="0">
                  <c:v>3215.13</c:v>
                </c:pt>
                <c:pt idx="1">
                  <c:v>2759.6696837891941</c:v>
                </c:pt>
                <c:pt idx="2">
                  <c:v>2893.5898056412634</c:v>
                </c:pt>
                <c:pt idx="3">
                  <c:v>3440.173947358192</c:v>
                </c:pt>
                <c:pt idx="4">
                  <c:v>3975.3241995955341</c:v>
                </c:pt>
                <c:pt idx="5">
                  <c:v>3786.5992603175819</c:v>
                </c:pt>
                <c:pt idx="6">
                  <c:v>3999.0044834107275</c:v>
                </c:pt>
              </c:numCache>
            </c:numRef>
          </c:val>
        </c:ser>
        <c:ser>
          <c:idx val="1"/>
          <c:order val="1"/>
          <c:tx>
            <c:strRef>
              <c:f>List1!$A$3</c:f>
              <c:strCache>
                <c:ptCount val="1"/>
                <c:pt idx="0">
                  <c:v>Cena elektřiny na hladině vn</c:v>
                </c:pt>
              </c:strCache>
            </c:strRef>
          </c:tx>
          <c:spPr>
            <a:pattFill prst="pct50">
              <a:fgClr>
                <a:schemeClr val="accent2"/>
              </a:fgClr>
              <a:bgClr>
                <a:schemeClr val="bg1"/>
              </a:bgClr>
            </a:pattFill>
            <a:ln>
              <a:solidFill>
                <a:srgbClr val="C00000"/>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c:formatCode>
                <c:ptCount val="7"/>
                <c:pt idx="0">
                  <c:v>2493.3137201737413</c:v>
                </c:pt>
                <c:pt idx="1">
                  <c:v>2008.9799386168033</c:v>
                </c:pt>
                <c:pt idx="2">
                  <c:v>2051.0547997706713</c:v>
                </c:pt>
                <c:pt idx="3">
                  <c:v>2513.4253221382769</c:v>
                </c:pt>
                <c:pt idx="4">
                  <c:v>2950.4052840871313</c:v>
                </c:pt>
                <c:pt idx="5">
                  <c:v>2689.3475581918392</c:v>
                </c:pt>
                <c:pt idx="6">
                  <c:v>2784.4733450124604</c:v>
                </c:pt>
              </c:numCache>
            </c:numRef>
          </c:val>
        </c:ser>
        <c:dLbls>
          <c:showLegendKey val="0"/>
          <c:showVal val="0"/>
          <c:showCatName val="0"/>
          <c:showSerName val="0"/>
          <c:showPercent val="0"/>
          <c:showBubbleSize val="0"/>
        </c:dLbls>
        <c:gapWidth val="150"/>
        <c:axId val="179474816"/>
        <c:axId val="179476352"/>
      </c:barChart>
      <c:catAx>
        <c:axId val="179474816"/>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476352"/>
        <c:crosses val="autoZero"/>
        <c:auto val="1"/>
        <c:lblAlgn val="ctr"/>
        <c:lblOffset val="100"/>
        <c:noMultiLvlLbl val="0"/>
      </c:catAx>
      <c:valAx>
        <c:axId val="179476352"/>
        <c:scaling>
          <c:orientation val="minMax"/>
        </c:scaling>
        <c:delete val="0"/>
        <c:axPos val="l"/>
        <c:majorGridlines>
          <c:spPr>
            <a:ln>
              <a:solidFill>
                <a:schemeClr val="bg1">
                  <a:lumMod val="85000"/>
                </a:schemeClr>
              </a:solidFill>
            </a:ln>
          </c:spPr>
        </c:majorGridlines>
        <c:title>
          <c:tx>
            <c:rich>
              <a:bodyPr rot="-5400000" vert="horz"/>
              <a:lstStyle/>
              <a:p>
                <a:pPr>
                  <a:defRPr/>
                </a:pPr>
                <a:r>
                  <a:rPr lang="cs-CZ"/>
                  <a:t>Kč/MWh</a:t>
                </a:r>
              </a:p>
            </c:rich>
          </c:tx>
          <c:overlay val="0"/>
        </c:title>
        <c:numFmt formatCode="#,##0" sourceLinked="1"/>
        <c:majorTickMark val="out"/>
        <c:minorTickMark val="none"/>
        <c:tickLblPos val="nextTo"/>
        <c:spPr>
          <a:ln>
            <a:solidFill>
              <a:schemeClr val="bg1">
                <a:lumMod val="65000"/>
              </a:schemeClr>
            </a:solidFill>
          </a:ln>
        </c:spPr>
        <c:txPr>
          <a:bodyPr/>
          <a:lstStyle/>
          <a:p>
            <a:pPr>
              <a:defRPr sz="900" b="0"/>
            </a:pPr>
            <a:endParaRPr lang="cs-CZ"/>
          </a:p>
        </c:txPr>
        <c:crossAx val="179474816"/>
        <c:crosses val="autoZero"/>
        <c:crossBetween val="between"/>
      </c:valAx>
    </c:plotArea>
    <c:legend>
      <c:legendPos val="b"/>
      <c:overlay val="0"/>
      <c:txPr>
        <a:bodyPr/>
        <a:lstStyle/>
        <a:p>
          <a:pPr>
            <a:defRPr sz="800" spc="-50" baseline="0"/>
          </a:pPr>
          <a:endParaRPr lang="cs-CZ"/>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Struktura a vývoj konečné ceny elektřiny na hladině nn</a:t>
            </a:r>
            <a:endParaRPr lang="cs-CZ" sz="1200">
              <a:effectLst/>
            </a:endParaRPr>
          </a:p>
        </c:rich>
      </c:tx>
      <c:overlay val="0"/>
    </c:title>
    <c:autoTitleDeleted val="0"/>
    <c:plotArea>
      <c:layout/>
      <c:barChart>
        <c:barDir val="col"/>
        <c:grouping val="stacked"/>
        <c:varyColors val="0"/>
        <c:ser>
          <c:idx val="0"/>
          <c:order val="0"/>
          <c:tx>
            <c:strRef>
              <c:f>List1!$A$2</c:f>
              <c:strCache>
                <c:ptCount val="1"/>
                <c:pt idx="0">
                  <c:v>Silová elektřina</c:v>
                </c:pt>
              </c:strCache>
            </c:strRef>
          </c:tx>
          <c:spPr>
            <a:pattFill prst="pct50">
              <a:fgClr>
                <a:srgbClr val="FFC000"/>
              </a:fgClr>
              <a:bgClr>
                <a:schemeClr val="bg1"/>
              </a:bgClr>
            </a:patt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c:formatCode>
                <c:ptCount val="7"/>
                <c:pt idx="0">
                  <c:v>1720</c:v>
                </c:pt>
                <c:pt idx="1">
                  <c:v>944.56220599740243</c:v>
                </c:pt>
                <c:pt idx="2">
                  <c:v>986.08285974550256</c:v>
                </c:pt>
                <c:pt idx="3">
                  <c:v>1414.71649251436</c:v>
                </c:pt>
                <c:pt idx="4">
                  <c:v>1810.7686595855089</c:v>
                </c:pt>
                <c:pt idx="5">
                  <c:v>1871.9286247112429</c:v>
                </c:pt>
                <c:pt idx="6">
                  <c:v>1937.0473942516737</c:v>
                </c:pt>
              </c:numCache>
            </c:numRef>
          </c:val>
        </c:ser>
        <c:ser>
          <c:idx val="1"/>
          <c:order val="1"/>
          <c:tx>
            <c:strRef>
              <c:f>List1!$A$3</c:f>
              <c:strCache>
                <c:ptCount val="1"/>
                <c:pt idx="0">
                  <c:v>Distribuce</c:v>
                </c:pt>
              </c:strCache>
            </c:strRef>
          </c:tx>
          <c:spPr>
            <a:pattFill prst="pct50">
              <a:fgClr>
                <a:srgbClr val="C00000"/>
              </a:fgClr>
              <a:bgClr>
                <a:schemeClr val="bg1"/>
              </a:bgClr>
            </a:patt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c:formatCode>
                <c:ptCount val="7"/>
                <c:pt idx="0">
                  <c:v>1140</c:v>
                </c:pt>
                <c:pt idx="1">
                  <c:v>1183.6202896568452</c:v>
                </c:pt>
                <c:pt idx="2">
                  <c:v>1312.1752335681047</c:v>
                </c:pt>
                <c:pt idx="3">
                  <c:v>1424.6167048501743</c:v>
                </c:pt>
                <c:pt idx="4">
                  <c:v>1556.6680864745572</c:v>
                </c:pt>
                <c:pt idx="5">
                  <c:v>1655.9625594831759</c:v>
                </c:pt>
                <c:pt idx="6">
                  <c:v>1816.001333874834</c:v>
                </c:pt>
              </c:numCache>
            </c:numRef>
          </c:val>
        </c:ser>
        <c:ser>
          <c:idx val="2"/>
          <c:order val="2"/>
          <c:tx>
            <c:strRef>
              <c:f>List1!$A$4</c:f>
              <c:strCache>
                <c:ptCount val="1"/>
                <c:pt idx="0">
                  <c:v>Systémové služby</c:v>
                </c:pt>
              </c:strCache>
            </c:strRef>
          </c:tx>
          <c:spPr>
            <a:pattFill prst="pct50">
              <a:fgClr>
                <a:schemeClr val="accent6"/>
              </a:fgClr>
              <a:bgClr>
                <a:schemeClr val="bg1"/>
              </a:bgClr>
            </a:patt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c:formatCode>
                <c:ptCount val="7"/>
                <c:pt idx="0">
                  <c:v>155.4</c:v>
                </c:pt>
                <c:pt idx="1">
                  <c:v>117.42857142857142</c:v>
                </c:pt>
                <c:pt idx="2">
                  <c:v>81</c:v>
                </c:pt>
                <c:pt idx="3">
                  <c:v>81</c:v>
                </c:pt>
                <c:pt idx="4">
                  <c:v>81</c:v>
                </c:pt>
                <c:pt idx="5">
                  <c:v>81</c:v>
                </c:pt>
                <c:pt idx="6">
                  <c:v>81</c:v>
                </c:pt>
              </c:numCache>
            </c:numRef>
          </c:val>
        </c:ser>
        <c:ser>
          <c:idx val="3"/>
          <c:order val="3"/>
          <c:tx>
            <c:strRef>
              <c:f>List1!$A$5</c:f>
              <c:strCache>
                <c:ptCount val="1"/>
                <c:pt idx="0">
                  <c:v>Přenos</c:v>
                </c:pt>
              </c:strCache>
            </c:strRef>
          </c:tx>
          <c:spPr>
            <a:pattFill prst="pct50">
              <a:fgClr>
                <a:schemeClr val="accent4">
                  <a:lumMod val="75000"/>
                </a:schemeClr>
              </a:fgClr>
              <a:bgClr>
                <a:schemeClr val="bg1"/>
              </a:bgClr>
            </a:patt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c:formatCode>
                <c:ptCount val="7"/>
                <c:pt idx="0">
                  <c:v>33.729999999999997</c:v>
                </c:pt>
                <c:pt idx="1">
                  <c:v>19.058616706375034</c:v>
                </c:pt>
                <c:pt idx="2">
                  <c:v>19.331712327656469</c:v>
                </c:pt>
                <c:pt idx="3">
                  <c:v>24.840749993657848</c:v>
                </c:pt>
                <c:pt idx="4">
                  <c:v>31.887453535467969</c:v>
                </c:pt>
                <c:pt idx="5">
                  <c:v>33.261022754026833</c:v>
                </c:pt>
                <c:pt idx="6">
                  <c:v>33.696526543910096</c:v>
                </c:pt>
              </c:numCache>
            </c:numRef>
          </c:val>
        </c:ser>
        <c:ser>
          <c:idx val="4"/>
          <c:order val="4"/>
          <c:tx>
            <c:strRef>
              <c:f>List1!$A$6</c:f>
              <c:strCache>
                <c:ptCount val="1"/>
                <c:pt idx="0">
                  <c:v>OZE a ostatní</c:v>
                </c:pt>
              </c:strCache>
            </c:strRef>
          </c:tx>
          <c:spPr>
            <a:pattFill prst="pct50">
              <a:fgClr>
                <a:schemeClr val="accent3"/>
              </a:fgClr>
              <a:bgClr>
                <a:schemeClr val="bg1"/>
              </a:bgClr>
            </a:patt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c:formatCode>
                <c:ptCount val="7"/>
                <c:pt idx="0">
                  <c:v>166</c:v>
                </c:pt>
                <c:pt idx="1">
                  <c:v>495</c:v>
                </c:pt>
                <c:pt idx="2">
                  <c:v>495</c:v>
                </c:pt>
                <c:pt idx="3">
                  <c:v>495</c:v>
                </c:pt>
                <c:pt idx="4">
                  <c:v>495</c:v>
                </c:pt>
                <c:pt idx="5">
                  <c:v>144.44705336913631</c:v>
                </c:pt>
                <c:pt idx="6">
                  <c:v>131.25922874030925</c:v>
                </c:pt>
              </c:numCache>
            </c:numRef>
          </c:val>
        </c:ser>
        <c:dLbls>
          <c:showLegendKey val="0"/>
          <c:showVal val="0"/>
          <c:showCatName val="0"/>
          <c:showSerName val="0"/>
          <c:showPercent val="0"/>
          <c:showBubbleSize val="0"/>
        </c:dLbls>
        <c:gapWidth val="150"/>
        <c:overlap val="100"/>
        <c:axId val="179299840"/>
        <c:axId val="179301376"/>
      </c:barChart>
      <c:catAx>
        <c:axId val="179299840"/>
        <c:scaling>
          <c:orientation val="minMax"/>
        </c:scaling>
        <c:delete val="0"/>
        <c:axPos val="b"/>
        <c:numFmt formatCode="General" sourceLinked="0"/>
        <c:majorTickMark val="out"/>
        <c:minorTickMark val="none"/>
        <c:tickLblPos val="nextTo"/>
        <c:spPr>
          <a:ln>
            <a:solidFill>
              <a:schemeClr val="bg1">
                <a:lumMod val="65000"/>
              </a:schemeClr>
            </a:solidFill>
          </a:ln>
        </c:spPr>
        <c:crossAx val="179301376"/>
        <c:crosses val="autoZero"/>
        <c:auto val="1"/>
        <c:lblAlgn val="ctr"/>
        <c:lblOffset val="100"/>
        <c:noMultiLvlLbl val="0"/>
      </c:catAx>
      <c:valAx>
        <c:axId val="179301376"/>
        <c:scaling>
          <c:orientation val="minMax"/>
        </c:scaling>
        <c:delete val="0"/>
        <c:axPos val="l"/>
        <c:majorGridlines>
          <c:spPr>
            <a:ln>
              <a:solidFill>
                <a:schemeClr val="bg1">
                  <a:lumMod val="85000"/>
                </a:schemeClr>
              </a:solidFill>
            </a:ln>
          </c:spPr>
        </c:majorGridlines>
        <c:title>
          <c:tx>
            <c:rich>
              <a:bodyPr rot="-5400000" vert="horz"/>
              <a:lstStyle/>
              <a:p>
                <a:pPr>
                  <a:defRPr/>
                </a:pPr>
                <a:r>
                  <a:rPr lang="cs-CZ"/>
                  <a:t>Kč/KWh</a:t>
                </a:r>
              </a:p>
            </c:rich>
          </c:tx>
          <c:layout>
            <c:manualLayout>
              <c:xMode val="edge"/>
              <c:yMode val="edge"/>
              <c:x val="2.5462962962962975E-2"/>
              <c:y val="0.37783902012248488"/>
            </c:manualLayout>
          </c:layout>
          <c:overlay val="0"/>
        </c:title>
        <c:numFmt formatCode="#,##0" sourceLinked="1"/>
        <c:majorTickMark val="out"/>
        <c:minorTickMark val="none"/>
        <c:tickLblPos val="nextTo"/>
        <c:spPr>
          <a:ln>
            <a:solidFill>
              <a:schemeClr val="bg1">
                <a:lumMod val="65000"/>
              </a:schemeClr>
            </a:solidFill>
          </a:ln>
        </c:spPr>
        <c:crossAx val="179299840"/>
        <c:crosses val="autoZero"/>
        <c:crossBetween val="between"/>
      </c:valAx>
    </c:plotArea>
    <c:legend>
      <c:legendPos val="b"/>
      <c:layout>
        <c:manualLayout>
          <c:xMode val="edge"/>
          <c:yMode val="edge"/>
          <c:x val="0.10444827209098863"/>
          <c:y val="0.90443288338957661"/>
          <c:w val="0.82370621027743463"/>
          <c:h val="6.0731866954917821E-2"/>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Podíl výdajů domácností na energie</a:t>
            </a:r>
          </a:p>
        </c:rich>
      </c:tx>
      <c:overlay val="0"/>
    </c:title>
    <c:autoTitleDeleted val="0"/>
    <c:plotArea>
      <c:layout/>
      <c:barChart>
        <c:barDir val="col"/>
        <c:grouping val="clustered"/>
        <c:varyColors val="0"/>
        <c:ser>
          <c:idx val="0"/>
          <c:order val="0"/>
          <c:tx>
            <c:strRef>
              <c:f>List1!$A$4</c:f>
              <c:strCache>
                <c:ptCount val="1"/>
                <c:pt idx="0">
                  <c:v>Podíl výdajů domácností na energie</c:v>
                </c:pt>
              </c:strCache>
            </c:strRef>
          </c:tx>
          <c:spPr>
            <a:pattFill prst="pct50">
              <a:fgClr>
                <a:srgbClr val="F79646"/>
              </a:fgClr>
              <a:bgClr>
                <a:sysClr val="window" lastClr="FFFFFF"/>
              </a:bgClr>
            </a:pattFill>
            <a:ln>
              <a:solidFill>
                <a:srgbClr val="F79646">
                  <a:lumMod val="75000"/>
                </a:srgbClr>
              </a:solidFill>
            </a:ln>
          </c:spPr>
          <c:invertIfNegative val="0"/>
          <c:dLbls>
            <c:numFmt formatCode="0.0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c:formatCode>
                <c:ptCount val="7"/>
                <c:pt idx="0">
                  <c:v>0.10510948905109489</c:v>
                </c:pt>
                <c:pt idx="1">
                  <c:v>0.11515151515151516</c:v>
                </c:pt>
                <c:pt idx="2">
                  <c:v>0.1103448275862069</c:v>
                </c:pt>
                <c:pt idx="3">
                  <c:v>0.10632014176018902</c:v>
                </c:pt>
                <c:pt idx="4">
                  <c:v>0.1026936026936027</c:v>
                </c:pt>
                <c:pt idx="5">
                  <c:v>0.1027142096860032</c:v>
                </c:pt>
                <c:pt idx="6">
                  <c:v>9.8484848484848481E-2</c:v>
                </c:pt>
              </c:numCache>
            </c:numRef>
          </c:val>
        </c:ser>
        <c:dLbls>
          <c:showLegendKey val="0"/>
          <c:showVal val="0"/>
          <c:showCatName val="0"/>
          <c:showSerName val="0"/>
          <c:showPercent val="0"/>
          <c:showBubbleSize val="0"/>
        </c:dLbls>
        <c:gapWidth val="150"/>
        <c:axId val="179257728"/>
        <c:axId val="179259264"/>
      </c:barChart>
      <c:catAx>
        <c:axId val="179257728"/>
        <c:scaling>
          <c:orientation val="minMax"/>
        </c:scaling>
        <c:delete val="0"/>
        <c:axPos val="b"/>
        <c:numFmt formatCode="General" sourceLinked="0"/>
        <c:majorTickMark val="out"/>
        <c:minorTickMark val="none"/>
        <c:tickLblPos val="nextTo"/>
        <c:crossAx val="179259264"/>
        <c:crosses val="autoZero"/>
        <c:auto val="1"/>
        <c:lblAlgn val="ctr"/>
        <c:lblOffset val="100"/>
        <c:noMultiLvlLbl val="0"/>
      </c:catAx>
      <c:valAx>
        <c:axId val="179259264"/>
        <c:scaling>
          <c:orientation val="minMax"/>
          <c:max val="0.15000000000000002"/>
        </c:scaling>
        <c:delete val="0"/>
        <c:axPos val="l"/>
        <c:majorGridlines>
          <c:spPr>
            <a:ln>
              <a:solidFill>
                <a:sysClr val="window" lastClr="FFFFFF">
                  <a:lumMod val="85000"/>
                </a:sysClr>
              </a:solidFill>
              <a:prstDash val="sysDash"/>
            </a:ln>
          </c:spPr>
        </c:majorGridlines>
        <c:numFmt formatCode="0%" sourceLinked="0"/>
        <c:majorTickMark val="out"/>
        <c:minorTickMark val="none"/>
        <c:tickLblPos val="nextTo"/>
        <c:crossAx val="179257728"/>
        <c:crosses val="autoZero"/>
        <c:crossBetween val="between"/>
        <c:majorUnit val="1.0000000000000002E-2"/>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u="none" strike="noStrike" baseline="0">
                <a:effectLst/>
              </a:rPr>
              <a:t>Podíl sektoru energetiky na HPH</a:t>
            </a:r>
            <a:endParaRPr lang="cs-CZ" sz="1200"/>
          </a:p>
        </c:rich>
      </c:tx>
      <c:overlay val="0"/>
    </c:title>
    <c:autoTitleDeleted val="0"/>
    <c:plotArea>
      <c:layout/>
      <c:barChart>
        <c:barDir val="col"/>
        <c:grouping val="clustered"/>
        <c:varyColors val="0"/>
        <c:ser>
          <c:idx val="0"/>
          <c:order val="0"/>
          <c:tx>
            <c:strRef>
              <c:f>List1!$A$2</c:f>
              <c:strCache>
                <c:ptCount val="1"/>
                <c:pt idx="0">
                  <c:v>Podíl sektoru energetiky</c:v>
                </c:pt>
              </c:strCache>
            </c:strRef>
          </c:tx>
          <c:spPr>
            <a:pattFill prst="pct50">
              <a:fgClr>
                <a:schemeClr val="accent6"/>
              </a:fgClr>
              <a:bgClr>
                <a:schemeClr val="bg1"/>
              </a:bgClr>
            </a:patt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2.7222519975111967E-2</c:v>
                </c:pt>
                <c:pt idx="1">
                  <c:v>1.6492133809052675E-2</c:v>
                </c:pt>
                <c:pt idx="2">
                  <c:v>1.8118162797185519E-2</c:v>
                </c:pt>
                <c:pt idx="3">
                  <c:v>1.7613698484304344E-2</c:v>
                </c:pt>
                <c:pt idx="4">
                  <c:v>1.7750177167550146E-2</c:v>
                </c:pt>
                <c:pt idx="5">
                  <c:v>1.7189621810112375E-2</c:v>
                </c:pt>
                <c:pt idx="6">
                  <c:v>1.7219331157810148E-2</c:v>
                </c:pt>
              </c:numCache>
            </c:numRef>
          </c:val>
        </c:ser>
        <c:dLbls>
          <c:showLegendKey val="0"/>
          <c:showVal val="0"/>
          <c:showCatName val="0"/>
          <c:showSerName val="0"/>
          <c:showPercent val="0"/>
          <c:showBubbleSize val="0"/>
        </c:dLbls>
        <c:gapWidth val="150"/>
        <c:axId val="179394432"/>
        <c:axId val="179395968"/>
      </c:barChart>
      <c:catAx>
        <c:axId val="179394432"/>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395968"/>
        <c:crosses val="autoZero"/>
        <c:auto val="1"/>
        <c:lblAlgn val="ctr"/>
        <c:lblOffset val="100"/>
        <c:noMultiLvlLbl val="0"/>
      </c:catAx>
      <c:valAx>
        <c:axId val="179395968"/>
        <c:scaling>
          <c:orientation val="minMax"/>
        </c:scaling>
        <c:delete val="0"/>
        <c:axPos val="l"/>
        <c:majorGridlines>
          <c:spPr>
            <a:ln>
              <a:solidFill>
                <a:schemeClr val="bg1">
                  <a:lumMod val="85000"/>
                </a:schemeClr>
              </a:solidFill>
              <a:prstDash val="sysDash"/>
            </a:ln>
          </c:spPr>
        </c:majorGridlines>
        <c:numFmt formatCode="0.00%" sourceLinked="1"/>
        <c:majorTickMark val="out"/>
        <c:minorTickMark val="none"/>
        <c:tickLblPos val="nextTo"/>
        <c:spPr>
          <a:ln>
            <a:solidFill>
              <a:schemeClr val="bg1">
                <a:lumMod val="65000"/>
              </a:schemeClr>
            </a:solidFill>
          </a:ln>
        </c:spPr>
        <c:txPr>
          <a:bodyPr/>
          <a:lstStyle/>
          <a:p>
            <a:pPr>
              <a:defRPr sz="900" b="0"/>
            </a:pPr>
            <a:endParaRPr lang="cs-CZ"/>
          </a:p>
        </c:txPr>
        <c:crossAx val="17939443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u="none" strike="noStrike" baseline="0">
                <a:effectLst/>
              </a:rPr>
              <a:t>Podíl dovozu energie na HPH</a:t>
            </a:r>
            <a:endParaRPr lang="cs-CZ" sz="1200"/>
          </a:p>
        </c:rich>
      </c:tx>
      <c:overlay val="0"/>
    </c:title>
    <c:autoTitleDeleted val="0"/>
    <c:plotArea>
      <c:layout/>
      <c:barChart>
        <c:barDir val="col"/>
        <c:grouping val="clustered"/>
        <c:varyColors val="0"/>
        <c:ser>
          <c:idx val="0"/>
          <c:order val="0"/>
          <c:tx>
            <c:strRef>
              <c:f>List1!$A$2</c:f>
              <c:strCache>
                <c:ptCount val="1"/>
                <c:pt idx="0">
                  <c:v>Podíl nákladů na čistý dovoz energie</c:v>
                </c:pt>
              </c:strCache>
            </c:strRef>
          </c:tx>
          <c:spPr>
            <a:pattFill prst="pct50">
              <a:fgClr>
                <a:schemeClr val="accent6"/>
              </a:fgClr>
              <a:bgClr>
                <a:schemeClr val="bg1"/>
              </a:bgClr>
            </a:patt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3.8426140668784359E-2</c:v>
                </c:pt>
                <c:pt idx="1">
                  <c:v>5.8398219759907978E-2</c:v>
                </c:pt>
                <c:pt idx="2">
                  <c:v>5.1504314015593779E-2</c:v>
                </c:pt>
                <c:pt idx="3">
                  <c:v>4.4843732645583237E-2</c:v>
                </c:pt>
                <c:pt idx="4">
                  <c:v>3.718196784411739E-2</c:v>
                </c:pt>
                <c:pt idx="5">
                  <c:v>2.9765898883657809E-2</c:v>
                </c:pt>
                <c:pt idx="6">
                  <c:v>2.664717197477617E-2</c:v>
                </c:pt>
              </c:numCache>
            </c:numRef>
          </c:val>
        </c:ser>
        <c:dLbls>
          <c:showLegendKey val="0"/>
          <c:showVal val="0"/>
          <c:showCatName val="0"/>
          <c:showSerName val="0"/>
          <c:showPercent val="0"/>
          <c:showBubbleSize val="0"/>
        </c:dLbls>
        <c:gapWidth val="150"/>
        <c:axId val="179412352"/>
        <c:axId val="179541120"/>
      </c:barChart>
      <c:catAx>
        <c:axId val="179412352"/>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541120"/>
        <c:crosses val="autoZero"/>
        <c:auto val="1"/>
        <c:lblAlgn val="ctr"/>
        <c:lblOffset val="100"/>
        <c:noMultiLvlLbl val="0"/>
      </c:catAx>
      <c:valAx>
        <c:axId val="179541120"/>
        <c:scaling>
          <c:orientation val="minMax"/>
        </c:scaling>
        <c:delete val="0"/>
        <c:axPos val="l"/>
        <c:majorGridlines>
          <c:spPr>
            <a:ln>
              <a:solidFill>
                <a:schemeClr val="bg1">
                  <a:lumMod val="85000"/>
                </a:schemeClr>
              </a:solidFill>
              <a:prstDash val="sysDash"/>
            </a:ln>
          </c:spPr>
        </c:majorGridlines>
        <c:numFmt formatCode="0.00%" sourceLinked="1"/>
        <c:majorTickMark val="out"/>
        <c:minorTickMark val="none"/>
        <c:tickLblPos val="nextTo"/>
        <c:spPr>
          <a:ln>
            <a:solidFill>
              <a:schemeClr val="bg1">
                <a:lumMod val="65000"/>
              </a:schemeClr>
            </a:solidFill>
          </a:ln>
        </c:spPr>
        <c:txPr>
          <a:bodyPr/>
          <a:lstStyle/>
          <a:p>
            <a:pPr>
              <a:defRPr sz="900" b="0"/>
            </a:pPr>
            <a:endParaRPr lang="cs-CZ"/>
          </a:p>
        </c:txPr>
        <c:crossAx val="179412352"/>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Obchodní bilance čistého dovozu PEZ</a:t>
            </a:r>
            <a:endParaRPr lang="cs-CZ" sz="1200">
              <a:effectLst/>
            </a:endParaRPr>
          </a:p>
        </c:rich>
      </c:tx>
      <c:overlay val="0"/>
    </c:title>
    <c:autoTitleDeleted val="0"/>
    <c:plotArea>
      <c:layout/>
      <c:barChart>
        <c:barDir val="col"/>
        <c:grouping val="stacked"/>
        <c:varyColors val="0"/>
        <c:ser>
          <c:idx val="0"/>
          <c:order val="0"/>
          <c:tx>
            <c:strRef>
              <c:f>List1!$A$2</c:f>
              <c:strCache>
                <c:ptCount val="1"/>
                <c:pt idx="0">
                  <c:v>Uhlí</c:v>
                </c:pt>
              </c:strCache>
            </c:strRef>
          </c:tx>
          <c:spPr>
            <a:solidFill>
              <a:srgbClr val="917A6F"/>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-2.8500248068787624</c:v>
                </c:pt>
                <c:pt idx="1">
                  <c:v>0.55372985049768142</c:v>
                </c:pt>
                <c:pt idx="2">
                  <c:v>3.499022134700251</c:v>
                </c:pt>
                <c:pt idx="3">
                  <c:v>6.3976880889134344</c:v>
                </c:pt>
                <c:pt idx="4">
                  <c:v>5.1247207052479533</c:v>
                </c:pt>
                <c:pt idx="5">
                  <c:v>5.0854756762578601</c:v>
                </c:pt>
                <c:pt idx="6">
                  <c:v>4.306370368156375</c:v>
                </c:pt>
              </c:numCache>
            </c:numRef>
          </c:val>
        </c:ser>
        <c:ser>
          <c:idx val="1"/>
          <c:order val="1"/>
          <c:tx>
            <c:strRef>
              <c:f>List1!$A$3</c:f>
              <c:strCache>
                <c:ptCount val="1"/>
                <c:pt idx="0">
                  <c:v>Ropa</c:v>
                </c:pt>
              </c:strCache>
            </c:strRef>
          </c:tx>
          <c:spPr>
            <a:solidFill>
              <a:srgbClr val="FFC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#,##0.00</c:formatCode>
                <c:ptCount val="7"/>
                <c:pt idx="0">
                  <c:v>98.117577055858746</c:v>
                </c:pt>
                <c:pt idx="1">
                  <c:v>152.142069617429</c:v>
                </c:pt>
                <c:pt idx="2">
                  <c:v>152.74990591954912</c:v>
                </c:pt>
                <c:pt idx="3">
                  <c:v>152.57582672752866</c:v>
                </c:pt>
                <c:pt idx="4">
                  <c:v>146.7067012589923</c:v>
                </c:pt>
                <c:pt idx="5">
                  <c:v>138.32642127210212</c:v>
                </c:pt>
                <c:pt idx="6">
                  <c:v>128.33839653583814</c:v>
                </c:pt>
              </c:numCache>
            </c:numRef>
          </c:val>
        </c:ser>
        <c:ser>
          <c:idx val="2"/>
          <c:order val="2"/>
          <c:tx>
            <c:strRef>
              <c:f>List1!$A$4</c:f>
              <c:strCache>
                <c:ptCount val="1"/>
                <c:pt idx="0">
                  <c:v>Zemní plyn</c:v>
                </c:pt>
              </c:strCache>
            </c:strRef>
          </c:tx>
          <c:spPr>
            <a:solidFill>
              <a:srgbClr val="FFFF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#,##0.00</c:formatCode>
                <c:ptCount val="7"/>
                <c:pt idx="0">
                  <c:v>58.943427050000004</c:v>
                </c:pt>
                <c:pt idx="1">
                  <c:v>79.76293145256173</c:v>
                </c:pt>
                <c:pt idx="2">
                  <c:v>85.283446188815077</c:v>
                </c:pt>
                <c:pt idx="3">
                  <c:v>89.319217511094195</c:v>
                </c:pt>
                <c:pt idx="4">
                  <c:v>94.83874096731968</c:v>
                </c:pt>
                <c:pt idx="5">
                  <c:v>98.687787689076288</c:v>
                </c:pt>
                <c:pt idx="6">
                  <c:v>105.74177270813416</c:v>
                </c:pt>
              </c:numCache>
            </c:numRef>
          </c:val>
        </c:ser>
        <c:ser>
          <c:idx val="3"/>
          <c:order val="3"/>
          <c:tx>
            <c:strRef>
              <c:f>List1!$A$5</c:f>
              <c:strCache>
                <c:ptCount val="1"/>
                <c:pt idx="0">
                  <c:v>Jaderné palivo</c:v>
                </c:pt>
              </c:strCache>
            </c:strRef>
          </c:tx>
          <c:spPr>
            <a:solidFill>
              <a:schemeClr val="tx2">
                <a:lumMod val="40000"/>
                <a:lumOff val="6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#,##0.00</c:formatCode>
                <c:ptCount val="7"/>
                <c:pt idx="0">
                  <c:v>2.9291207781818183</c:v>
                </c:pt>
                <c:pt idx="1">
                  <c:v>5.4973325594959483</c:v>
                </c:pt>
                <c:pt idx="2">
                  <c:v>7.5588322693069294</c:v>
                </c:pt>
                <c:pt idx="3">
                  <c:v>9.6203319791179105</c:v>
                </c:pt>
                <c:pt idx="4">
                  <c:v>10.994665118991897</c:v>
                </c:pt>
                <c:pt idx="5">
                  <c:v>15.273243242484249</c:v>
                </c:pt>
                <c:pt idx="6">
                  <c:v>16.967577211161114</c:v>
                </c:pt>
              </c:numCache>
            </c:numRef>
          </c:val>
        </c:ser>
        <c:ser>
          <c:idx val="4"/>
          <c:order val="4"/>
          <c:tx>
            <c:strRef>
              <c:f>List1!$A$6</c:f>
              <c:strCache>
                <c:ptCount val="1"/>
                <c:pt idx="0">
                  <c:v>Saldo elektřiny</c:v>
                </c:pt>
              </c:strCache>
            </c:strRef>
          </c:tx>
          <c:spPr>
            <a:solidFill>
              <a:srgbClr val="FF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#,##0.00</c:formatCode>
                <c:ptCount val="7"/>
                <c:pt idx="0">
                  <c:v>-25.711248000000001</c:v>
                </c:pt>
                <c:pt idx="1">
                  <c:v>-21.01438322404826</c:v>
                </c:pt>
                <c:pt idx="2">
                  <c:v>-16.12692062639621</c:v>
                </c:pt>
                <c:pt idx="3">
                  <c:v>-8.7752684038770141</c:v>
                </c:pt>
                <c:pt idx="4">
                  <c:v>-5.9840238083112238</c:v>
                </c:pt>
                <c:pt idx="5">
                  <c:v>-15.565820870350676</c:v>
                </c:pt>
                <c:pt idx="6">
                  <c:v>-7.1780921978700265</c:v>
                </c:pt>
              </c:numCache>
            </c:numRef>
          </c:val>
        </c:ser>
        <c:dLbls>
          <c:showLegendKey val="0"/>
          <c:showVal val="0"/>
          <c:showCatName val="0"/>
          <c:showSerName val="0"/>
          <c:showPercent val="0"/>
          <c:showBubbleSize val="0"/>
        </c:dLbls>
        <c:gapWidth val="150"/>
        <c:overlap val="100"/>
        <c:axId val="179741824"/>
        <c:axId val="179743360"/>
      </c:barChart>
      <c:lineChart>
        <c:grouping val="standard"/>
        <c:varyColors val="0"/>
        <c:ser>
          <c:idx val="5"/>
          <c:order val="5"/>
          <c:tx>
            <c:strRef>
              <c:f>List1!$A$7</c:f>
              <c:strCache>
                <c:ptCount val="1"/>
                <c:pt idx="0">
                  <c:v>Čistý dovoz</c:v>
                </c:pt>
              </c:strCache>
            </c:strRef>
          </c:tx>
          <c:spPr>
            <a:ln>
              <a:solidFill>
                <a:srgbClr val="0070C0"/>
              </a:solidFill>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#,##0.00</c:formatCode>
                <c:ptCount val="7"/>
                <c:pt idx="0">
                  <c:v>131.42885207716179</c:v>
                </c:pt>
                <c:pt idx="1">
                  <c:v>216.94168025593615</c:v>
                </c:pt>
                <c:pt idx="2">
                  <c:v>232.96428588597516</c:v>
                </c:pt>
                <c:pt idx="3">
                  <c:v>249.13779590277721</c:v>
                </c:pt>
                <c:pt idx="4">
                  <c:v>251.68080424224058</c:v>
                </c:pt>
                <c:pt idx="5">
                  <c:v>241.80710700956982</c:v>
                </c:pt>
                <c:pt idx="6">
                  <c:v>248.17602462541979</c:v>
                </c:pt>
              </c:numCache>
            </c:numRef>
          </c:val>
          <c:smooth val="0"/>
        </c:ser>
        <c:dLbls>
          <c:showLegendKey val="0"/>
          <c:showVal val="0"/>
          <c:showCatName val="0"/>
          <c:showSerName val="0"/>
          <c:showPercent val="0"/>
          <c:showBubbleSize val="0"/>
        </c:dLbls>
        <c:marker val="1"/>
        <c:smooth val="0"/>
        <c:axId val="179741824"/>
        <c:axId val="179743360"/>
      </c:lineChart>
      <c:catAx>
        <c:axId val="179741824"/>
        <c:scaling>
          <c:orientation val="minMax"/>
        </c:scaling>
        <c:delete val="0"/>
        <c:axPos val="b"/>
        <c:numFmt formatCode="General" sourceLinked="0"/>
        <c:majorTickMark val="out"/>
        <c:minorTickMark val="none"/>
        <c:tickLblPos val="low"/>
        <c:spPr>
          <a:ln>
            <a:solidFill>
              <a:schemeClr val="bg1">
                <a:lumMod val="65000"/>
              </a:schemeClr>
            </a:solidFill>
          </a:ln>
        </c:spPr>
        <c:txPr>
          <a:bodyPr/>
          <a:lstStyle/>
          <a:p>
            <a:pPr>
              <a:defRPr sz="900" b="0"/>
            </a:pPr>
            <a:endParaRPr lang="cs-CZ"/>
          </a:p>
        </c:txPr>
        <c:crossAx val="179743360"/>
        <c:crosses val="autoZero"/>
        <c:auto val="1"/>
        <c:lblAlgn val="ctr"/>
        <c:lblOffset val="100"/>
        <c:noMultiLvlLbl val="0"/>
      </c:catAx>
      <c:valAx>
        <c:axId val="179743360"/>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Náklady na čistý dovoz </a:t>
                </a:r>
                <a:r>
                  <a:rPr lang="en-US"/>
                  <a:t>[</a:t>
                </a:r>
                <a:r>
                  <a:rPr lang="cs-CZ"/>
                  <a:t>mld. Kč</a:t>
                </a:r>
                <a:r>
                  <a:rPr lang="en-US"/>
                  <a:t>]</a:t>
                </a:r>
                <a:endParaRPr lang="cs-CZ"/>
              </a:p>
            </c:rich>
          </c:tx>
          <c:overlay val="0"/>
        </c:title>
        <c:numFmt formatCode="0" sourceLinked="0"/>
        <c:majorTickMark val="out"/>
        <c:minorTickMark val="none"/>
        <c:tickLblPos val="nextTo"/>
        <c:spPr>
          <a:noFill/>
          <a:ln>
            <a:solidFill>
              <a:schemeClr val="bg1">
                <a:lumMod val="65000"/>
              </a:schemeClr>
            </a:solidFill>
          </a:ln>
        </c:spPr>
        <c:txPr>
          <a:bodyPr/>
          <a:lstStyle/>
          <a:p>
            <a:pPr>
              <a:defRPr sz="900" b="0"/>
            </a:pPr>
            <a:endParaRPr lang="cs-CZ"/>
          </a:p>
        </c:txPr>
        <c:crossAx val="179741824"/>
        <c:crosses val="autoZero"/>
        <c:crossBetween val="between"/>
      </c:valAx>
    </c:plotArea>
    <c:legend>
      <c:legendPos val="b"/>
      <c:overlay val="0"/>
      <c:spPr>
        <a:no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Srovnání scénářů tuzemské netto spotřeby elektřiny</a:t>
            </a:r>
          </a:p>
        </c:rich>
      </c:tx>
      <c:overlay val="0"/>
    </c:title>
    <c:autoTitleDeleted val="0"/>
    <c:plotArea>
      <c:layout/>
      <c:lineChart>
        <c:grouping val="standard"/>
        <c:varyColors val="0"/>
        <c:ser>
          <c:idx val="0"/>
          <c:order val="0"/>
          <c:tx>
            <c:strRef>
              <c:f>List1!$A$2</c:f>
              <c:strCache>
                <c:ptCount val="1"/>
                <c:pt idx="0">
                  <c:v>Nízký scénář</c:v>
                </c:pt>
              </c:strCache>
            </c:strRef>
          </c:tx>
          <c:spPr>
            <a:ln w="22225">
              <a:prstDash val="solid"/>
            </a:ln>
          </c:spPr>
          <c:marker>
            <c:symbol val="none"/>
          </c:marke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List1!$B$2:$AF$2</c:f>
              <c:numCache>
                <c:formatCode>#,##0</c:formatCode>
                <c:ptCount val="31"/>
                <c:pt idx="0">
                  <c:v>59254.600000000006</c:v>
                </c:pt>
                <c:pt idx="1">
                  <c:v>58635.100000000006</c:v>
                </c:pt>
                <c:pt idx="2">
                  <c:v>58798.999999644482</c:v>
                </c:pt>
                <c:pt idx="3">
                  <c:v>58656.300000240997</c:v>
                </c:pt>
                <c:pt idx="4">
                  <c:v>58561.245757178913</c:v>
                </c:pt>
                <c:pt idx="5">
                  <c:v>58759.643324790304</c:v>
                </c:pt>
                <c:pt idx="6">
                  <c:v>59226.152590662532</c:v>
                </c:pt>
                <c:pt idx="7">
                  <c:v>59450.576518942886</c:v>
                </c:pt>
                <c:pt idx="8">
                  <c:v>59782.72717076767</c:v>
                </c:pt>
                <c:pt idx="9">
                  <c:v>60208.400178996948</c:v>
                </c:pt>
                <c:pt idx="10">
                  <c:v>60764.170660518153</c:v>
                </c:pt>
                <c:pt idx="11">
                  <c:v>61666.37399406451</c:v>
                </c:pt>
                <c:pt idx="12">
                  <c:v>62029.21371375343</c:v>
                </c:pt>
                <c:pt idx="13">
                  <c:v>62264.042155420277</c:v>
                </c:pt>
                <c:pt idx="14">
                  <c:v>62595.584231550354</c:v>
                </c:pt>
                <c:pt idx="15">
                  <c:v>62903.442639516565</c:v>
                </c:pt>
                <c:pt idx="16">
                  <c:v>63176.880548413916</c:v>
                </c:pt>
                <c:pt idx="17">
                  <c:v>63384.464766677658</c:v>
                </c:pt>
                <c:pt idx="18">
                  <c:v>63592.148068068709</c:v>
                </c:pt>
                <c:pt idx="19">
                  <c:v>63891.470615493876</c:v>
                </c:pt>
                <c:pt idx="20">
                  <c:v>64321.749508004832</c:v>
                </c:pt>
                <c:pt idx="21">
                  <c:v>64652.642047001689</c:v>
                </c:pt>
                <c:pt idx="22">
                  <c:v>64909.979611769719</c:v>
                </c:pt>
                <c:pt idx="23">
                  <c:v>64873.606061370265</c:v>
                </c:pt>
                <c:pt idx="24">
                  <c:v>65179.617006423432</c:v>
                </c:pt>
                <c:pt idx="25">
                  <c:v>65409.073589305219</c:v>
                </c:pt>
                <c:pt idx="26">
                  <c:v>65897.202855443989</c:v>
                </c:pt>
                <c:pt idx="27">
                  <c:v>66176.509064673301</c:v>
                </c:pt>
                <c:pt idx="28">
                  <c:v>66363.715696612373</c:v>
                </c:pt>
                <c:pt idx="29">
                  <c:v>66703.469741362744</c:v>
                </c:pt>
                <c:pt idx="30">
                  <c:v>67558.235195791334</c:v>
                </c:pt>
              </c:numCache>
            </c:numRef>
          </c:val>
          <c:smooth val="0"/>
        </c:ser>
        <c:ser>
          <c:idx val="1"/>
          <c:order val="1"/>
          <c:tx>
            <c:strRef>
              <c:f>List1!$A$3</c:f>
              <c:strCache>
                <c:ptCount val="1"/>
                <c:pt idx="0">
                  <c:v>Referenční scénář</c:v>
                </c:pt>
              </c:strCache>
            </c:strRef>
          </c:tx>
          <c:spPr>
            <a:ln w="22225">
              <a:prstDash val="solid"/>
            </a:ln>
          </c:spPr>
          <c:marker>
            <c:symbol val="none"/>
          </c:marke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List1!$B$3:$AF$3</c:f>
              <c:numCache>
                <c:formatCode>#,##0</c:formatCode>
                <c:ptCount val="31"/>
                <c:pt idx="0">
                  <c:v>59254.600000000006</c:v>
                </c:pt>
                <c:pt idx="1">
                  <c:v>58635.100000000006</c:v>
                </c:pt>
                <c:pt idx="2">
                  <c:v>58798.999999644497</c:v>
                </c:pt>
                <c:pt idx="3">
                  <c:v>58656.300000240997</c:v>
                </c:pt>
                <c:pt idx="4">
                  <c:v>58667.407491543418</c:v>
                </c:pt>
                <c:pt idx="5">
                  <c:v>59108.349405218003</c:v>
                </c:pt>
                <c:pt idx="6">
                  <c:v>59475.799465161719</c:v>
                </c:pt>
                <c:pt idx="7">
                  <c:v>60047.503431118159</c:v>
                </c:pt>
                <c:pt idx="8">
                  <c:v>60611.632381843287</c:v>
                </c:pt>
                <c:pt idx="9">
                  <c:v>61209.499387627715</c:v>
                </c:pt>
                <c:pt idx="10">
                  <c:v>62076.74087784061</c:v>
                </c:pt>
                <c:pt idx="11">
                  <c:v>63382.579496067912</c:v>
                </c:pt>
                <c:pt idx="12">
                  <c:v>64234.181138652828</c:v>
                </c:pt>
                <c:pt idx="13">
                  <c:v>64843.379447136365</c:v>
                </c:pt>
                <c:pt idx="14">
                  <c:v>65654.356289707168</c:v>
                </c:pt>
                <c:pt idx="15">
                  <c:v>66492.08057902554</c:v>
                </c:pt>
                <c:pt idx="16">
                  <c:v>67176.683416542393</c:v>
                </c:pt>
                <c:pt idx="17">
                  <c:v>67829.291977441972</c:v>
                </c:pt>
                <c:pt idx="18">
                  <c:v>68416.735626499692</c:v>
                </c:pt>
                <c:pt idx="19">
                  <c:v>69004.794716731223</c:v>
                </c:pt>
                <c:pt idx="20">
                  <c:v>69694.498349779693</c:v>
                </c:pt>
                <c:pt idx="21">
                  <c:v>70433.002413707873</c:v>
                </c:pt>
                <c:pt idx="22">
                  <c:v>70990.14975224252</c:v>
                </c:pt>
                <c:pt idx="23">
                  <c:v>71212.09182953478</c:v>
                </c:pt>
                <c:pt idx="24">
                  <c:v>71772.33581349907</c:v>
                </c:pt>
                <c:pt idx="25">
                  <c:v>72155.198589598323</c:v>
                </c:pt>
                <c:pt idx="26">
                  <c:v>72796.208476701504</c:v>
                </c:pt>
                <c:pt idx="27">
                  <c:v>73093.659082397047</c:v>
                </c:pt>
                <c:pt idx="28">
                  <c:v>73240.176983909361</c:v>
                </c:pt>
                <c:pt idx="29">
                  <c:v>73412.768700746965</c:v>
                </c:pt>
                <c:pt idx="30">
                  <c:v>74071.916235604702</c:v>
                </c:pt>
              </c:numCache>
            </c:numRef>
          </c:val>
          <c:smooth val="0"/>
        </c:ser>
        <c:ser>
          <c:idx val="2"/>
          <c:order val="2"/>
          <c:tx>
            <c:strRef>
              <c:f>List1!$A$4</c:f>
              <c:strCache>
                <c:ptCount val="1"/>
                <c:pt idx="0">
                  <c:v>Vysoký scénář</c:v>
                </c:pt>
              </c:strCache>
            </c:strRef>
          </c:tx>
          <c:spPr>
            <a:ln w="22225">
              <a:prstDash val="solid"/>
            </a:ln>
          </c:spPr>
          <c:marker>
            <c:symbol val="none"/>
          </c:marke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List1!$B$4:$AF$4</c:f>
              <c:numCache>
                <c:formatCode>#,##0</c:formatCode>
                <c:ptCount val="31"/>
                <c:pt idx="0">
                  <c:v>59254.600000000006</c:v>
                </c:pt>
                <c:pt idx="1">
                  <c:v>58635.100000000006</c:v>
                </c:pt>
                <c:pt idx="2">
                  <c:v>58798.999999644497</c:v>
                </c:pt>
                <c:pt idx="3">
                  <c:v>58656.300000240997</c:v>
                </c:pt>
                <c:pt idx="4">
                  <c:v>58602.765479527632</c:v>
                </c:pt>
                <c:pt idx="5">
                  <c:v>59408.529550260821</c:v>
                </c:pt>
                <c:pt idx="6">
                  <c:v>60172.946977104875</c:v>
                </c:pt>
                <c:pt idx="7">
                  <c:v>61137.738342785095</c:v>
                </c:pt>
                <c:pt idx="8">
                  <c:v>62098.36235793191</c:v>
                </c:pt>
                <c:pt idx="9">
                  <c:v>63112.859055012683</c:v>
                </c:pt>
                <c:pt idx="10">
                  <c:v>64220.880093858766</c:v>
                </c:pt>
                <c:pt idx="11">
                  <c:v>65793.19043563091</c:v>
                </c:pt>
                <c:pt idx="12">
                  <c:v>66919.859710658013</c:v>
                </c:pt>
                <c:pt idx="13">
                  <c:v>67843.486114374464</c:v>
                </c:pt>
                <c:pt idx="14">
                  <c:v>68946.583721243529</c:v>
                </c:pt>
                <c:pt idx="15">
                  <c:v>70081.406112657205</c:v>
                </c:pt>
                <c:pt idx="16">
                  <c:v>71066.305325484238</c:v>
                </c:pt>
                <c:pt idx="17">
                  <c:v>72010.039820846301</c:v>
                </c:pt>
                <c:pt idx="18">
                  <c:v>72916.810919453885</c:v>
                </c:pt>
                <c:pt idx="19">
                  <c:v>73866.617817503575</c:v>
                </c:pt>
                <c:pt idx="20">
                  <c:v>74919.203286546661</c:v>
                </c:pt>
                <c:pt idx="21">
                  <c:v>76035.387036237618</c:v>
                </c:pt>
                <c:pt idx="22">
                  <c:v>76957.781286539393</c:v>
                </c:pt>
                <c:pt idx="23">
                  <c:v>77552.67807817104</c:v>
                </c:pt>
                <c:pt idx="24">
                  <c:v>78444.218296177933</c:v>
                </c:pt>
                <c:pt idx="25">
                  <c:v>79168.977845351765</c:v>
                </c:pt>
                <c:pt idx="26">
                  <c:v>80088.14877577404</c:v>
                </c:pt>
                <c:pt idx="27">
                  <c:v>80662.075881486162</c:v>
                </c:pt>
                <c:pt idx="28">
                  <c:v>81088.214371376991</c:v>
                </c:pt>
                <c:pt idx="29">
                  <c:v>81525.330906765375</c:v>
                </c:pt>
                <c:pt idx="30">
                  <c:v>82413.323575642658</c:v>
                </c:pt>
              </c:numCache>
            </c:numRef>
          </c:val>
          <c:smooth val="0"/>
        </c:ser>
        <c:ser>
          <c:idx val="3"/>
          <c:order val="3"/>
          <c:tx>
            <c:strRef>
              <c:f>List1!$A$5</c:f>
              <c:strCache>
                <c:ptCount val="1"/>
                <c:pt idx="0">
                  <c:v>Nízký bez elektromobility</c:v>
                </c:pt>
              </c:strCache>
            </c:strRef>
          </c:tx>
          <c:spPr>
            <a:ln w="22225">
              <a:solidFill>
                <a:srgbClr val="416FA6"/>
              </a:solidFill>
              <a:prstDash val="dash"/>
            </a:ln>
          </c:spPr>
          <c:marker>
            <c:symbol val="none"/>
          </c:marke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List1!$B$5:$AF$5</c:f>
              <c:numCache>
                <c:formatCode>#,##0</c:formatCode>
                <c:ptCount val="31"/>
                <c:pt idx="0">
                  <c:v>59253.724126071567</c:v>
                </c:pt>
                <c:pt idx="1">
                  <c:v>58634.099268317455</c:v>
                </c:pt>
                <c:pt idx="2">
                  <c:v>58797.809979492435</c:v>
                </c:pt>
                <c:pt idx="3">
                  <c:v>58654.957458405428</c:v>
                </c:pt>
                <c:pt idx="4">
                  <c:v>58557.295094441288</c:v>
                </c:pt>
                <c:pt idx="5">
                  <c:v>58752.839475459783</c:v>
                </c:pt>
                <c:pt idx="6">
                  <c:v>59216.223031084875</c:v>
                </c:pt>
                <c:pt idx="7">
                  <c:v>59434.579573581846</c:v>
                </c:pt>
                <c:pt idx="8">
                  <c:v>59759.913122678241</c:v>
                </c:pt>
                <c:pt idx="9">
                  <c:v>60176.202554324584</c:v>
                </c:pt>
                <c:pt idx="10">
                  <c:v>60713.320378428594</c:v>
                </c:pt>
                <c:pt idx="11">
                  <c:v>61583.208732519262</c:v>
                </c:pt>
                <c:pt idx="12">
                  <c:v>61890.473895406307</c:v>
                </c:pt>
                <c:pt idx="13">
                  <c:v>62037.930076899152</c:v>
                </c:pt>
                <c:pt idx="14">
                  <c:v>62269.859347704572</c:v>
                </c:pt>
                <c:pt idx="15">
                  <c:v>62465.35058798817</c:v>
                </c:pt>
                <c:pt idx="16">
                  <c:v>62626.160602138581</c:v>
                </c:pt>
                <c:pt idx="17">
                  <c:v>62708.190839932875</c:v>
                </c:pt>
                <c:pt idx="18">
                  <c:v>62777.843989479217</c:v>
                </c:pt>
                <c:pt idx="19">
                  <c:v>62903.563051139885</c:v>
                </c:pt>
                <c:pt idx="20">
                  <c:v>63132.137849828163</c:v>
                </c:pt>
                <c:pt idx="21">
                  <c:v>63258.360846062635</c:v>
                </c:pt>
                <c:pt idx="22">
                  <c:v>63294.882863784493</c:v>
                </c:pt>
                <c:pt idx="23">
                  <c:v>63032.035569964231</c:v>
                </c:pt>
                <c:pt idx="24">
                  <c:v>63092.551862466236</c:v>
                </c:pt>
                <c:pt idx="25">
                  <c:v>63080.581496961815</c:v>
                </c:pt>
                <c:pt idx="26">
                  <c:v>63347.89953384165</c:v>
                </c:pt>
                <c:pt idx="27">
                  <c:v>63401.046466089589</c:v>
                </c:pt>
                <c:pt idx="28">
                  <c:v>63366.682004770249</c:v>
                </c:pt>
                <c:pt idx="29">
                  <c:v>63483.221095996225</c:v>
                </c:pt>
                <c:pt idx="30">
                  <c:v>64116.004118110861</c:v>
                </c:pt>
              </c:numCache>
            </c:numRef>
          </c:val>
          <c:smooth val="0"/>
        </c:ser>
        <c:ser>
          <c:idx val="4"/>
          <c:order val="4"/>
          <c:tx>
            <c:strRef>
              <c:f>List1!$A$6</c:f>
              <c:strCache>
                <c:ptCount val="1"/>
                <c:pt idx="0">
                  <c:v>Referenční bez elektromobility</c:v>
                </c:pt>
              </c:strCache>
            </c:strRef>
          </c:tx>
          <c:spPr>
            <a:ln w="22225">
              <a:solidFill>
                <a:srgbClr val="A8423F"/>
              </a:solidFill>
              <a:prstDash val="dash"/>
            </a:ln>
          </c:spPr>
          <c:marker>
            <c:symbol val="none"/>
          </c:marke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List1!$B$6:$AF$6</c:f>
              <c:numCache>
                <c:formatCode>#,##0</c:formatCode>
                <c:ptCount val="31"/>
                <c:pt idx="0">
                  <c:v>59253.724126071567</c:v>
                </c:pt>
                <c:pt idx="1">
                  <c:v>58634.099268317455</c:v>
                </c:pt>
                <c:pt idx="2">
                  <c:v>58797.809979492449</c:v>
                </c:pt>
                <c:pt idx="3">
                  <c:v>58654.957458405428</c:v>
                </c:pt>
                <c:pt idx="4">
                  <c:v>58663.456828805793</c:v>
                </c:pt>
                <c:pt idx="5">
                  <c:v>59101.545555887482</c:v>
                </c:pt>
                <c:pt idx="6">
                  <c:v>59465.869905584063</c:v>
                </c:pt>
                <c:pt idx="7">
                  <c:v>60031.50648575712</c:v>
                </c:pt>
                <c:pt idx="8">
                  <c:v>60588.818333753858</c:v>
                </c:pt>
                <c:pt idx="9">
                  <c:v>61177.301762955351</c:v>
                </c:pt>
                <c:pt idx="10">
                  <c:v>62025.890595751051</c:v>
                </c:pt>
                <c:pt idx="11">
                  <c:v>63299.414234522665</c:v>
                </c:pt>
                <c:pt idx="12">
                  <c:v>64095.441320305705</c:v>
                </c:pt>
                <c:pt idx="13">
                  <c:v>64617.267368615241</c:v>
                </c:pt>
                <c:pt idx="14">
                  <c:v>65328.631405861393</c:v>
                </c:pt>
                <c:pt idx="15">
                  <c:v>66053.988527497146</c:v>
                </c:pt>
                <c:pt idx="16">
                  <c:v>66625.963470267059</c:v>
                </c:pt>
                <c:pt idx="17">
                  <c:v>67153.018050697181</c:v>
                </c:pt>
                <c:pt idx="18">
                  <c:v>67602.431547910208</c:v>
                </c:pt>
                <c:pt idx="19">
                  <c:v>68016.88715237724</c:v>
                </c:pt>
                <c:pt idx="20">
                  <c:v>68504.886691603024</c:v>
                </c:pt>
                <c:pt idx="21">
                  <c:v>69038.721212768825</c:v>
                </c:pt>
                <c:pt idx="22">
                  <c:v>69375.053004257294</c:v>
                </c:pt>
                <c:pt idx="23">
                  <c:v>69370.521338128747</c:v>
                </c:pt>
                <c:pt idx="24">
                  <c:v>69685.270669541875</c:v>
                </c:pt>
                <c:pt idx="25">
                  <c:v>69826.706497254927</c:v>
                </c:pt>
                <c:pt idx="26">
                  <c:v>70246.905155099157</c:v>
                </c:pt>
                <c:pt idx="27">
                  <c:v>70318.196483813343</c:v>
                </c:pt>
                <c:pt idx="28">
                  <c:v>70243.143292067238</c:v>
                </c:pt>
                <c:pt idx="29">
                  <c:v>70192.520055380446</c:v>
                </c:pt>
                <c:pt idx="30">
                  <c:v>70629.685157924221</c:v>
                </c:pt>
              </c:numCache>
            </c:numRef>
          </c:val>
          <c:smooth val="0"/>
        </c:ser>
        <c:ser>
          <c:idx val="5"/>
          <c:order val="5"/>
          <c:tx>
            <c:strRef>
              <c:f>List1!$A$7</c:f>
              <c:strCache>
                <c:ptCount val="1"/>
                <c:pt idx="0">
                  <c:v>Vysoký bez elektromobility</c:v>
                </c:pt>
              </c:strCache>
            </c:strRef>
          </c:tx>
          <c:spPr>
            <a:ln w="22225">
              <a:solidFill>
                <a:srgbClr val="86AE40"/>
              </a:solidFill>
              <a:prstDash val="dash"/>
            </a:ln>
          </c:spPr>
          <c:marker>
            <c:symbol val="none"/>
          </c:marker>
          <c:cat>
            <c:strRef>
              <c:f>List1!$B$1:$AF$1</c:f>
              <c:strCach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strCache>
            </c:strRef>
          </c:cat>
          <c:val>
            <c:numRef>
              <c:f>List1!$B$7:$AF$7</c:f>
              <c:numCache>
                <c:formatCode>#,##0</c:formatCode>
                <c:ptCount val="31"/>
                <c:pt idx="0">
                  <c:v>59253.724126071567</c:v>
                </c:pt>
                <c:pt idx="1">
                  <c:v>58634.099268317455</c:v>
                </c:pt>
                <c:pt idx="2">
                  <c:v>58797.809979492449</c:v>
                </c:pt>
                <c:pt idx="3">
                  <c:v>58654.957458405428</c:v>
                </c:pt>
                <c:pt idx="4">
                  <c:v>58598.814816790007</c:v>
                </c:pt>
                <c:pt idx="5">
                  <c:v>59401.725700930299</c:v>
                </c:pt>
                <c:pt idx="6">
                  <c:v>60163.017417527219</c:v>
                </c:pt>
                <c:pt idx="7">
                  <c:v>61121.741397424055</c:v>
                </c:pt>
                <c:pt idx="8">
                  <c:v>62075.548309842481</c:v>
                </c:pt>
                <c:pt idx="9">
                  <c:v>63080.661430340318</c:v>
                </c:pt>
                <c:pt idx="10">
                  <c:v>64170.029811769207</c:v>
                </c:pt>
                <c:pt idx="11">
                  <c:v>65710.025174085662</c:v>
                </c:pt>
                <c:pt idx="12">
                  <c:v>66781.11989231089</c:v>
                </c:pt>
                <c:pt idx="13">
                  <c:v>67617.37403585334</c:v>
                </c:pt>
                <c:pt idx="14">
                  <c:v>68620.858837397755</c:v>
                </c:pt>
                <c:pt idx="15">
                  <c:v>69643.314061128811</c:v>
                </c:pt>
                <c:pt idx="16">
                  <c:v>70515.585379208904</c:v>
                </c:pt>
                <c:pt idx="17">
                  <c:v>71333.765894101511</c:v>
                </c:pt>
                <c:pt idx="18">
                  <c:v>72102.5068408644</c:v>
                </c:pt>
                <c:pt idx="19">
                  <c:v>72878.710253149591</c:v>
                </c:pt>
                <c:pt idx="20">
                  <c:v>73729.591628369992</c:v>
                </c:pt>
                <c:pt idx="21">
                  <c:v>74641.105835298571</c:v>
                </c:pt>
                <c:pt idx="22">
                  <c:v>75342.684538554167</c:v>
                </c:pt>
                <c:pt idx="23">
                  <c:v>75711.107586765007</c:v>
                </c:pt>
                <c:pt idx="24">
                  <c:v>76357.153152220737</c:v>
                </c:pt>
                <c:pt idx="25">
                  <c:v>76840.485753008368</c:v>
                </c:pt>
                <c:pt idx="26">
                  <c:v>77538.845454171693</c:v>
                </c:pt>
                <c:pt idx="27">
                  <c:v>77886.613282902457</c:v>
                </c:pt>
                <c:pt idx="28">
                  <c:v>78091.180679534868</c:v>
                </c:pt>
                <c:pt idx="29">
                  <c:v>78305.082261398857</c:v>
                </c:pt>
                <c:pt idx="30">
                  <c:v>78971.092497962178</c:v>
                </c:pt>
              </c:numCache>
            </c:numRef>
          </c:val>
          <c:smooth val="0"/>
        </c:ser>
        <c:dLbls>
          <c:showLegendKey val="0"/>
          <c:showVal val="0"/>
          <c:showCatName val="0"/>
          <c:showSerName val="0"/>
          <c:showPercent val="0"/>
          <c:showBubbleSize val="0"/>
        </c:dLbls>
        <c:marker val="1"/>
        <c:smooth val="0"/>
        <c:axId val="163979264"/>
        <c:axId val="163980800"/>
      </c:lineChart>
      <c:catAx>
        <c:axId val="163979264"/>
        <c:scaling>
          <c:orientation val="minMax"/>
        </c:scaling>
        <c:delete val="0"/>
        <c:axPos val="b"/>
        <c:numFmt formatCode="General" sourceLinked="0"/>
        <c:majorTickMark val="out"/>
        <c:minorTickMark val="none"/>
        <c:tickLblPos val="nextTo"/>
        <c:spPr>
          <a:ln>
            <a:solidFill>
              <a:schemeClr val="bg1">
                <a:lumMod val="75000"/>
              </a:schemeClr>
            </a:solidFill>
          </a:ln>
        </c:spPr>
        <c:crossAx val="163980800"/>
        <c:crosses val="autoZero"/>
        <c:auto val="1"/>
        <c:lblAlgn val="ctr"/>
        <c:lblOffset val="100"/>
        <c:tickLblSkip val="1"/>
        <c:noMultiLvlLbl val="0"/>
      </c:catAx>
      <c:valAx>
        <c:axId val="163980800"/>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GWh</a:t>
                </a:r>
              </a:p>
            </c:rich>
          </c:tx>
          <c:overlay val="0"/>
        </c:title>
        <c:numFmt formatCode="#,##0" sourceLinked="0"/>
        <c:majorTickMark val="out"/>
        <c:minorTickMark val="none"/>
        <c:tickLblPos val="nextTo"/>
        <c:spPr>
          <a:ln>
            <a:solidFill>
              <a:schemeClr val="bg1">
                <a:lumMod val="75000"/>
              </a:schemeClr>
            </a:solidFill>
          </a:ln>
        </c:spPr>
        <c:crossAx val="163979264"/>
        <c:crosses val="autoZero"/>
        <c:crossBetween val="midCat"/>
      </c:valAx>
    </c:plotArea>
    <c:legend>
      <c:legendPos val="b"/>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Energetická náročnost tvorby HDP</a:t>
            </a:r>
            <a:r>
              <a:rPr lang="cs-CZ" sz="1200" b="1" i="0" u="none" strike="noStrike" baseline="0">
                <a:effectLst/>
              </a:rPr>
              <a:t> v EU v roce 2011</a:t>
            </a:r>
            <a:endParaRPr lang="cs-CZ" sz="1200">
              <a:effectLst/>
            </a:endParaRPr>
          </a:p>
        </c:rich>
      </c:tx>
      <c:overlay val="0"/>
    </c:title>
    <c:autoTitleDeleted val="0"/>
    <c:plotArea>
      <c:layout/>
      <c:barChart>
        <c:barDir val="col"/>
        <c:grouping val="clustered"/>
        <c:varyColors val="0"/>
        <c:ser>
          <c:idx val="0"/>
          <c:order val="0"/>
          <c:tx>
            <c:strRef>
              <c:f>List1!$B$1</c:f>
              <c:strCache>
                <c:ptCount val="1"/>
                <c:pt idx="0">
                  <c:v>Řada 1</c:v>
                </c:pt>
              </c:strCache>
            </c:strRef>
          </c:tx>
          <c:spPr>
            <a:pattFill prst="pct50">
              <a:fgClr>
                <a:schemeClr val="accent2"/>
              </a:fgClr>
              <a:bgClr>
                <a:schemeClr val="bg1"/>
              </a:bgClr>
            </a:pattFill>
            <a:ln>
              <a:solidFill>
                <a:schemeClr val="accent2"/>
              </a:solidFill>
            </a:ln>
          </c:spPr>
          <c:invertIfNegative val="0"/>
          <c:dPt>
            <c:idx val="5"/>
            <c:invertIfNegative val="0"/>
            <c:bubble3D val="0"/>
            <c:spPr>
              <a:pattFill prst="pct50">
                <a:fgClr>
                  <a:schemeClr val="accent5"/>
                </a:fgClr>
                <a:bgClr>
                  <a:schemeClr val="bg1"/>
                </a:bgClr>
              </a:pattFill>
              <a:ln>
                <a:solidFill>
                  <a:schemeClr val="accent5"/>
                </a:solidFill>
              </a:ln>
            </c:spPr>
          </c:dPt>
          <c:dPt>
            <c:idx val="19"/>
            <c:invertIfNegative val="0"/>
            <c:bubble3D val="0"/>
            <c:spPr>
              <a:pattFill prst="pct50">
                <a:fgClr>
                  <a:schemeClr val="accent5"/>
                </a:fgClr>
                <a:bgClr>
                  <a:schemeClr val="bg1"/>
                </a:bgClr>
              </a:pattFill>
              <a:ln>
                <a:solidFill>
                  <a:schemeClr val="accent5"/>
                </a:solidFill>
              </a:ln>
            </c:spPr>
          </c:dPt>
          <c:cat>
            <c:strRef>
              <c:f>List1!$A$2:$A$29</c:f>
              <c:strCache>
                <c:ptCount val="28"/>
                <c:pt idx="0">
                  <c:v>Bulgaria</c:v>
                </c:pt>
                <c:pt idx="1">
                  <c:v>Estonia</c:v>
                </c:pt>
                <c:pt idx="2">
                  <c:v>Malta</c:v>
                </c:pt>
                <c:pt idx="3">
                  <c:v>Slovakia</c:v>
                </c:pt>
                <c:pt idx="4">
                  <c:v>Romania</c:v>
                </c:pt>
                <c:pt idx="5">
                  <c:v>Czech Republic</c:v>
                </c:pt>
                <c:pt idx="6">
                  <c:v>Poland</c:v>
                </c:pt>
                <c:pt idx="7">
                  <c:v>Latvia</c:v>
                </c:pt>
                <c:pt idx="8">
                  <c:v>Hungary</c:v>
                </c:pt>
                <c:pt idx="9">
                  <c:v>Lithuania</c:v>
                </c:pt>
                <c:pt idx="10">
                  <c:v>Slovenia</c:v>
                </c:pt>
                <c:pt idx="11">
                  <c:v>Belgium</c:v>
                </c:pt>
                <c:pt idx="12">
                  <c:v>Cyprus</c:v>
                </c:pt>
                <c:pt idx="13">
                  <c:v>Finland</c:v>
                </c:pt>
                <c:pt idx="14">
                  <c:v>Netherlands</c:v>
                </c:pt>
                <c:pt idx="15">
                  <c:v>Portugal</c:v>
                </c:pt>
                <c:pt idx="16">
                  <c:v>Sweden</c:v>
                </c:pt>
                <c:pt idx="17">
                  <c:v>Greece</c:v>
                </c:pt>
                <c:pt idx="18">
                  <c:v>Spain</c:v>
                </c:pt>
                <c:pt idx="19">
                  <c:v>EU-27</c:v>
                </c:pt>
                <c:pt idx="20">
                  <c:v>France</c:v>
                </c:pt>
                <c:pt idx="21">
                  <c:v>Germany</c:v>
                </c:pt>
                <c:pt idx="22">
                  <c:v>Austria</c:v>
                </c:pt>
                <c:pt idx="23">
                  <c:v>Luxembourg</c:v>
                </c:pt>
                <c:pt idx="24">
                  <c:v>Italy</c:v>
                </c:pt>
                <c:pt idx="25">
                  <c:v>United Kingdom</c:v>
                </c:pt>
                <c:pt idx="26">
                  <c:v>Ireland</c:v>
                </c:pt>
                <c:pt idx="27">
                  <c:v>Denmark</c:v>
                </c:pt>
              </c:strCache>
            </c:strRef>
          </c:cat>
          <c:val>
            <c:numRef>
              <c:f>List1!$B$2:$B$29</c:f>
              <c:numCache>
                <c:formatCode>General</c:formatCode>
                <c:ptCount val="28"/>
                <c:pt idx="0">
                  <c:v>24832.224040000001</c:v>
                </c:pt>
                <c:pt idx="1">
                  <c:v>16057.43554</c:v>
                </c:pt>
                <c:pt idx="2">
                  <c:v>15689.91402</c:v>
                </c:pt>
                <c:pt idx="3">
                  <c:v>12841.95693</c:v>
                </c:pt>
                <c:pt idx="4">
                  <c:v>12674.15684</c:v>
                </c:pt>
                <c:pt idx="5">
                  <c:v>11219.90173</c:v>
                </c:pt>
                <c:pt idx="6">
                  <c:v>10604.26974</c:v>
                </c:pt>
                <c:pt idx="7">
                  <c:v>10443.277990000001</c:v>
                </c:pt>
                <c:pt idx="8">
                  <c:v>9607.0547200000001</c:v>
                </c:pt>
                <c:pt idx="9">
                  <c:v>9545.0789100000002</c:v>
                </c:pt>
                <c:pt idx="10">
                  <c:v>7936.8819899999999</c:v>
                </c:pt>
                <c:pt idx="11">
                  <c:v>6873.7564199999997</c:v>
                </c:pt>
                <c:pt idx="12">
                  <c:v>6406.3713500000003</c:v>
                </c:pt>
                <c:pt idx="13">
                  <c:v>6306.4862800000001</c:v>
                </c:pt>
                <c:pt idx="14">
                  <c:v>6233.4144399999996</c:v>
                </c:pt>
                <c:pt idx="15">
                  <c:v>5744.1467499999999</c:v>
                </c:pt>
                <c:pt idx="16">
                  <c:v>5592.3908899999997</c:v>
                </c:pt>
                <c:pt idx="17">
                  <c:v>5356.6716200000001</c:v>
                </c:pt>
                <c:pt idx="18">
                  <c:v>5289.7310200000002</c:v>
                </c:pt>
                <c:pt idx="19">
                  <c:v>5227.5430200000001</c:v>
                </c:pt>
                <c:pt idx="20">
                  <c:v>5000.9750199999999</c:v>
                </c:pt>
                <c:pt idx="21">
                  <c:v>4744.4324200000001</c:v>
                </c:pt>
                <c:pt idx="22">
                  <c:v>4674.0943699999998</c:v>
                </c:pt>
                <c:pt idx="23">
                  <c:v>4662.942</c:v>
                </c:pt>
                <c:pt idx="24">
                  <c:v>4380.0133599999999</c:v>
                </c:pt>
                <c:pt idx="25">
                  <c:v>3827.0798799999998</c:v>
                </c:pt>
                <c:pt idx="26">
                  <c:v>3267.8425999999999</c:v>
                </c:pt>
                <c:pt idx="27">
                  <c:v>3218.5116200000002</c:v>
                </c:pt>
              </c:numCache>
            </c:numRef>
          </c:val>
        </c:ser>
        <c:dLbls>
          <c:showLegendKey val="0"/>
          <c:showVal val="0"/>
          <c:showCatName val="0"/>
          <c:showSerName val="0"/>
          <c:showPercent val="0"/>
          <c:showBubbleSize val="0"/>
        </c:dLbls>
        <c:gapWidth val="150"/>
        <c:axId val="179577216"/>
        <c:axId val="179578752"/>
      </c:barChart>
      <c:catAx>
        <c:axId val="179577216"/>
        <c:scaling>
          <c:orientation val="minMax"/>
        </c:scaling>
        <c:delete val="0"/>
        <c:axPos val="b"/>
        <c:numFmt formatCode="General" sourceLinked="0"/>
        <c:majorTickMark val="out"/>
        <c:minorTickMark val="none"/>
        <c:tickLblPos val="nextTo"/>
        <c:crossAx val="179578752"/>
        <c:crosses val="autoZero"/>
        <c:auto val="1"/>
        <c:lblAlgn val="ctr"/>
        <c:lblOffset val="100"/>
        <c:noMultiLvlLbl val="0"/>
      </c:catAx>
      <c:valAx>
        <c:axId val="17957875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Energetická</a:t>
                </a:r>
                <a:r>
                  <a:rPr lang="cs-CZ" baseline="0"/>
                  <a:t> náročnost </a:t>
                </a:r>
                <a:r>
                  <a:rPr lang="en-US"/>
                  <a:t>[</a:t>
                </a:r>
                <a:r>
                  <a:rPr lang="cs-CZ"/>
                  <a:t>Btu/2005 U.S</a:t>
                </a:r>
                <a:r>
                  <a:rPr lang="en-US"/>
                  <a:t>D]</a:t>
                </a:r>
                <a:endParaRPr lang="cs-CZ"/>
              </a:p>
            </c:rich>
          </c:tx>
          <c:overlay val="0"/>
        </c:title>
        <c:numFmt formatCode="#,##0" sourceLinked="0"/>
        <c:majorTickMark val="out"/>
        <c:minorTickMark val="none"/>
        <c:tickLblPos val="nextTo"/>
        <c:crossAx val="179577216"/>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Elektronergetická náročnost tvorby HPH sektoru průmyslu</a:t>
            </a:r>
          </a:p>
          <a:p>
            <a:pPr>
              <a:defRPr sz="1200"/>
            </a:pPr>
            <a:r>
              <a:rPr lang="cs-CZ" sz="1200" b="1" i="0" baseline="0">
                <a:effectLst/>
              </a:rPr>
              <a:t>v EU v roce 2011</a:t>
            </a:r>
            <a:endParaRPr lang="cs-CZ" sz="1200">
              <a:effectLst/>
            </a:endParaRPr>
          </a:p>
        </c:rich>
      </c:tx>
      <c:overlay val="0"/>
    </c:title>
    <c:autoTitleDeleted val="0"/>
    <c:plotArea>
      <c:layout/>
      <c:barChart>
        <c:barDir val="col"/>
        <c:grouping val="clustered"/>
        <c:varyColors val="0"/>
        <c:ser>
          <c:idx val="0"/>
          <c:order val="0"/>
          <c:tx>
            <c:strRef>
              <c:f>List1!$B$1</c:f>
              <c:strCache>
                <c:ptCount val="1"/>
                <c:pt idx="0">
                  <c:v>Řada 1</c:v>
                </c:pt>
              </c:strCache>
            </c:strRef>
          </c:tx>
          <c:spPr>
            <a:pattFill prst="pct50">
              <a:fgClr>
                <a:schemeClr val="accent2"/>
              </a:fgClr>
              <a:bgClr>
                <a:schemeClr val="bg1"/>
              </a:bgClr>
            </a:pattFill>
            <a:ln>
              <a:solidFill>
                <a:schemeClr val="accent2"/>
              </a:solidFill>
            </a:ln>
          </c:spPr>
          <c:invertIfNegative val="0"/>
          <c:dPt>
            <c:idx val="5"/>
            <c:invertIfNegative val="0"/>
            <c:bubble3D val="0"/>
          </c:dPt>
          <c:dPt>
            <c:idx val="20"/>
            <c:invertIfNegative val="0"/>
            <c:bubble3D val="0"/>
            <c:spPr>
              <a:pattFill prst="pct50">
                <a:fgClr>
                  <a:schemeClr val="accent5"/>
                </a:fgClr>
                <a:bgClr>
                  <a:schemeClr val="bg1"/>
                </a:bgClr>
              </a:pattFill>
              <a:ln>
                <a:solidFill>
                  <a:schemeClr val="accent5"/>
                </a:solidFill>
              </a:ln>
            </c:spPr>
          </c:dPt>
          <c:dLbls>
            <c:dLbl>
              <c:idx val="20"/>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List1!$A$2:$A$29</c:f>
              <c:strCache>
                <c:ptCount val="28"/>
                <c:pt idx="0">
                  <c:v>Finland</c:v>
                </c:pt>
                <c:pt idx="1">
                  <c:v>Luxembourg</c:v>
                </c:pt>
                <c:pt idx="2">
                  <c:v>Sweden</c:v>
                </c:pt>
                <c:pt idx="3">
                  <c:v>Greece</c:v>
                </c:pt>
                <c:pt idx="4">
                  <c:v>Belgium</c:v>
                </c:pt>
                <c:pt idx="5">
                  <c:v>Latvia</c:v>
                </c:pt>
                <c:pt idx="6">
                  <c:v>Bulgaria</c:v>
                </c:pt>
                <c:pt idx="7">
                  <c:v>Slovenia</c:v>
                </c:pt>
                <c:pt idx="8">
                  <c:v>Portugal</c:v>
                </c:pt>
                <c:pt idx="9">
                  <c:v>France</c:v>
                </c:pt>
                <c:pt idx="10">
                  <c:v>Italy</c:v>
                </c:pt>
                <c:pt idx="11">
                  <c:v>Austria</c:v>
                </c:pt>
                <c:pt idx="12">
                  <c:v>Netherlands</c:v>
                </c:pt>
                <c:pt idx="13">
                  <c:v>Germany</c:v>
                </c:pt>
                <c:pt idx="14">
                  <c:v>Estonia</c:v>
                </c:pt>
                <c:pt idx="15">
                  <c:v>Romania</c:v>
                </c:pt>
                <c:pt idx="16">
                  <c:v>United Kingdom</c:v>
                </c:pt>
                <c:pt idx="17">
                  <c:v>Slovakia</c:v>
                </c:pt>
                <c:pt idx="18">
                  <c:v>Spain</c:v>
                </c:pt>
                <c:pt idx="19">
                  <c:v>Denmark</c:v>
                </c:pt>
                <c:pt idx="20">
                  <c:v>Czech Republic</c:v>
                </c:pt>
                <c:pt idx="21">
                  <c:v>Hungary</c:v>
                </c:pt>
                <c:pt idx="22">
                  <c:v>Croatia</c:v>
                </c:pt>
                <c:pt idx="23">
                  <c:v>Poland</c:v>
                </c:pt>
                <c:pt idx="24">
                  <c:v>Lithuania</c:v>
                </c:pt>
                <c:pt idx="25">
                  <c:v>Cyprus</c:v>
                </c:pt>
                <c:pt idx="26">
                  <c:v>Ireland</c:v>
                </c:pt>
                <c:pt idx="27">
                  <c:v>Malta</c:v>
                </c:pt>
              </c:strCache>
            </c:strRef>
          </c:cat>
          <c:val>
            <c:numRef>
              <c:f>List1!$B$2:$B$29</c:f>
              <c:numCache>
                <c:formatCode>0.0000</c:formatCode>
                <c:ptCount val="28"/>
                <c:pt idx="0">
                  <c:v>1021.3881532604893</c:v>
                </c:pt>
                <c:pt idx="1">
                  <c:v>898.68045352808826</c:v>
                </c:pt>
                <c:pt idx="2">
                  <c:v>804.69651479096717</c:v>
                </c:pt>
                <c:pt idx="3">
                  <c:v>656.19136321813289</c:v>
                </c:pt>
                <c:pt idx="4">
                  <c:v>576.59729881770056</c:v>
                </c:pt>
                <c:pt idx="5">
                  <c:v>461.26462731005461</c:v>
                </c:pt>
                <c:pt idx="6">
                  <c:v>455.1266385347181</c:v>
                </c:pt>
                <c:pt idx="7">
                  <c:v>453.29424464072895</c:v>
                </c:pt>
                <c:pt idx="8">
                  <c:v>427.09527755150509</c:v>
                </c:pt>
                <c:pt idx="9">
                  <c:v>402.99873994069168</c:v>
                </c:pt>
                <c:pt idx="10">
                  <c:v>387.85099996259169</c:v>
                </c:pt>
                <c:pt idx="11">
                  <c:v>372.44683647934016</c:v>
                </c:pt>
                <c:pt idx="12">
                  <c:v>347.04272483582366</c:v>
                </c:pt>
                <c:pt idx="13">
                  <c:v>330.70145132248473</c:v>
                </c:pt>
                <c:pt idx="14">
                  <c:v>328.69780093086479</c:v>
                </c:pt>
                <c:pt idx="15">
                  <c:v>297.75518408071349</c:v>
                </c:pt>
                <c:pt idx="16">
                  <c:v>292.44336904766141</c:v>
                </c:pt>
                <c:pt idx="17">
                  <c:v>282.09909764123609</c:v>
                </c:pt>
                <c:pt idx="18">
                  <c:v>281.42808039930378</c:v>
                </c:pt>
                <c:pt idx="19">
                  <c:v>271.45698982039323</c:v>
                </c:pt>
                <c:pt idx="20">
                  <c:v>264.65149696700342</c:v>
                </c:pt>
                <c:pt idx="21">
                  <c:v>246.57932857824443</c:v>
                </c:pt>
                <c:pt idx="22">
                  <c:v>224.07125802830441</c:v>
                </c:pt>
                <c:pt idx="23">
                  <c:v>222.65674936552873</c:v>
                </c:pt>
                <c:pt idx="24">
                  <c:v>212.99645598633904</c:v>
                </c:pt>
                <c:pt idx="25">
                  <c:v>192.19382016480239</c:v>
                </c:pt>
                <c:pt idx="26">
                  <c:v>0</c:v>
                </c:pt>
                <c:pt idx="27">
                  <c:v>0</c:v>
                </c:pt>
              </c:numCache>
            </c:numRef>
          </c:val>
        </c:ser>
        <c:dLbls>
          <c:showLegendKey val="0"/>
          <c:showVal val="0"/>
          <c:showCatName val="0"/>
          <c:showSerName val="0"/>
          <c:showPercent val="0"/>
          <c:showBubbleSize val="0"/>
        </c:dLbls>
        <c:gapWidth val="150"/>
        <c:axId val="179768320"/>
        <c:axId val="179782400"/>
      </c:barChart>
      <c:catAx>
        <c:axId val="179768320"/>
        <c:scaling>
          <c:orientation val="minMax"/>
        </c:scaling>
        <c:delete val="0"/>
        <c:axPos val="b"/>
        <c:numFmt formatCode="General" sourceLinked="0"/>
        <c:majorTickMark val="out"/>
        <c:minorTickMark val="none"/>
        <c:tickLblPos val="nextTo"/>
        <c:crossAx val="179782400"/>
        <c:crosses val="autoZero"/>
        <c:auto val="1"/>
        <c:lblAlgn val="ctr"/>
        <c:lblOffset val="100"/>
        <c:noMultiLvlLbl val="0"/>
      </c:catAx>
      <c:valAx>
        <c:axId val="179782400"/>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Wh/USD 2005 PPP</a:t>
                </a:r>
              </a:p>
            </c:rich>
          </c:tx>
          <c:overlay val="0"/>
        </c:title>
        <c:numFmt formatCode="#,##0" sourceLinked="0"/>
        <c:majorTickMark val="out"/>
        <c:minorTickMark val="none"/>
        <c:tickLblPos val="nextTo"/>
        <c:crossAx val="179768320"/>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u="none" strike="noStrike" baseline="0">
                <a:effectLst/>
              </a:rPr>
              <a:t>Energetická a elektroenergetická náročnost tvorby HPH</a:t>
            </a:r>
            <a:endParaRPr lang="cs-CZ" sz="1200"/>
          </a:p>
        </c:rich>
      </c:tx>
      <c:overlay val="0"/>
    </c:title>
    <c:autoTitleDeleted val="0"/>
    <c:plotArea>
      <c:layout/>
      <c:barChart>
        <c:barDir val="col"/>
        <c:grouping val="clustered"/>
        <c:varyColors val="0"/>
        <c:ser>
          <c:idx val="0"/>
          <c:order val="0"/>
          <c:tx>
            <c:strRef>
              <c:f>List1!$A$2</c:f>
              <c:strCache>
                <c:ptCount val="1"/>
                <c:pt idx="0">
                  <c:v>Energetická náročnost</c:v>
                </c:pt>
              </c:strCache>
            </c:strRef>
          </c:tx>
          <c:spPr>
            <a:pattFill prst="pct50">
              <a:fgClr>
                <a:schemeClr val="accent1"/>
              </a:fgClr>
              <a:bgClr>
                <a:schemeClr val="bg1"/>
              </a:bgClr>
            </a:pattFill>
            <a:ln>
              <a:solidFill>
                <a:schemeClr val="tx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#,##0.000</c:formatCode>
                <c:ptCount val="7"/>
                <c:pt idx="0">
                  <c:v>0.57116343291778593</c:v>
                </c:pt>
                <c:pt idx="1">
                  <c:v>0.54749370256112373</c:v>
                </c:pt>
                <c:pt idx="2">
                  <c:v>0.4778575998747453</c:v>
                </c:pt>
                <c:pt idx="3">
                  <c:v>0.41179045291730892</c:v>
                </c:pt>
                <c:pt idx="4">
                  <c:v>0.36627646604432551</c:v>
                </c:pt>
                <c:pt idx="5">
                  <c:v>0.3414423865715786</c:v>
                </c:pt>
                <c:pt idx="6">
                  <c:v>0.31697428990690818</c:v>
                </c:pt>
              </c:numCache>
            </c:numRef>
          </c:val>
        </c:ser>
        <c:ser>
          <c:idx val="1"/>
          <c:order val="1"/>
          <c:tx>
            <c:strRef>
              <c:f>List1!$A$3</c:f>
              <c:strCache>
                <c:ptCount val="1"/>
                <c:pt idx="0">
                  <c:v>Elektroenergetická náročnost</c:v>
                </c:pt>
              </c:strCache>
            </c:strRef>
          </c:tx>
          <c:spPr>
            <a:pattFill prst="pct50">
              <a:fgClr>
                <a:srgbClr val="C00000"/>
              </a:fgClr>
              <a:bgClr>
                <a:schemeClr val="bg1"/>
              </a:bgClr>
            </a:pattFill>
            <a:ln>
              <a:solidFill>
                <a:schemeClr val="accent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#,##0.000</c:formatCode>
                <c:ptCount val="7"/>
                <c:pt idx="0">
                  <c:v>6.5705816037997383E-2</c:v>
                </c:pt>
                <c:pt idx="1">
                  <c:v>6.2894982119372528E-2</c:v>
                </c:pt>
                <c:pt idx="2">
                  <c:v>5.8491553382994416E-2</c:v>
                </c:pt>
                <c:pt idx="3">
                  <c:v>5.5654416605797223E-2</c:v>
                </c:pt>
                <c:pt idx="4">
                  <c:v>5.2319324970532086E-2</c:v>
                </c:pt>
                <c:pt idx="5">
                  <c:v>4.9366679696892443E-2</c:v>
                </c:pt>
                <c:pt idx="6">
                  <c:v>4.8400013477329036E-2</c:v>
                </c:pt>
              </c:numCache>
            </c:numRef>
          </c:val>
        </c:ser>
        <c:dLbls>
          <c:showLegendKey val="0"/>
          <c:showVal val="0"/>
          <c:showCatName val="0"/>
          <c:showSerName val="0"/>
          <c:showPercent val="0"/>
          <c:showBubbleSize val="0"/>
        </c:dLbls>
        <c:gapWidth val="150"/>
        <c:axId val="179608576"/>
        <c:axId val="179700480"/>
      </c:barChart>
      <c:lineChart>
        <c:grouping val="standard"/>
        <c:varyColors val="0"/>
        <c:ser>
          <c:idx val="2"/>
          <c:order val="2"/>
          <c:tx>
            <c:strRef>
              <c:f>List1!$A$4</c:f>
              <c:strCache>
                <c:ptCount val="1"/>
                <c:pt idx="0">
                  <c:v>Elektroenergetická náročnost</c:v>
                </c:pt>
              </c:strCache>
            </c:strRef>
          </c:tx>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#,##0.000</c:formatCode>
                <c:ptCount val="7"/>
                <c:pt idx="0">
                  <c:v>18.251615566110384</c:v>
                </c:pt>
                <c:pt idx="1">
                  <c:v>17.47082836649237</c:v>
                </c:pt>
                <c:pt idx="2">
                  <c:v>16.247653717498448</c:v>
                </c:pt>
                <c:pt idx="3">
                  <c:v>15.459560168277006</c:v>
                </c:pt>
                <c:pt idx="4">
                  <c:v>14.533145825147802</c:v>
                </c:pt>
                <c:pt idx="5">
                  <c:v>13.712966582470123</c:v>
                </c:pt>
                <c:pt idx="6">
                  <c:v>13.444448188146957</c:v>
                </c:pt>
              </c:numCache>
            </c:numRef>
          </c:val>
          <c:smooth val="0"/>
        </c:ser>
        <c:dLbls>
          <c:showLegendKey val="0"/>
          <c:showVal val="0"/>
          <c:showCatName val="0"/>
          <c:showSerName val="0"/>
          <c:showPercent val="0"/>
          <c:showBubbleSize val="0"/>
        </c:dLbls>
        <c:marker val="1"/>
        <c:smooth val="0"/>
        <c:axId val="179802880"/>
        <c:axId val="179702400"/>
      </c:lineChart>
      <c:catAx>
        <c:axId val="179608576"/>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700480"/>
        <c:crosses val="autoZero"/>
        <c:auto val="1"/>
        <c:lblAlgn val="ctr"/>
        <c:lblOffset val="100"/>
        <c:noMultiLvlLbl val="0"/>
      </c:catAx>
      <c:valAx>
        <c:axId val="179700480"/>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MJ/Kč</a:t>
                </a:r>
              </a:p>
            </c:rich>
          </c:tx>
          <c:overlay val="0"/>
        </c:title>
        <c:numFmt formatCode="#,##0.000" sourceLinked="1"/>
        <c:majorTickMark val="out"/>
        <c:minorTickMark val="none"/>
        <c:tickLblPos val="nextTo"/>
        <c:spPr>
          <a:ln>
            <a:solidFill>
              <a:schemeClr val="bg1">
                <a:lumMod val="65000"/>
              </a:schemeClr>
            </a:solidFill>
          </a:ln>
        </c:spPr>
        <c:txPr>
          <a:bodyPr/>
          <a:lstStyle/>
          <a:p>
            <a:pPr>
              <a:defRPr sz="900" b="0"/>
            </a:pPr>
            <a:endParaRPr lang="cs-CZ"/>
          </a:p>
        </c:txPr>
        <c:crossAx val="179608576"/>
        <c:crosses val="autoZero"/>
        <c:crossBetween val="between"/>
      </c:valAx>
      <c:valAx>
        <c:axId val="179702400"/>
        <c:scaling>
          <c:orientation val="minMax"/>
        </c:scaling>
        <c:delete val="0"/>
        <c:axPos val="r"/>
        <c:title>
          <c:tx>
            <c:rich>
              <a:bodyPr rot="-5400000" vert="horz"/>
              <a:lstStyle/>
              <a:p>
                <a:pPr>
                  <a:defRPr/>
                </a:pPr>
                <a:r>
                  <a:rPr lang="cs-CZ"/>
                  <a:t>Wh/Kč</a:t>
                </a:r>
              </a:p>
            </c:rich>
          </c:tx>
          <c:overlay val="0"/>
        </c:title>
        <c:numFmt formatCode="#,##0" sourceLinked="0"/>
        <c:majorTickMark val="out"/>
        <c:minorTickMark val="none"/>
        <c:tickLblPos val="nextTo"/>
        <c:txPr>
          <a:bodyPr/>
          <a:lstStyle/>
          <a:p>
            <a:pPr>
              <a:defRPr b="0"/>
            </a:pPr>
            <a:endParaRPr lang="cs-CZ"/>
          </a:p>
        </c:txPr>
        <c:crossAx val="179802880"/>
        <c:crosses val="max"/>
        <c:crossBetween val="between"/>
      </c:valAx>
      <c:catAx>
        <c:axId val="179802880"/>
        <c:scaling>
          <c:orientation val="minMax"/>
        </c:scaling>
        <c:delete val="1"/>
        <c:axPos val="b"/>
        <c:numFmt formatCode="General" sourceLinked="1"/>
        <c:majorTickMark val="out"/>
        <c:minorTickMark val="none"/>
        <c:tickLblPos val="nextTo"/>
        <c:crossAx val="179702400"/>
        <c:crosses val="autoZero"/>
        <c:auto val="1"/>
        <c:lblAlgn val="ctr"/>
        <c:lblOffset val="100"/>
        <c:noMultiLvlLbl val="0"/>
      </c:catAx>
    </c:plotArea>
    <c:legend>
      <c:legendPos val="b"/>
      <c:overlay val="0"/>
      <c:txPr>
        <a:bodyPr/>
        <a:lstStyle/>
        <a:p>
          <a:pPr>
            <a:defRPr sz="800" spc="-50" baseline="0"/>
          </a:pPr>
          <a:endParaRPr lang="cs-CZ"/>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Emise CO</a:t>
            </a:r>
            <a:r>
              <a:rPr lang="en-US" sz="1200" baseline="-25000"/>
              <a:t>2</a:t>
            </a:r>
            <a:r>
              <a:rPr lang="en-US" sz="1200"/>
              <a:t> ze spalovacích procesů</a:t>
            </a:r>
          </a:p>
        </c:rich>
      </c:tx>
      <c:overlay val="0"/>
    </c:title>
    <c:autoTitleDeleted val="0"/>
    <c:plotArea>
      <c:layout/>
      <c:lineChart>
        <c:grouping val="standard"/>
        <c:varyColors val="0"/>
        <c:ser>
          <c:idx val="0"/>
          <c:order val="0"/>
          <c:tx>
            <c:strRef>
              <c:f>List1!$A$2</c:f>
              <c:strCache>
                <c:ptCount val="1"/>
                <c:pt idx="0">
                  <c:v>Emise CO2 ze spalovacích procesů</c:v>
                </c:pt>
              </c:strCache>
            </c:strRef>
          </c:tx>
          <c:spPr>
            <a:ln>
              <a:solidFill>
                <a:schemeClr val="bg1">
                  <a:lumMod val="65000"/>
                </a:schemeClr>
              </a:solidFill>
            </a:ln>
          </c:spPr>
          <c:marker>
            <c:symbol val="none"/>
          </c:marker>
          <c:cat>
            <c:strRef>
              <c:f>List1!$B$1:$AZ$1</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List1!$B$2:$AZ$2</c:f>
              <c:numCache>
                <c:formatCode>0.00</c:formatCode>
                <c:ptCount val="51"/>
                <c:pt idx="0">
                  <c:v>160.74</c:v>
                </c:pt>
                <c:pt idx="1">
                  <c:v>146.88</c:v>
                </c:pt>
                <c:pt idx="2">
                  <c:v>138.31</c:v>
                </c:pt>
                <c:pt idx="3">
                  <c:v>132.88</c:v>
                </c:pt>
                <c:pt idx="4">
                  <c:v>125.28</c:v>
                </c:pt>
                <c:pt idx="5">
                  <c:v>126.84</c:v>
                </c:pt>
                <c:pt idx="6">
                  <c:v>129.58000000000001</c:v>
                </c:pt>
                <c:pt idx="7">
                  <c:v>131.83000000000001</c:v>
                </c:pt>
                <c:pt idx="8">
                  <c:v>124.47</c:v>
                </c:pt>
                <c:pt idx="9">
                  <c:v>113.46</c:v>
                </c:pt>
                <c:pt idx="10">
                  <c:v>125.29</c:v>
                </c:pt>
                <c:pt idx="11">
                  <c:v>126.05</c:v>
                </c:pt>
                <c:pt idx="12">
                  <c:v>124.33</c:v>
                </c:pt>
                <c:pt idx="13">
                  <c:v>125.74</c:v>
                </c:pt>
                <c:pt idx="14">
                  <c:v>126.61</c:v>
                </c:pt>
                <c:pt idx="15">
                  <c:v>124.92</c:v>
                </c:pt>
                <c:pt idx="16">
                  <c:v>127.05</c:v>
                </c:pt>
                <c:pt idx="17">
                  <c:v>128.22999999999999</c:v>
                </c:pt>
                <c:pt idx="18">
                  <c:v>121.2</c:v>
                </c:pt>
                <c:pt idx="19">
                  <c:v>111.4</c:v>
                </c:pt>
                <c:pt idx="20">
                  <c:v>115.77</c:v>
                </c:pt>
                <c:pt idx="21">
                  <c:v>114.06</c:v>
                </c:pt>
                <c:pt idx="22">
                  <c:v>113.7534834596303</c:v>
                </c:pt>
                <c:pt idx="23">
                  <c:v>106.36882084499956</c:v>
                </c:pt>
                <c:pt idx="24">
                  <c:v>111.78544773177947</c:v>
                </c:pt>
                <c:pt idx="25">
                  <c:v>115.33588312796959</c:v>
                </c:pt>
                <c:pt idx="26">
                  <c:v>113.53079810264585</c:v>
                </c:pt>
                <c:pt idx="27">
                  <c:v>112.77398819575158</c:v>
                </c:pt>
                <c:pt idx="28">
                  <c:v>108.49470911311914</c:v>
                </c:pt>
                <c:pt idx="29">
                  <c:v>108.49287256901114</c:v>
                </c:pt>
                <c:pt idx="30">
                  <c:v>107.38896099042309</c:v>
                </c:pt>
                <c:pt idx="31">
                  <c:v>101.77992612594885</c:v>
                </c:pt>
                <c:pt idx="32">
                  <c:v>100.11644378752888</c:v>
                </c:pt>
                <c:pt idx="33">
                  <c:v>98.565193203439364</c:v>
                </c:pt>
                <c:pt idx="34">
                  <c:v>97.632222817415141</c:v>
                </c:pt>
                <c:pt idx="35">
                  <c:v>95.586576493096118</c:v>
                </c:pt>
                <c:pt idx="36">
                  <c:v>94.781861434999129</c:v>
                </c:pt>
                <c:pt idx="37">
                  <c:v>94.484772603928263</c:v>
                </c:pt>
                <c:pt idx="38">
                  <c:v>93.91975202846497</c:v>
                </c:pt>
                <c:pt idx="39">
                  <c:v>93.680190044355143</c:v>
                </c:pt>
                <c:pt idx="40">
                  <c:v>90.951943840809975</c:v>
                </c:pt>
                <c:pt idx="41">
                  <c:v>89.86317442832528</c:v>
                </c:pt>
                <c:pt idx="42">
                  <c:v>89.506993301415463</c:v>
                </c:pt>
                <c:pt idx="43">
                  <c:v>87.869793917996276</c:v>
                </c:pt>
                <c:pt idx="44">
                  <c:v>85.192475931986252</c:v>
                </c:pt>
                <c:pt idx="45">
                  <c:v>84.067467002777406</c:v>
                </c:pt>
                <c:pt idx="46">
                  <c:v>83.385409738277957</c:v>
                </c:pt>
                <c:pt idx="47">
                  <c:v>80.333260544598346</c:v>
                </c:pt>
                <c:pt idx="48">
                  <c:v>79.853472657703506</c:v>
                </c:pt>
                <c:pt idx="49">
                  <c:v>79.472711814213923</c:v>
                </c:pt>
                <c:pt idx="50">
                  <c:v>72.480708853609187</c:v>
                </c:pt>
              </c:numCache>
            </c:numRef>
          </c:val>
          <c:smooth val="0"/>
        </c:ser>
        <c:ser>
          <c:idx val="1"/>
          <c:order val="1"/>
          <c:tx>
            <c:strRef>
              <c:f>List1!$A$3</c:f>
              <c:strCache>
                <c:ptCount val="1"/>
                <c:pt idx="0">
                  <c:v>Cíl 2020</c:v>
                </c:pt>
              </c:strCache>
            </c:strRef>
          </c:tx>
          <c:spPr>
            <a:ln w="19050"/>
          </c:spPr>
          <c:marker>
            <c:symbol val="none"/>
          </c:marker>
          <c:cat>
            <c:strRef>
              <c:f>List1!$B$1:$AZ$1</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List1!$B$3:$AZ$3</c:f>
              <c:numCache>
                <c:formatCode>0.00</c:formatCode>
                <c:ptCount val="51"/>
                <c:pt idx="0">
                  <c:v>128.59200000000001</c:v>
                </c:pt>
                <c:pt idx="1">
                  <c:v>128.59200000000001</c:v>
                </c:pt>
                <c:pt idx="2">
                  <c:v>128.59200000000001</c:v>
                </c:pt>
                <c:pt idx="3">
                  <c:v>128.59200000000001</c:v>
                </c:pt>
                <c:pt idx="4">
                  <c:v>128.59200000000001</c:v>
                </c:pt>
                <c:pt idx="5">
                  <c:v>128.59200000000001</c:v>
                </c:pt>
                <c:pt idx="6">
                  <c:v>128.59200000000001</c:v>
                </c:pt>
                <c:pt idx="7">
                  <c:v>128.59200000000001</c:v>
                </c:pt>
                <c:pt idx="8">
                  <c:v>128.59200000000001</c:v>
                </c:pt>
                <c:pt idx="9">
                  <c:v>128.59200000000001</c:v>
                </c:pt>
                <c:pt idx="10">
                  <c:v>128.59200000000001</c:v>
                </c:pt>
                <c:pt idx="11">
                  <c:v>128.59200000000001</c:v>
                </c:pt>
                <c:pt idx="12">
                  <c:v>128.59200000000001</c:v>
                </c:pt>
                <c:pt idx="13">
                  <c:v>128.59200000000001</c:v>
                </c:pt>
                <c:pt idx="14">
                  <c:v>128.59200000000001</c:v>
                </c:pt>
                <c:pt idx="15">
                  <c:v>128.59200000000001</c:v>
                </c:pt>
                <c:pt idx="16">
                  <c:v>128.59200000000001</c:v>
                </c:pt>
                <c:pt idx="17">
                  <c:v>128.59200000000001</c:v>
                </c:pt>
                <c:pt idx="18">
                  <c:v>128.59200000000001</c:v>
                </c:pt>
                <c:pt idx="19">
                  <c:v>128.59200000000001</c:v>
                </c:pt>
                <c:pt idx="20">
                  <c:v>128.59200000000001</c:v>
                </c:pt>
                <c:pt idx="21">
                  <c:v>128.59200000000001</c:v>
                </c:pt>
                <c:pt idx="22">
                  <c:v>128.59200000000001</c:v>
                </c:pt>
                <c:pt idx="23">
                  <c:v>128.59200000000001</c:v>
                </c:pt>
                <c:pt idx="24">
                  <c:v>128.59200000000001</c:v>
                </c:pt>
                <c:pt idx="25">
                  <c:v>128.59200000000001</c:v>
                </c:pt>
                <c:pt idx="26">
                  <c:v>128.59200000000001</c:v>
                </c:pt>
                <c:pt idx="27">
                  <c:v>128.59200000000001</c:v>
                </c:pt>
                <c:pt idx="28">
                  <c:v>128.59200000000001</c:v>
                </c:pt>
                <c:pt idx="29">
                  <c:v>128.59200000000001</c:v>
                </c:pt>
                <c:pt idx="30">
                  <c:v>128.59200000000001</c:v>
                </c:pt>
                <c:pt idx="31">
                  <c:v>128.59200000000001</c:v>
                </c:pt>
                <c:pt idx="32">
                  <c:v>128.59200000000001</c:v>
                </c:pt>
                <c:pt idx="33">
                  <c:v>128.59200000000001</c:v>
                </c:pt>
                <c:pt idx="34">
                  <c:v>128.59200000000001</c:v>
                </c:pt>
                <c:pt idx="35">
                  <c:v>128.59200000000001</c:v>
                </c:pt>
                <c:pt idx="36">
                  <c:v>128.59200000000001</c:v>
                </c:pt>
                <c:pt idx="37">
                  <c:v>128.59200000000001</c:v>
                </c:pt>
                <c:pt idx="38">
                  <c:v>128.59200000000001</c:v>
                </c:pt>
                <c:pt idx="39">
                  <c:v>128.59200000000001</c:v>
                </c:pt>
                <c:pt idx="40">
                  <c:v>128.59200000000001</c:v>
                </c:pt>
                <c:pt idx="41">
                  <c:v>128.59200000000001</c:v>
                </c:pt>
                <c:pt idx="42">
                  <c:v>128.59200000000001</c:v>
                </c:pt>
                <c:pt idx="43">
                  <c:v>128.59200000000001</c:v>
                </c:pt>
                <c:pt idx="44">
                  <c:v>128.59200000000001</c:v>
                </c:pt>
                <c:pt idx="45">
                  <c:v>128.59200000000001</c:v>
                </c:pt>
                <c:pt idx="46">
                  <c:v>128.59200000000001</c:v>
                </c:pt>
                <c:pt idx="47">
                  <c:v>128.59200000000001</c:v>
                </c:pt>
                <c:pt idx="48">
                  <c:v>128.59200000000001</c:v>
                </c:pt>
                <c:pt idx="49">
                  <c:v>128.59200000000001</c:v>
                </c:pt>
                <c:pt idx="50">
                  <c:v>128.59200000000001</c:v>
                </c:pt>
              </c:numCache>
            </c:numRef>
          </c:val>
          <c:smooth val="0"/>
        </c:ser>
        <c:ser>
          <c:idx val="2"/>
          <c:order val="2"/>
          <c:tx>
            <c:strRef>
              <c:f>List1!$A$4</c:f>
              <c:strCache>
                <c:ptCount val="1"/>
                <c:pt idx="0">
                  <c:v>Cíl 2030</c:v>
                </c:pt>
              </c:strCache>
            </c:strRef>
          </c:tx>
          <c:spPr>
            <a:ln w="19050"/>
          </c:spPr>
          <c:marker>
            <c:symbol val="none"/>
          </c:marker>
          <c:cat>
            <c:strRef>
              <c:f>List1!$B$1:$AZ$1</c:f>
              <c:strCache>
                <c:ptCount val="5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strCache>
            </c:strRef>
          </c:cat>
          <c:val>
            <c:numRef>
              <c:f>List1!$B$4:$AZ$4</c:f>
              <c:numCache>
                <c:formatCode>0.00</c:formatCode>
                <c:ptCount val="51"/>
                <c:pt idx="0">
                  <c:v>96.444000000000003</c:v>
                </c:pt>
                <c:pt idx="1">
                  <c:v>96.444000000000003</c:v>
                </c:pt>
                <c:pt idx="2">
                  <c:v>96.444000000000003</c:v>
                </c:pt>
                <c:pt idx="3">
                  <c:v>96.444000000000003</c:v>
                </c:pt>
                <c:pt idx="4">
                  <c:v>96.444000000000003</c:v>
                </c:pt>
                <c:pt idx="5">
                  <c:v>96.444000000000003</c:v>
                </c:pt>
                <c:pt idx="6">
                  <c:v>96.444000000000003</c:v>
                </c:pt>
                <c:pt idx="7">
                  <c:v>96.444000000000003</c:v>
                </c:pt>
                <c:pt idx="8">
                  <c:v>96.444000000000003</c:v>
                </c:pt>
                <c:pt idx="9">
                  <c:v>96.444000000000003</c:v>
                </c:pt>
                <c:pt idx="10">
                  <c:v>96.444000000000003</c:v>
                </c:pt>
                <c:pt idx="11">
                  <c:v>96.444000000000003</c:v>
                </c:pt>
                <c:pt idx="12">
                  <c:v>96.444000000000003</c:v>
                </c:pt>
                <c:pt idx="13">
                  <c:v>96.444000000000003</c:v>
                </c:pt>
                <c:pt idx="14">
                  <c:v>96.444000000000003</c:v>
                </c:pt>
                <c:pt idx="15">
                  <c:v>96.444000000000003</c:v>
                </c:pt>
                <c:pt idx="16">
                  <c:v>96.444000000000003</c:v>
                </c:pt>
                <c:pt idx="17">
                  <c:v>96.444000000000003</c:v>
                </c:pt>
                <c:pt idx="18">
                  <c:v>96.444000000000003</c:v>
                </c:pt>
                <c:pt idx="19">
                  <c:v>96.444000000000003</c:v>
                </c:pt>
                <c:pt idx="20">
                  <c:v>96.444000000000003</c:v>
                </c:pt>
                <c:pt idx="21">
                  <c:v>96.444000000000003</c:v>
                </c:pt>
                <c:pt idx="22">
                  <c:v>96.444000000000003</c:v>
                </c:pt>
                <c:pt idx="23">
                  <c:v>96.444000000000003</c:v>
                </c:pt>
                <c:pt idx="24">
                  <c:v>96.444000000000003</c:v>
                </c:pt>
                <c:pt idx="25">
                  <c:v>96.444000000000003</c:v>
                </c:pt>
                <c:pt idx="26">
                  <c:v>96.444000000000003</c:v>
                </c:pt>
                <c:pt idx="27">
                  <c:v>96.444000000000003</c:v>
                </c:pt>
                <c:pt idx="28">
                  <c:v>96.444000000000003</c:v>
                </c:pt>
                <c:pt idx="29">
                  <c:v>96.444000000000003</c:v>
                </c:pt>
                <c:pt idx="30">
                  <c:v>96.444000000000003</c:v>
                </c:pt>
                <c:pt idx="31">
                  <c:v>96.444000000000003</c:v>
                </c:pt>
                <c:pt idx="32">
                  <c:v>96.444000000000003</c:v>
                </c:pt>
                <c:pt idx="33">
                  <c:v>96.444000000000003</c:v>
                </c:pt>
                <c:pt idx="34">
                  <c:v>96.444000000000003</c:v>
                </c:pt>
                <c:pt idx="35">
                  <c:v>96.444000000000003</c:v>
                </c:pt>
                <c:pt idx="36">
                  <c:v>96.444000000000003</c:v>
                </c:pt>
                <c:pt idx="37">
                  <c:v>96.444000000000003</c:v>
                </c:pt>
                <c:pt idx="38">
                  <c:v>96.444000000000003</c:v>
                </c:pt>
                <c:pt idx="39">
                  <c:v>96.444000000000003</c:v>
                </c:pt>
                <c:pt idx="40">
                  <c:v>96.444000000000003</c:v>
                </c:pt>
                <c:pt idx="41">
                  <c:v>96.444000000000003</c:v>
                </c:pt>
                <c:pt idx="42">
                  <c:v>96.444000000000003</c:v>
                </c:pt>
                <c:pt idx="43">
                  <c:v>96.444000000000003</c:v>
                </c:pt>
                <c:pt idx="44">
                  <c:v>96.444000000000003</c:v>
                </c:pt>
                <c:pt idx="45">
                  <c:v>96.444000000000003</c:v>
                </c:pt>
                <c:pt idx="46">
                  <c:v>96.444000000000003</c:v>
                </c:pt>
                <c:pt idx="47">
                  <c:v>96.444000000000003</c:v>
                </c:pt>
                <c:pt idx="48">
                  <c:v>96.444000000000003</c:v>
                </c:pt>
                <c:pt idx="49">
                  <c:v>96.444000000000003</c:v>
                </c:pt>
                <c:pt idx="50">
                  <c:v>96.444000000000003</c:v>
                </c:pt>
              </c:numCache>
            </c:numRef>
          </c:val>
          <c:smooth val="0"/>
        </c:ser>
        <c:dLbls>
          <c:showLegendKey val="0"/>
          <c:showVal val="0"/>
          <c:showCatName val="0"/>
          <c:showSerName val="0"/>
          <c:showPercent val="0"/>
          <c:showBubbleSize val="0"/>
        </c:dLbls>
        <c:marker val="1"/>
        <c:smooth val="0"/>
        <c:axId val="180443392"/>
        <c:axId val="179843072"/>
      </c:lineChart>
      <c:catAx>
        <c:axId val="180443392"/>
        <c:scaling>
          <c:orientation val="minMax"/>
        </c:scaling>
        <c:delete val="0"/>
        <c:axPos val="b"/>
        <c:numFmt formatCode="General" sourceLinked="0"/>
        <c:majorTickMark val="out"/>
        <c:minorTickMark val="none"/>
        <c:tickLblPos val="nextTo"/>
        <c:crossAx val="179843072"/>
        <c:crosses val="autoZero"/>
        <c:auto val="1"/>
        <c:lblAlgn val="ctr"/>
        <c:lblOffset val="100"/>
        <c:noMultiLvlLbl val="0"/>
      </c:catAx>
      <c:valAx>
        <c:axId val="17984307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Mt CO</a:t>
                </a:r>
                <a:r>
                  <a:rPr lang="cs-CZ" baseline="-25000"/>
                  <a:t>2</a:t>
                </a:r>
              </a:p>
            </c:rich>
          </c:tx>
          <c:overlay val="0"/>
        </c:title>
        <c:numFmt formatCode="0.00" sourceLinked="1"/>
        <c:majorTickMark val="out"/>
        <c:minorTickMark val="none"/>
        <c:tickLblPos val="nextTo"/>
        <c:crossAx val="180443392"/>
        <c:crosses val="autoZero"/>
        <c:crossBetween val="midCat"/>
      </c:valAx>
    </c:plotArea>
    <c:legend>
      <c:legendPos val="b"/>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effectLst/>
              </a:rPr>
              <a:t>Vývoj emisí SO</a:t>
            </a:r>
            <a:r>
              <a:rPr lang="cs-CZ" sz="1200" baseline="-25000">
                <a:effectLst/>
              </a:rPr>
              <a:t>2</a:t>
            </a:r>
            <a:endParaRPr lang="cs-CZ" sz="1200">
              <a:effectLst/>
            </a:endParaRPr>
          </a:p>
        </c:rich>
      </c:tx>
      <c:overlay val="0"/>
    </c:title>
    <c:autoTitleDeleted val="0"/>
    <c:plotArea>
      <c:layout/>
      <c:barChart>
        <c:barDir val="col"/>
        <c:grouping val="clustered"/>
        <c:varyColors val="0"/>
        <c:ser>
          <c:idx val="0"/>
          <c:order val="0"/>
          <c:tx>
            <c:strRef>
              <c:f>List1!$A$2</c:f>
              <c:strCache>
                <c:ptCount val="1"/>
                <c:pt idx="0">
                  <c:v>Emise SO2</c:v>
                </c:pt>
              </c:strCache>
            </c:strRef>
          </c:tx>
          <c:spPr>
            <a:pattFill prst="pct50">
              <a:fgClr>
                <a:schemeClr val="accent1"/>
              </a:fgClr>
              <a:bgClr>
                <a:schemeClr val="bg1"/>
              </a:bgClr>
            </a:pattFill>
            <a:ln>
              <a:solidFill>
                <a:schemeClr val="accent1"/>
              </a:solidFill>
            </a:ln>
          </c:spPr>
          <c:invertIfNegative val="0"/>
          <c:dLbls>
            <c:dLbl>
              <c:idx val="6"/>
              <c:layout>
                <c:manualLayout>
                  <c:x val="0"/>
                  <c:y val="-1.0075566750629723E-2"/>
                </c:manualLayout>
              </c:layout>
              <c:showLegendKey val="0"/>
              <c:showVal val="1"/>
              <c:showCatName val="0"/>
              <c:showSerName val="0"/>
              <c:showPercent val="0"/>
              <c:showBubbleSize val="0"/>
            </c:dLbl>
            <c:dLbl>
              <c:idx val="7"/>
              <c:layout>
                <c:manualLayout>
                  <c:x val="0"/>
                  <c:y val="-1.6792611251049538E-2"/>
                </c:manualLayout>
              </c:layout>
              <c:showLegendKey val="0"/>
              <c:showVal val="1"/>
              <c:showCatName val="0"/>
              <c:showSerName val="0"/>
              <c:showPercent val="0"/>
              <c:showBubbleSize val="0"/>
            </c:dLbl>
            <c:dLbl>
              <c:idx val="8"/>
              <c:layout>
                <c:manualLayout>
                  <c:x val="0"/>
                  <c:y val="-1.6792611251049538E-2"/>
                </c:manualLayout>
              </c:layout>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List1!$B$2:$J$2</c:f>
              <c:numCache>
                <c:formatCode>#,##0.0</c:formatCode>
                <c:ptCount val="9"/>
                <c:pt idx="0">
                  <c:v>1198.72</c:v>
                </c:pt>
                <c:pt idx="1">
                  <c:v>884.78</c:v>
                </c:pt>
                <c:pt idx="2">
                  <c:v>288.83999999999997</c:v>
                </c:pt>
                <c:pt idx="3">
                  <c:v>207.54</c:v>
                </c:pt>
                <c:pt idx="4">
                  <c:v>159.96</c:v>
                </c:pt>
                <c:pt idx="5">
                  <c:v>128.76</c:v>
                </c:pt>
                <c:pt idx="6">
                  <c:v>97.02</c:v>
                </c:pt>
                <c:pt idx="7">
                  <c:v>78.400000000000006</c:v>
                </c:pt>
                <c:pt idx="8">
                  <c:v>75.92</c:v>
                </c:pt>
              </c:numCache>
            </c:numRef>
          </c:val>
        </c:ser>
        <c:dLbls>
          <c:showLegendKey val="0"/>
          <c:showVal val="0"/>
          <c:showCatName val="0"/>
          <c:showSerName val="0"/>
          <c:showPercent val="0"/>
          <c:showBubbleSize val="0"/>
        </c:dLbls>
        <c:gapWidth val="150"/>
        <c:axId val="179817472"/>
        <c:axId val="179880704"/>
      </c:barChart>
      <c:lineChart>
        <c:grouping val="standard"/>
        <c:varyColors val="0"/>
        <c:ser>
          <c:idx val="1"/>
          <c:order val="1"/>
          <c:tx>
            <c:strRef>
              <c:f>List1!$A$3</c:f>
              <c:strCache>
                <c:ptCount val="1"/>
                <c:pt idx="0">
                  <c:v>Cíl 2020</c:v>
                </c:pt>
              </c:strCache>
            </c:strRef>
          </c:tx>
          <c:spPr>
            <a:ln w="19050"/>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List1!$B$3:$J$3</c:f>
              <c:numCache>
                <c:formatCode>#,##0.0</c:formatCode>
                <c:ptCount val="9"/>
                <c:pt idx="0">
                  <c:v>116</c:v>
                </c:pt>
                <c:pt idx="1">
                  <c:v>116</c:v>
                </c:pt>
                <c:pt idx="2">
                  <c:v>116</c:v>
                </c:pt>
                <c:pt idx="3">
                  <c:v>116</c:v>
                </c:pt>
                <c:pt idx="4">
                  <c:v>116</c:v>
                </c:pt>
                <c:pt idx="5">
                  <c:v>116</c:v>
                </c:pt>
                <c:pt idx="6">
                  <c:v>116</c:v>
                </c:pt>
                <c:pt idx="7">
                  <c:v>116</c:v>
                </c:pt>
                <c:pt idx="8">
                  <c:v>116</c:v>
                </c:pt>
              </c:numCache>
            </c:numRef>
          </c:val>
          <c:smooth val="0"/>
        </c:ser>
        <c:ser>
          <c:idx val="2"/>
          <c:order val="2"/>
          <c:tx>
            <c:strRef>
              <c:f>List1!$A$4</c:f>
              <c:strCache>
                <c:ptCount val="1"/>
                <c:pt idx="0">
                  <c:v>Cíl 2030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List1!$B$4:$J$4</c:f>
              <c:numCache>
                <c:formatCode>#,##0.0</c:formatCode>
                <c:ptCount val="9"/>
                <c:pt idx="0">
                  <c:v>59</c:v>
                </c:pt>
                <c:pt idx="1">
                  <c:v>59</c:v>
                </c:pt>
                <c:pt idx="2">
                  <c:v>59</c:v>
                </c:pt>
                <c:pt idx="3">
                  <c:v>59</c:v>
                </c:pt>
                <c:pt idx="4">
                  <c:v>59</c:v>
                </c:pt>
                <c:pt idx="5">
                  <c:v>59</c:v>
                </c:pt>
                <c:pt idx="6">
                  <c:v>59</c:v>
                </c:pt>
                <c:pt idx="7">
                  <c:v>59</c:v>
                </c:pt>
                <c:pt idx="8">
                  <c:v>59</c:v>
                </c:pt>
              </c:numCache>
            </c:numRef>
          </c:val>
          <c:smooth val="0"/>
        </c:ser>
        <c:dLbls>
          <c:showLegendKey val="0"/>
          <c:showVal val="0"/>
          <c:showCatName val="0"/>
          <c:showSerName val="0"/>
          <c:showPercent val="0"/>
          <c:showBubbleSize val="0"/>
        </c:dLbls>
        <c:marker val="1"/>
        <c:smooth val="0"/>
        <c:axId val="179817472"/>
        <c:axId val="179880704"/>
      </c:lineChart>
      <c:catAx>
        <c:axId val="179817472"/>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880704"/>
        <c:crosses val="autoZero"/>
        <c:auto val="1"/>
        <c:lblAlgn val="ctr"/>
        <c:lblOffset val="100"/>
        <c:noMultiLvlLbl val="0"/>
      </c:catAx>
      <c:valAx>
        <c:axId val="179880704"/>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kt</a:t>
                </a:r>
                <a:r>
                  <a:rPr lang="cs-CZ" baseline="0"/>
                  <a:t> SO</a:t>
                </a:r>
                <a:r>
                  <a:rPr lang="cs-CZ" baseline="-25000"/>
                  <a:t>2</a:t>
                </a:r>
                <a:endParaRPr lang="cs-CZ"/>
              </a:p>
            </c:rich>
          </c:tx>
          <c:overlay val="0"/>
        </c:title>
        <c:numFmt formatCode="#,##0" sourceLinked="0"/>
        <c:majorTickMark val="out"/>
        <c:minorTickMark val="none"/>
        <c:tickLblPos val="nextTo"/>
        <c:spPr>
          <a:ln>
            <a:solidFill>
              <a:schemeClr val="bg1">
                <a:lumMod val="65000"/>
              </a:schemeClr>
            </a:solidFill>
          </a:ln>
        </c:spPr>
        <c:txPr>
          <a:bodyPr/>
          <a:lstStyle/>
          <a:p>
            <a:pPr>
              <a:defRPr sz="1000" b="0"/>
            </a:pPr>
            <a:endParaRPr lang="cs-CZ"/>
          </a:p>
        </c:txPr>
        <c:crossAx val="179817472"/>
        <c:crosses val="autoZero"/>
        <c:crossBetween val="between"/>
      </c:valAx>
    </c:plotArea>
    <c:legend>
      <c:legendPos val="b"/>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effectLst/>
              </a:rPr>
              <a:t>Vývoj emisí NO</a:t>
            </a:r>
            <a:r>
              <a:rPr lang="cs-CZ" sz="1200" baseline="-25000">
                <a:effectLst/>
              </a:rPr>
              <a:t>X</a:t>
            </a:r>
            <a:endParaRPr lang="cs-CZ" sz="1200">
              <a:effectLst/>
            </a:endParaRPr>
          </a:p>
        </c:rich>
      </c:tx>
      <c:overlay val="0"/>
    </c:title>
    <c:autoTitleDeleted val="0"/>
    <c:plotArea>
      <c:layout/>
      <c:barChart>
        <c:barDir val="col"/>
        <c:grouping val="clustered"/>
        <c:varyColors val="0"/>
        <c:ser>
          <c:idx val="0"/>
          <c:order val="0"/>
          <c:tx>
            <c:strRef>
              <c:f>List1!$A$2</c:f>
              <c:strCache>
                <c:ptCount val="1"/>
                <c:pt idx="0">
                  <c:v>Emise NOX</c:v>
                </c:pt>
              </c:strCache>
            </c:strRef>
          </c:tx>
          <c:spPr>
            <a:pattFill prst="pct50">
              <a:fgClr>
                <a:schemeClr val="accent1"/>
              </a:fgClr>
              <a:bgClr>
                <a:schemeClr val="bg1"/>
              </a:bgClr>
            </a:pattFill>
            <a:ln>
              <a:solidFill>
                <a:schemeClr val="accent1"/>
              </a:solidFill>
            </a:ln>
          </c:spPr>
          <c:invertIfNegative val="0"/>
          <c:dLbls>
            <c:dLbl>
              <c:idx val="6"/>
              <c:layout>
                <c:manualLayout>
                  <c:x val="0"/>
                  <c:y val="-2.8556430446194162E-2"/>
                </c:manualLayout>
              </c:layout>
              <c:showLegendKey val="0"/>
              <c:showVal val="1"/>
              <c:showCatName val="0"/>
              <c:showSerName val="0"/>
              <c:showPercent val="0"/>
              <c:showBubbleSize val="0"/>
            </c:dLbl>
            <c:dLbl>
              <c:idx val="7"/>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6.717044500419815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List1!$B$2:$J$2</c:f>
              <c:numCache>
                <c:formatCode>#,##0.0</c:formatCode>
                <c:ptCount val="9"/>
                <c:pt idx="0">
                  <c:v>468.33</c:v>
                </c:pt>
                <c:pt idx="1">
                  <c:v>418.58</c:v>
                </c:pt>
                <c:pt idx="2">
                  <c:v>310.26</c:v>
                </c:pt>
                <c:pt idx="3">
                  <c:v>289.04000000000002</c:v>
                </c:pt>
                <c:pt idx="4">
                  <c:v>225.27</c:v>
                </c:pt>
                <c:pt idx="5">
                  <c:v>188.07</c:v>
                </c:pt>
                <c:pt idx="6">
                  <c:v>155.37</c:v>
                </c:pt>
                <c:pt idx="7">
                  <c:v>123.48</c:v>
                </c:pt>
                <c:pt idx="8">
                  <c:v>110.16</c:v>
                </c:pt>
              </c:numCache>
            </c:numRef>
          </c:val>
        </c:ser>
        <c:dLbls>
          <c:showLegendKey val="0"/>
          <c:showVal val="0"/>
          <c:showCatName val="0"/>
          <c:showSerName val="0"/>
          <c:showPercent val="0"/>
          <c:showBubbleSize val="0"/>
        </c:dLbls>
        <c:gapWidth val="150"/>
        <c:axId val="203214208"/>
        <c:axId val="203224192"/>
      </c:barChart>
      <c:lineChart>
        <c:grouping val="standard"/>
        <c:varyColors val="0"/>
        <c:ser>
          <c:idx val="1"/>
          <c:order val="1"/>
          <c:tx>
            <c:strRef>
              <c:f>List1!$A$3</c:f>
              <c:strCache>
                <c:ptCount val="1"/>
                <c:pt idx="0">
                  <c:v>Cíl 2020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List1!$B$3:$J$3</c:f>
              <c:numCache>
                <c:formatCode>#,##0.0</c:formatCode>
                <c:ptCount val="9"/>
                <c:pt idx="0">
                  <c:v>182</c:v>
                </c:pt>
                <c:pt idx="1">
                  <c:v>182</c:v>
                </c:pt>
                <c:pt idx="2">
                  <c:v>182</c:v>
                </c:pt>
                <c:pt idx="3">
                  <c:v>182</c:v>
                </c:pt>
                <c:pt idx="4">
                  <c:v>182</c:v>
                </c:pt>
                <c:pt idx="5">
                  <c:v>182</c:v>
                </c:pt>
                <c:pt idx="6">
                  <c:v>182</c:v>
                </c:pt>
                <c:pt idx="7">
                  <c:v>182</c:v>
                </c:pt>
                <c:pt idx="8">
                  <c:v>182</c:v>
                </c:pt>
              </c:numCache>
            </c:numRef>
          </c:val>
          <c:smooth val="0"/>
        </c:ser>
        <c:ser>
          <c:idx val="2"/>
          <c:order val="2"/>
          <c:tx>
            <c:strRef>
              <c:f>List1!$A$4</c:f>
              <c:strCache>
                <c:ptCount val="1"/>
                <c:pt idx="0">
                  <c:v>Cíl 2030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List1!$B$4:$J$4</c:f>
              <c:numCache>
                <c:formatCode>#,##0.0</c:formatCode>
                <c:ptCount val="9"/>
                <c:pt idx="0">
                  <c:v>95</c:v>
                </c:pt>
                <c:pt idx="1">
                  <c:v>95</c:v>
                </c:pt>
                <c:pt idx="2">
                  <c:v>95</c:v>
                </c:pt>
                <c:pt idx="3">
                  <c:v>95</c:v>
                </c:pt>
                <c:pt idx="4">
                  <c:v>95</c:v>
                </c:pt>
                <c:pt idx="5">
                  <c:v>95</c:v>
                </c:pt>
                <c:pt idx="6">
                  <c:v>95</c:v>
                </c:pt>
                <c:pt idx="7">
                  <c:v>95</c:v>
                </c:pt>
                <c:pt idx="8">
                  <c:v>95</c:v>
                </c:pt>
              </c:numCache>
            </c:numRef>
          </c:val>
          <c:smooth val="0"/>
        </c:ser>
        <c:dLbls>
          <c:showLegendKey val="0"/>
          <c:showVal val="0"/>
          <c:showCatName val="0"/>
          <c:showSerName val="0"/>
          <c:showPercent val="0"/>
          <c:showBubbleSize val="0"/>
        </c:dLbls>
        <c:marker val="1"/>
        <c:smooth val="0"/>
        <c:axId val="203214208"/>
        <c:axId val="203224192"/>
      </c:lineChart>
      <c:catAx>
        <c:axId val="203214208"/>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203224192"/>
        <c:crosses val="autoZero"/>
        <c:auto val="1"/>
        <c:lblAlgn val="ctr"/>
        <c:lblOffset val="100"/>
        <c:noMultiLvlLbl val="0"/>
      </c:catAx>
      <c:valAx>
        <c:axId val="20322419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kt</a:t>
                </a:r>
                <a:r>
                  <a:rPr lang="cs-CZ" baseline="0"/>
                  <a:t> NO</a:t>
                </a:r>
                <a:r>
                  <a:rPr lang="cs-CZ" baseline="-25000"/>
                  <a:t>X</a:t>
                </a:r>
                <a:endParaRPr lang="cs-CZ"/>
              </a:p>
            </c:rich>
          </c:tx>
          <c:overlay val="0"/>
        </c:title>
        <c:numFmt formatCode="#,##0" sourceLinked="0"/>
        <c:majorTickMark val="out"/>
        <c:minorTickMark val="none"/>
        <c:tickLblPos val="nextTo"/>
        <c:spPr>
          <a:ln>
            <a:solidFill>
              <a:schemeClr val="bg1">
                <a:lumMod val="65000"/>
              </a:schemeClr>
            </a:solidFill>
          </a:ln>
        </c:spPr>
        <c:txPr>
          <a:bodyPr/>
          <a:lstStyle/>
          <a:p>
            <a:pPr>
              <a:defRPr sz="1000" b="0"/>
            </a:pPr>
            <a:endParaRPr lang="cs-CZ"/>
          </a:p>
        </c:txPr>
        <c:crossAx val="203214208"/>
        <c:crosses val="autoZero"/>
        <c:crossBetween val="between"/>
      </c:valAx>
    </c:plotArea>
    <c:legend>
      <c:legendPos val="b"/>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effectLst/>
              </a:rPr>
              <a:t>Vývoj emisí VOC</a:t>
            </a:r>
          </a:p>
        </c:rich>
      </c:tx>
      <c:overlay val="0"/>
    </c:title>
    <c:autoTitleDeleted val="0"/>
    <c:plotArea>
      <c:layout/>
      <c:barChart>
        <c:barDir val="col"/>
        <c:grouping val="clustered"/>
        <c:varyColors val="0"/>
        <c:ser>
          <c:idx val="0"/>
          <c:order val="0"/>
          <c:tx>
            <c:strRef>
              <c:f>List1!$A$2</c:f>
              <c:strCache>
                <c:ptCount val="1"/>
                <c:pt idx="0">
                  <c:v>VOC</c:v>
                </c:pt>
              </c:strCache>
            </c:strRef>
          </c:tx>
          <c:spPr>
            <a:pattFill prst="pct50">
              <a:fgClr>
                <a:schemeClr val="accent1"/>
              </a:fgClr>
              <a:bgClr>
                <a:schemeClr val="bg1"/>
              </a:bgClr>
            </a:pattFill>
            <a:ln>
              <a:solidFill>
                <a:schemeClr val="accent1"/>
              </a:solidFill>
            </a:ln>
          </c:spPr>
          <c:invertIfNegative val="0"/>
          <c:dLbls>
            <c:dLbl>
              <c:idx val="6"/>
              <c:layout>
                <c:manualLayout>
                  <c:x val="0"/>
                  <c:y val="-1.0075566750629662E-2"/>
                </c:manualLayout>
              </c:layout>
              <c:showLegendKey val="0"/>
              <c:showVal val="1"/>
              <c:showCatName val="0"/>
              <c:showSerName val="0"/>
              <c:showPercent val="0"/>
              <c:showBubbleSize val="0"/>
            </c:dLbl>
            <c:dLbl>
              <c:idx val="7"/>
              <c:layout>
                <c:manualLayout>
                  <c:x val="0"/>
                  <c:y val="-2.7036898165507091E-2"/>
                </c:manualLayout>
              </c:layout>
              <c:showLegendKey val="0"/>
              <c:showVal val="1"/>
              <c:showCatName val="0"/>
              <c:showSerName val="0"/>
              <c:showPercent val="0"/>
              <c:showBubbleSize val="0"/>
            </c:dLbl>
            <c:dLbl>
              <c:idx val="8"/>
              <c:layout>
                <c:manualLayout>
                  <c:x val="0"/>
                  <c:y val="-3.02270549514644E-2"/>
                </c:manualLayout>
              </c:layout>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List1!$B$2:$J$2</c:f>
              <c:numCache>
                <c:formatCode>#,##0.0</c:formatCode>
                <c:ptCount val="9"/>
                <c:pt idx="0">
                  <c:v>357.96</c:v>
                </c:pt>
                <c:pt idx="1">
                  <c:v>286.83</c:v>
                </c:pt>
                <c:pt idx="2">
                  <c:v>278.55</c:v>
                </c:pt>
                <c:pt idx="3">
                  <c:v>199.31</c:v>
                </c:pt>
                <c:pt idx="4">
                  <c:v>190.76</c:v>
                </c:pt>
                <c:pt idx="5">
                  <c:v>169.26</c:v>
                </c:pt>
                <c:pt idx="6">
                  <c:v>155.99</c:v>
                </c:pt>
                <c:pt idx="7">
                  <c:v>145.1</c:v>
                </c:pt>
                <c:pt idx="8">
                  <c:v>144.04</c:v>
                </c:pt>
              </c:numCache>
            </c:numRef>
          </c:val>
        </c:ser>
        <c:dLbls>
          <c:showLegendKey val="0"/>
          <c:showVal val="0"/>
          <c:showCatName val="0"/>
          <c:showSerName val="0"/>
          <c:showPercent val="0"/>
          <c:showBubbleSize val="0"/>
        </c:dLbls>
        <c:gapWidth val="150"/>
        <c:axId val="203182080"/>
        <c:axId val="203183616"/>
      </c:barChart>
      <c:lineChart>
        <c:grouping val="standard"/>
        <c:varyColors val="0"/>
        <c:ser>
          <c:idx val="1"/>
          <c:order val="1"/>
          <c:tx>
            <c:strRef>
              <c:f>List1!$A$3</c:f>
              <c:strCache>
                <c:ptCount val="1"/>
                <c:pt idx="0">
                  <c:v>Cíl 2020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List1!$B$3:$J$3</c:f>
              <c:numCache>
                <c:formatCode>#,##0.0</c:formatCode>
                <c:ptCount val="9"/>
                <c:pt idx="0">
                  <c:v>165</c:v>
                </c:pt>
                <c:pt idx="1">
                  <c:v>165</c:v>
                </c:pt>
                <c:pt idx="2">
                  <c:v>165</c:v>
                </c:pt>
                <c:pt idx="3">
                  <c:v>165</c:v>
                </c:pt>
                <c:pt idx="4">
                  <c:v>165</c:v>
                </c:pt>
                <c:pt idx="5">
                  <c:v>165</c:v>
                </c:pt>
                <c:pt idx="6">
                  <c:v>165</c:v>
                </c:pt>
                <c:pt idx="7">
                  <c:v>165</c:v>
                </c:pt>
                <c:pt idx="8">
                  <c:v>165</c:v>
                </c:pt>
              </c:numCache>
            </c:numRef>
          </c:val>
          <c:smooth val="0"/>
        </c:ser>
        <c:ser>
          <c:idx val="2"/>
          <c:order val="2"/>
          <c:tx>
            <c:strRef>
              <c:f>List1!$A$4</c:f>
              <c:strCache>
                <c:ptCount val="1"/>
                <c:pt idx="0">
                  <c:v>Cíl 2030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List1!$B$4:$J$4</c:f>
              <c:numCache>
                <c:formatCode>#,##0.0</c:formatCode>
                <c:ptCount val="9"/>
                <c:pt idx="0">
                  <c:v>87</c:v>
                </c:pt>
                <c:pt idx="1">
                  <c:v>87</c:v>
                </c:pt>
                <c:pt idx="2">
                  <c:v>87</c:v>
                </c:pt>
                <c:pt idx="3">
                  <c:v>87</c:v>
                </c:pt>
                <c:pt idx="4">
                  <c:v>87</c:v>
                </c:pt>
                <c:pt idx="5">
                  <c:v>87</c:v>
                </c:pt>
                <c:pt idx="6">
                  <c:v>87</c:v>
                </c:pt>
                <c:pt idx="7">
                  <c:v>87</c:v>
                </c:pt>
                <c:pt idx="8">
                  <c:v>87</c:v>
                </c:pt>
              </c:numCache>
            </c:numRef>
          </c:val>
          <c:smooth val="0"/>
        </c:ser>
        <c:dLbls>
          <c:showLegendKey val="0"/>
          <c:showVal val="0"/>
          <c:showCatName val="0"/>
          <c:showSerName val="0"/>
          <c:showPercent val="0"/>
          <c:showBubbleSize val="0"/>
        </c:dLbls>
        <c:marker val="1"/>
        <c:smooth val="0"/>
        <c:axId val="203182080"/>
        <c:axId val="203183616"/>
      </c:lineChart>
      <c:catAx>
        <c:axId val="203182080"/>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203183616"/>
        <c:crosses val="autoZero"/>
        <c:auto val="1"/>
        <c:lblAlgn val="ctr"/>
        <c:lblOffset val="100"/>
        <c:noMultiLvlLbl val="0"/>
      </c:catAx>
      <c:valAx>
        <c:axId val="203183616"/>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kt</a:t>
                </a:r>
                <a:r>
                  <a:rPr lang="cs-CZ" baseline="0"/>
                  <a:t> VOC</a:t>
                </a:r>
                <a:endParaRPr lang="cs-CZ"/>
              </a:p>
            </c:rich>
          </c:tx>
          <c:overlay val="0"/>
        </c:title>
        <c:numFmt formatCode="#,##0" sourceLinked="0"/>
        <c:majorTickMark val="out"/>
        <c:minorTickMark val="none"/>
        <c:tickLblPos val="nextTo"/>
        <c:spPr>
          <a:ln>
            <a:solidFill>
              <a:schemeClr val="bg1">
                <a:lumMod val="65000"/>
              </a:schemeClr>
            </a:solidFill>
          </a:ln>
        </c:spPr>
        <c:txPr>
          <a:bodyPr/>
          <a:lstStyle/>
          <a:p>
            <a:pPr>
              <a:defRPr sz="1000" b="0"/>
            </a:pPr>
            <a:endParaRPr lang="cs-CZ"/>
          </a:p>
        </c:txPr>
        <c:crossAx val="203182080"/>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effectLst/>
              </a:rPr>
              <a:t>Vývoj emisí NH</a:t>
            </a:r>
            <a:r>
              <a:rPr lang="cs-CZ" sz="1200" baseline="-25000">
                <a:effectLst/>
              </a:rPr>
              <a:t>3</a:t>
            </a:r>
            <a:endParaRPr lang="cs-CZ" sz="1200">
              <a:effectLst/>
            </a:endParaRPr>
          </a:p>
        </c:rich>
      </c:tx>
      <c:overlay val="0"/>
    </c:title>
    <c:autoTitleDeleted val="0"/>
    <c:plotArea>
      <c:layout/>
      <c:barChart>
        <c:barDir val="col"/>
        <c:grouping val="clustered"/>
        <c:varyColors val="0"/>
        <c:ser>
          <c:idx val="0"/>
          <c:order val="0"/>
          <c:tx>
            <c:strRef>
              <c:f>List1!$A$2</c:f>
              <c:strCache>
                <c:ptCount val="1"/>
                <c:pt idx="0">
                  <c:v>Emise NH3</c:v>
                </c:pt>
              </c:strCache>
            </c:strRef>
          </c:tx>
          <c:spPr>
            <a:pattFill prst="pct50">
              <a:fgClr>
                <a:schemeClr val="accent1"/>
              </a:fgClr>
              <a:bgClr>
                <a:schemeClr val="bg1"/>
              </a:bgClr>
            </a:pattFill>
            <a:ln>
              <a:solidFill>
                <a:schemeClr val="accent1"/>
              </a:solidFill>
            </a:ln>
          </c:spPr>
          <c:invertIfNegative val="0"/>
          <c:dLbls>
            <c:dLbl>
              <c:idx val="3"/>
              <c:layout>
                <c:manualLayout>
                  <c:x val="0"/>
                  <c:y val="-3.5273368606701938E-3"/>
                </c:manualLayout>
              </c:layout>
              <c:showLegendKey val="0"/>
              <c:showVal val="1"/>
              <c:showCatName val="0"/>
              <c:showSerName val="0"/>
              <c:showPercent val="0"/>
              <c:showBubbleSize val="0"/>
            </c:dLbl>
            <c:dLbl>
              <c:idx val="4"/>
              <c:layout>
                <c:manualLayout>
                  <c:x val="0"/>
                  <c:y val="-5.10533405546528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063992000999874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7636684303350969E-2"/>
                </c:manualLayout>
              </c:layout>
              <c:showLegendKey val="0"/>
              <c:showVal val="1"/>
              <c:showCatName val="0"/>
              <c:showSerName val="0"/>
              <c:showPercent val="0"/>
              <c:showBubbleSize val="0"/>
            </c:dLbl>
            <c:dLbl>
              <c:idx val="7"/>
              <c:layout>
                <c:manualLayout>
                  <c:x val="0"/>
                  <c:y val="-1.0582010582010581E-2"/>
                </c:manualLayout>
              </c:layout>
              <c:showLegendKey val="0"/>
              <c:showVal val="1"/>
              <c:showCatName val="0"/>
              <c:showSerName val="0"/>
              <c:showPercent val="0"/>
              <c:showBubbleSize val="0"/>
            </c:dLbl>
            <c:dLbl>
              <c:idx val="8"/>
              <c:layout>
                <c:manualLayout>
                  <c:x val="0"/>
                  <c:y val="-3.5273368606701938E-3"/>
                </c:manualLayout>
              </c:layout>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List1!$B$2:$J$2</c:f>
              <c:numCache>
                <c:formatCode>#,##0.0</c:formatCode>
                <c:ptCount val="9"/>
                <c:pt idx="0">
                  <c:v>127.83</c:v>
                </c:pt>
                <c:pt idx="1">
                  <c:v>92.94</c:v>
                </c:pt>
                <c:pt idx="2">
                  <c:v>86.61</c:v>
                </c:pt>
                <c:pt idx="3">
                  <c:v>73.760000000000005</c:v>
                </c:pt>
                <c:pt idx="4">
                  <c:v>64.16</c:v>
                </c:pt>
                <c:pt idx="5">
                  <c:v>66.180000000000007</c:v>
                </c:pt>
                <c:pt idx="6">
                  <c:v>70.97</c:v>
                </c:pt>
                <c:pt idx="7">
                  <c:v>72.540000000000006</c:v>
                </c:pt>
                <c:pt idx="8">
                  <c:v>73.59</c:v>
                </c:pt>
              </c:numCache>
            </c:numRef>
          </c:val>
        </c:ser>
        <c:dLbls>
          <c:showLegendKey val="0"/>
          <c:showVal val="0"/>
          <c:showCatName val="0"/>
          <c:showSerName val="0"/>
          <c:showPercent val="0"/>
          <c:showBubbleSize val="0"/>
        </c:dLbls>
        <c:gapWidth val="150"/>
        <c:axId val="180023680"/>
        <c:axId val="180025216"/>
      </c:barChart>
      <c:lineChart>
        <c:grouping val="standard"/>
        <c:varyColors val="0"/>
        <c:ser>
          <c:idx val="1"/>
          <c:order val="1"/>
          <c:tx>
            <c:strRef>
              <c:f>List1!$A$3</c:f>
              <c:strCache>
                <c:ptCount val="1"/>
                <c:pt idx="0">
                  <c:v>Cíl 2020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List1!$B$3:$J$3</c:f>
              <c:numCache>
                <c:formatCode>#,##0.0</c:formatCode>
                <c:ptCount val="9"/>
                <c:pt idx="0">
                  <c:v>76</c:v>
                </c:pt>
                <c:pt idx="1">
                  <c:v>76</c:v>
                </c:pt>
                <c:pt idx="2">
                  <c:v>76</c:v>
                </c:pt>
                <c:pt idx="3">
                  <c:v>76</c:v>
                </c:pt>
                <c:pt idx="4">
                  <c:v>76</c:v>
                </c:pt>
                <c:pt idx="5">
                  <c:v>76</c:v>
                </c:pt>
                <c:pt idx="6">
                  <c:v>76</c:v>
                </c:pt>
                <c:pt idx="7">
                  <c:v>76</c:v>
                </c:pt>
                <c:pt idx="8">
                  <c:v>76</c:v>
                </c:pt>
              </c:numCache>
            </c:numRef>
          </c:val>
          <c:smooth val="0"/>
        </c:ser>
        <c:ser>
          <c:idx val="2"/>
          <c:order val="2"/>
          <c:tx>
            <c:strRef>
              <c:f>List1!$A$4</c:f>
              <c:strCache>
                <c:ptCount val="1"/>
                <c:pt idx="0">
                  <c:v>Cíl 2030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List1!$B$4:$J$4</c:f>
              <c:numCache>
                <c:formatCode>#,##0.0</c:formatCode>
                <c:ptCount val="9"/>
                <c:pt idx="0">
                  <c:v>53</c:v>
                </c:pt>
                <c:pt idx="1">
                  <c:v>53</c:v>
                </c:pt>
                <c:pt idx="2">
                  <c:v>53</c:v>
                </c:pt>
                <c:pt idx="3">
                  <c:v>53</c:v>
                </c:pt>
                <c:pt idx="4">
                  <c:v>53</c:v>
                </c:pt>
                <c:pt idx="5">
                  <c:v>53</c:v>
                </c:pt>
                <c:pt idx="6">
                  <c:v>53</c:v>
                </c:pt>
                <c:pt idx="7">
                  <c:v>53</c:v>
                </c:pt>
                <c:pt idx="8">
                  <c:v>53</c:v>
                </c:pt>
              </c:numCache>
            </c:numRef>
          </c:val>
          <c:smooth val="0"/>
        </c:ser>
        <c:dLbls>
          <c:showLegendKey val="0"/>
          <c:showVal val="0"/>
          <c:showCatName val="0"/>
          <c:showSerName val="0"/>
          <c:showPercent val="0"/>
          <c:showBubbleSize val="0"/>
        </c:dLbls>
        <c:marker val="1"/>
        <c:smooth val="0"/>
        <c:axId val="180023680"/>
        <c:axId val="180025216"/>
      </c:lineChart>
      <c:catAx>
        <c:axId val="180023680"/>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80025216"/>
        <c:crosses val="autoZero"/>
        <c:auto val="1"/>
        <c:lblAlgn val="ctr"/>
        <c:lblOffset val="100"/>
        <c:noMultiLvlLbl val="0"/>
      </c:catAx>
      <c:valAx>
        <c:axId val="180025216"/>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kt</a:t>
                </a:r>
                <a:r>
                  <a:rPr lang="cs-CZ" baseline="0"/>
                  <a:t> NH</a:t>
                </a:r>
                <a:r>
                  <a:rPr lang="cs-CZ" baseline="-25000"/>
                  <a:t>3</a:t>
                </a:r>
                <a:endParaRPr lang="cs-CZ"/>
              </a:p>
            </c:rich>
          </c:tx>
          <c:overlay val="0"/>
        </c:title>
        <c:numFmt formatCode="#,##0" sourceLinked="0"/>
        <c:majorTickMark val="out"/>
        <c:minorTickMark val="none"/>
        <c:tickLblPos val="nextTo"/>
        <c:spPr>
          <a:ln>
            <a:solidFill>
              <a:schemeClr val="bg1">
                <a:lumMod val="65000"/>
              </a:schemeClr>
            </a:solidFill>
          </a:ln>
        </c:spPr>
        <c:txPr>
          <a:bodyPr/>
          <a:lstStyle/>
          <a:p>
            <a:pPr>
              <a:defRPr sz="1000" b="0"/>
            </a:pPr>
            <a:endParaRPr lang="cs-CZ"/>
          </a:p>
        </c:txPr>
        <c:crossAx val="180023680"/>
        <c:crosses val="autoZero"/>
        <c:crossBetween val="between"/>
      </c:valAx>
    </c:plotArea>
    <c:legend>
      <c:legendPos val="b"/>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effectLst/>
              </a:rPr>
              <a:t>Vývoj emisí PM 2,5</a:t>
            </a:r>
          </a:p>
        </c:rich>
      </c:tx>
      <c:overlay val="0"/>
    </c:title>
    <c:autoTitleDeleted val="0"/>
    <c:plotArea>
      <c:layout/>
      <c:barChart>
        <c:barDir val="col"/>
        <c:grouping val="clustered"/>
        <c:varyColors val="0"/>
        <c:ser>
          <c:idx val="0"/>
          <c:order val="0"/>
          <c:tx>
            <c:strRef>
              <c:f>List1!$A$2</c:f>
              <c:strCache>
                <c:ptCount val="1"/>
                <c:pt idx="0">
                  <c:v>Emise PM2,5</c:v>
                </c:pt>
              </c:strCache>
            </c:strRef>
          </c:tx>
          <c:spPr>
            <a:pattFill prst="pct50">
              <a:fgClr>
                <a:schemeClr val="accent1"/>
              </a:fgClr>
              <a:bgClr>
                <a:schemeClr val="bg1"/>
              </a:bgClr>
            </a:pattFill>
            <a:ln>
              <a:solidFill>
                <a:schemeClr val="accent1"/>
              </a:solidFill>
            </a:ln>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List1!$B$2:$J$2</c:f>
              <c:numCache>
                <c:formatCode>#,##0.0</c:formatCode>
                <c:ptCount val="9"/>
                <c:pt idx="0">
                  <c:v>179.53</c:v>
                </c:pt>
                <c:pt idx="1">
                  <c:v>81.12</c:v>
                </c:pt>
                <c:pt idx="2">
                  <c:v>47.53</c:v>
                </c:pt>
                <c:pt idx="3">
                  <c:v>38.83</c:v>
                </c:pt>
                <c:pt idx="4">
                  <c:v>41.43</c:v>
                </c:pt>
                <c:pt idx="5">
                  <c:v>37.25</c:v>
                </c:pt>
                <c:pt idx="6">
                  <c:v>33.76</c:v>
                </c:pt>
                <c:pt idx="7">
                  <c:v>31.95</c:v>
                </c:pt>
                <c:pt idx="8">
                  <c:v>30.94</c:v>
                </c:pt>
              </c:numCache>
            </c:numRef>
          </c:val>
        </c:ser>
        <c:dLbls>
          <c:showLegendKey val="0"/>
          <c:showVal val="0"/>
          <c:showCatName val="0"/>
          <c:showSerName val="0"/>
          <c:showPercent val="0"/>
          <c:showBubbleSize val="0"/>
        </c:dLbls>
        <c:gapWidth val="150"/>
        <c:axId val="179970816"/>
        <c:axId val="179972352"/>
      </c:barChart>
      <c:lineChart>
        <c:grouping val="standard"/>
        <c:varyColors val="0"/>
        <c:ser>
          <c:idx val="1"/>
          <c:order val="1"/>
          <c:tx>
            <c:strRef>
              <c:f>List1!$A$3</c:f>
              <c:strCache>
                <c:ptCount val="1"/>
                <c:pt idx="0">
                  <c:v>Cíl 2020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List1!$B$3:$J$3</c:f>
              <c:numCache>
                <c:formatCode>#,##0.0</c:formatCode>
                <c:ptCount val="9"/>
                <c:pt idx="0">
                  <c:v>29</c:v>
                </c:pt>
                <c:pt idx="1">
                  <c:v>29</c:v>
                </c:pt>
                <c:pt idx="2">
                  <c:v>29</c:v>
                </c:pt>
                <c:pt idx="3">
                  <c:v>29</c:v>
                </c:pt>
                <c:pt idx="4">
                  <c:v>29</c:v>
                </c:pt>
                <c:pt idx="5">
                  <c:v>29</c:v>
                </c:pt>
                <c:pt idx="6">
                  <c:v>29</c:v>
                </c:pt>
                <c:pt idx="7">
                  <c:v>29</c:v>
                </c:pt>
                <c:pt idx="8">
                  <c:v>29</c:v>
                </c:pt>
              </c:numCache>
            </c:numRef>
          </c:val>
          <c:smooth val="0"/>
        </c:ser>
        <c:ser>
          <c:idx val="2"/>
          <c:order val="2"/>
          <c:tx>
            <c:strRef>
              <c:f>List1!$A$4</c:f>
              <c:strCache>
                <c:ptCount val="1"/>
                <c:pt idx="0">
                  <c:v>Cíl 2030</c:v>
                </c:pt>
              </c:strCache>
            </c:strRef>
          </c:tx>
          <c:spPr>
            <a:ln w="22225"/>
          </c:spPr>
          <c:marker>
            <c:symbol val="none"/>
          </c:marker>
          <c:cat>
            <c:strRef>
              <c:f>List1!$B$1:$J$1</c:f>
              <c:strCache>
                <c:ptCount val="9"/>
                <c:pt idx="0">
                  <c:v>1990</c:v>
                </c:pt>
                <c:pt idx="1">
                  <c:v>1995</c:v>
                </c:pt>
                <c:pt idx="2">
                  <c:v>2000</c:v>
                </c:pt>
                <c:pt idx="3">
                  <c:v>2005</c:v>
                </c:pt>
                <c:pt idx="4">
                  <c:v>2010</c:v>
                </c:pt>
                <c:pt idx="5">
                  <c:v>2015</c:v>
                </c:pt>
                <c:pt idx="6">
                  <c:v>2020</c:v>
                </c:pt>
                <c:pt idx="7">
                  <c:v>2025</c:v>
                </c:pt>
                <c:pt idx="8">
                  <c:v>2030</c:v>
                </c:pt>
              </c:strCache>
            </c:strRef>
          </c:cat>
          <c:val>
            <c:numRef>
              <c:f>List1!$B$4:$J$4</c:f>
              <c:numCache>
                <c:formatCode>#,##0.0</c:formatCode>
                <c:ptCount val="9"/>
                <c:pt idx="0">
                  <c:v>17</c:v>
                </c:pt>
                <c:pt idx="1">
                  <c:v>17</c:v>
                </c:pt>
                <c:pt idx="2">
                  <c:v>17</c:v>
                </c:pt>
                <c:pt idx="3">
                  <c:v>17</c:v>
                </c:pt>
                <c:pt idx="4">
                  <c:v>17</c:v>
                </c:pt>
                <c:pt idx="5">
                  <c:v>17</c:v>
                </c:pt>
                <c:pt idx="6">
                  <c:v>17</c:v>
                </c:pt>
                <c:pt idx="7">
                  <c:v>17</c:v>
                </c:pt>
                <c:pt idx="8">
                  <c:v>17</c:v>
                </c:pt>
              </c:numCache>
            </c:numRef>
          </c:val>
          <c:smooth val="0"/>
        </c:ser>
        <c:dLbls>
          <c:showLegendKey val="0"/>
          <c:showVal val="0"/>
          <c:showCatName val="0"/>
          <c:showSerName val="0"/>
          <c:showPercent val="0"/>
          <c:showBubbleSize val="0"/>
        </c:dLbls>
        <c:marker val="1"/>
        <c:smooth val="0"/>
        <c:axId val="179970816"/>
        <c:axId val="179972352"/>
      </c:lineChart>
      <c:catAx>
        <c:axId val="179970816"/>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9972352"/>
        <c:crosses val="autoZero"/>
        <c:auto val="1"/>
        <c:lblAlgn val="ctr"/>
        <c:lblOffset val="100"/>
        <c:noMultiLvlLbl val="0"/>
      </c:catAx>
      <c:valAx>
        <c:axId val="17997235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kt</a:t>
                </a:r>
                <a:r>
                  <a:rPr lang="cs-CZ" baseline="0"/>
                  <a:t> PM 2,5</a:t>
                </a:r>
                <a:endParaRPr lang="cs-CZ"/>
              </a:p>
            </c:rich>
          </c:tx>
          <c:overlay val="0"/>
        </c:title>
        <c:numFmt formatCode="#,##0" sourceLinked="0"/>
        <c:majorTickMark val="out"/>
        <c:minorTickMark val="none"/>
        <c:tickLblPos val="nextTo"/>
        <c:spPr>
          <a:ln>
            <a:solidFill>
              <a:schemeClr val="bg1">
                <a:lumMod val="65000"/>
              </a:schemeClr>
            </a:solidFill>
          </a:ln>
        </c:spPr>
        <c:txPr>
          <a:bodyPr/>
          <a:lstStyle/>
          <a:p>
            <a:pPr>
              <a:defRPr sz="1000" b="0"/>
            </a:pPr>
            <a:endParaRPr lang="cs-CZ"/>
          </a:p>
        </c:txPr>
        <c:crossAx val="179970816"/>
        <c:crosses val="autoZero"/>
        <c:crossBetween val="between"/>
      </c:valAx>
    </c:plotArea>
    <c:legend>
      <c:legendPos val="b"/>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Závislost na fosilních palivech</a:t>
            </a:r>
          </a:p>
        </c:rich>
      </c:tx>
      <c:overlay val="0"/>
    </c:title>
    <c:autoTitleDeleted val="0"/>
    <c:plotArea>
      <c:layout/>
      <c:barChart>
        <c:barDir val="col"/>
        <c:grouping val="clustered"/>
        <c:varyColors val="0"/>
        <c:ser>
          <c:idx val="0"/>
          <c:order val="0"/>
          <c:tx>
            <c:strRef>
              <c:f>List1!$A$2</c:f>
              <c:strCache>
                <c:ptCount val="1"/>
                <c:pt idx="0">
                  <c:v>Závislost na fosilních palivech</c:v>
                </c:pt>
              </c:strCache>
            </c:strRef>
          </c:tx>
          <c:spPr>
            <a:pattFill prst="pct50">
              <a:fgClr>
                <a:srgbClr val="A09374"/>
              </a:fgClr>
              <a:bgClr>
                <a:sysClr val="window" lastClr="FFFFFF"/>
              </a:bgClr>
            </a:pattFill>
            <a:ln>
              <a:solidFill>
                <a:srgbClr val="EEECE1">
                  <a:lumMod val="50000"/>
                </a:srgbClr>
              </a:solidFill>
            </a:ln>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c:formatCode>
                <c:ptCount val="7"/>
                <c:pt idx="0">
                  <c:v>0.79599506467477266</c:v>
                </c:pt>
                <c:pt idx="1">
                  <c:v>0.76551920742754531</c:v>
                </c:pt>
                <c:pt idx="2">
                  <c:v>0.73123923219554288</c:v>
                </c:pt>
                <c:pt idx="3">
                  <c:v>0.68440351850295822</c:v>
                </c:pt>
                <c:pt idx="4">
                  <c:v>0.66107110773705002</c:v>
                </c:pt>
                <c:pt idx="5">
                  <c:v>0.6052849101947928</c:v>
                </c:pt>
                <c:pt idx="6">
                  <c:v>0.55680510209776868</c:v>
                </c:pt>
              </c:numCache>
            </c:numRef>
          </c:val>
        </c:ser>
        <c:dLbls>
          <c:showLegendKey val="0"/>
          <c:showVal val="0"/>
          <c:showCatName val="0"/>
          <c:showSerName val="0"/>
          <c:showPercent val="0"/>
          <c:showBubbleSize val="0"/>
        </c:dLbls>
        <c:gapWidth val="150"/>
        <c:axId val="203099520"/>
        <c:axId val="203142272"/>
      </c:barChart>
      <c:catAx>
        <c:axId val="203099520"/>
        <c:scaling>
          <c:orientation val="minMax"/>
        </c:scaling>
        <c:delete val="0"/>
        <c:axPos val="b"/>
        <c:numFmt formatCode="General" sourceLinked="0"/>
        <c:majorTickMark val="out"/>
        <c:minorTickMark val="none"/>
        <c:tickLblPos val="nextTo"/>
        <c:crossAx val="203142272"/>
        <c:crosses val="autoZero"/>
        <c:auto val="1"/>
        <c:lblAlgn val="ctr"/>
        <c:lblOffset val="100"/>
        <c:noMultiLvlLbl val="0"/>
      </c:catAx>
      <c:valAx>
        <c:axId val="203142272"/>
        <c:scaling>
          <c:orientation val="minMax"/>
          <c:max val="1"/>
        </c:scaling>
        <c:delete val="0"/>
        <c:axPos val="l"/>
        <c:majorGridlines>
          <c:spPr>
            <a:ln>
              <a:solidFill>
                <a:sysClr val="window" lastClr="FFFFFF">
                  <a:lumMod val="85000"/>
                </a:sysClr>
              </a:solidFill>
              <a:prstDash val="sysDash"/>
            </a:ln>
          </c:spPr>
        </c:majorGridlines>
        <c:numFmt formatCode="0%" sourceLinked="0"/>
        <c:majorTickMark val="out"/>
        <c:minorTickMark val="none"/>
        <c:tickLblPos val="nextTo"/>
        <c:crossAx val="203099520"/>
        <c:crosses val="autoZero"/>
        <c:crossBetween val="between"/>
        <c:majorUnit val="0.1"/>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Vývoj a struktura konečné spotřeby energie</a:t>
            </a:r>
            <a:endParaRPr lang="cs-CZ" sz="1200">
              <a:effectLst/>
            </a:endParaRPr>
          </a:p>
        </c:rich>
      </c:tx>
      <c:overlay val="0"/>
    </c:title>
    <c:autoTitleDeleted val="0"/>
    <c:plotArea>
      <c:layout/>
      <c:barChart>
        <c:barDir val="col"/>
        <c:grouping val="stacked"/>
        <c:varyColors val="0"/>
        <c:ser>
          <c:idx val="0"/>
          <c:order val="0"/>
          <c:tx>
            <c:strRef>
              <c:f>List1!$A$2</c:f>
              <c:strCache>
                <c:ptCount val="1"/>
                <c:pt idx="0">
                  <c:v>Černé uhlí</c:v>
                </c:pt>
              </c:strCache>
            </c:strRef>
          </c:tx>
          <c:spPr>
            <a:solidFill>
              <a:schemeClr val="tx1">
                <a:lumMod val="65000"/>
                <a:lumOff val="3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35.017038790903143</c:v>
                </c:pt>
                <c:pt idx="1">
                  <c:v>31.839002341689579</c:v>
                </c:pt>
                <c:pt idx="2">
                  <c:v>30.853266685574077</c:v>
                </c:pt>
                <c:pt idx="3">
                  <c:v>30.833295343027849</c:v>
                </c:pt>
                <c:pt idx="4">
                  <c:v>26.681837799753502</c:v>
                </c:pt>
                <c:pt idx="5">
                  <c:v>27.10409659076295</c:v>
                </c:pt>
                <c:pt idx="6">
                  <c:v>26.67123645401313</c:v>
                </c:pt>
              </c:numCache>
            </c:numRef>
          </c:val>
        </c:ser>
        <c:ser>
          <c:idx val="1"/>
          <c:order val="1"/>
          <c:tx>
            <c:strRef>
              <c:f>List1!$A$3</c:f>
              <c:strCache>
                <c:ptCount val="1"/>
                <c:pt idx="0">
                  <c:v>Hnědé uhlí</c:v>
                </c:pt>
              </c:strCache>
            </c:strRef>
          </c:tx>
          <c:spPr>
            <a:solidFill>
              <a:srgbClr val="9A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73.801088017105528</c:v>
                </c:pt>
                <c:pt idx="1">
                  <c:v>55.989302967531891</c:v>
                </c:pt>
                <c:pt idx="2">
                  <c:v>44.768103153480027</c:v>
                </c:pt>
                <c:pt idx="3">
                  <c:v>29.632345578066744</c:v>
                </c:pt>
                <c:pt idx="4">
                  <c:v>26.215591191127089</c:v>
                </c:pt>
                <c:pt idx="5">
                  <c:v>20.213056212610098</c:v>
                </c:pt>
                <c:pt idx="6">
                  <c:v>11.262231393333007</c:v>
                </c:pt>
              </c:numCache>
            </c:numRef>
          </c:val>
        </c:ser>
        <c:ser>
          <c:idx val="2"/>
          <c:order val="2"/>
          <c:tx>
            <c:strRef>
              <c:f>List1!$A$4</c:f>
              <c:strCache>
                <c:ptCount val="1"/>
                <c:pt idx="0">
                  <c:v>Zemní plyn</c:v>
                </c:pt>
              </c:strCache>
            </c:strRef>
          </c:tx>
          <c:spPr>
            <a:solidFill>
              <a:srgbClr val="FFFF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266.1454950712868</c:v>
                </c:pt>
                <c:pt idx="1">
                  <c:v>272.94105470313048</c:v>
                </c:pt>
                <c:pt idx="2">
                  <c:v>276.91681779738337</c:v>
                </c:pt>
                <c:pt idx="3">
                  <c:v>280.74834120876676</c:v>
                </c:pt>
                <c:pt idx="4">
                  <c:v>289.67467504797582</c:v>
                </c:pt>
                <c:pt idx="5">
                  <c:v>294.56637451941327</c:v>
                </c:pt>
                <c:pt idx="6">
                  <c:v>297.99939256106018</c:v>
                </c:pt>
              </c:numCache>
            </c:numRef>
          </c:val>
        </c:ser>
        <c:ser>
          <c:idx val="3"/>
          <c:order val="3"/>
          <c:tx>
            <c:strRef>
              <c:f>List1!$A$5</c:f>
              <c:strCache>
                <c:ptCount val="1"/>
                <c:pt idx="0">
                  <c:v>Ropa a ropné produkty</c:v>
                </c:pt>
              </c:strCache>
            </c:strRef>
          </c:tx>
          <c:spPr>
            <a:solidFill>
              <a:schemeClr val="accent6">
                <a:lumMod val="7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354.09315858792064</c:v>
                </c:pt>
                <c:pt idx="1">
                  <c:v>339.93395920930607</c:v>
                </c:pt>
                <c:pt idx="2">
                  <c:v>329.05209997948788</c:v>
                </c:pt>
                <c:pt idx="3">
                  <c:v>322.55264311914885</c:v>
                </c:pt>
                <c:pt idx="4">
                  <c:v>304.81737447556924</c:v>
                </c:pt>
                <c:pt idx="5">
                  <c:v>283.41951730085822</c:v>
                </c:pt>
                <c:pt idx="6">
                  <c:v>260.49955786346078</c:v>
                </c:pt>
              </c:numCache>
            </c:numRef>
          </c:val>
        </c:ser>
        <c:ser>
          <c:idx val="4"/>
          <c:order val="4"/>
          <c:tx>
            <c:strRef>
              <c:f>List1!$A$6</c:f>
              <c:strCache>
                <c:ptCount val="1"/>
                <c:pt idx="0">
                  <c:v>Elektřina</c:v>
                </c:pt>
              </c:strCache>
            </c:strRef>
          </c:tx>
          <c:spPr>
            <a:solidFill>
              <a:srgbClr val="FF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207.60759314614239</c:v>
                </c:pt>
                <c:pt idx="1">
                  <c:v>207.10205785789913</c:v>
                </c:pt>
                <c:pt idx="2">
                  <c:v>218.75152365928031</c:v>
                </c:pt>
                <c:pt idx="3">
                  <c:v>236.18322748346952</c:v>
                </c:pt>
                <c:pt idx="4">
                  <c:v>248.78757725813617</c:v>
                </c:pt>
                <c:pt idx="5">
                  <c:v>258.73016612145221</c:v>
                </c:pt>
                <c:pt idx="6">
                  <c:v>266.71312164705762</c:v>
                </c:pt>
              </c:numCache>
            </c:numRef>
          </c:val>
        </c:ser>
        <c:ser>
          <c:idx val="5"/>
          <c:order val="5"/>
          <c:tx>
            <c:strRef>
              <c:f>List1!$A$7</c:f>
              <c:strCache>
                <c:ptCount val="1"/>
                <c:pt idx="0">
                  <c:v>Teplo</c:v>
                </c:pt>
              </c:strCache>
            </c:strRef>
          </c:tx>
          <c:spPr>
            <a:solidFill>
              <a:schemeClr val="accent1">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119.71400947639111</c:v>
                </c:pt>
                <c:pt idx="1">
                  <c:v>116.84859387819481</c:v>
                </c:pt>
                <c:pt idx="2">
                  <c:v>116.42409353967676</c:v>
                </c:pt>
                <c:pt idx="3">
                  <c:v>115.71496882846233</c:v>
                </c:pt>
                <c:pt idx="4">
                  <c:v>112.17705005162635</c:v>
                </c:pt>
                <c:pt idx="5">
                  <c:v>113.88276457251747</c:v>
                </c:pt>
                <c:pt idx="6">
                  <c:v>113.67273013566503</c:v>
                </c:pt>
              </c:numCache>
            </c:numRef>
          </c:val>
        </c:ser>
        <c:ser>
          <c:idx val="6"/>
          <c:order val="6"/>
          <c:tx>
            <c:strRef>
              <c:f>List1!$A$8</c:f>
              <c:strCache>
                <c:ptCount val="1"/>
                <c:pt idx="0">
                  <c:v>Ostatní paliva</c:v>
                </c:pt>
              </c:strCache>
            </c:strRef>
          </c:tx>
          <c:spPr>
            <a:solidFill>
              <a:srgbClr val="FFC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#,##0.0</c:formatCode>
                <c:ptCount val="7"/>
                <c:pt idx="0">
                  <c:v>101.21041691025026</c:v>
                </c:pt>
                <c:pt idx="1">
                  <c:v>121.96351361608484</c:v>
                </c:pt>
                <c:pt idx="2">
                  <c:v>139.38450659632949</c:v>
                </c:pt>
                <c:pt idx="3">
                  <c:v>149.17940592945226</c:v>
                </c:pt>
                <c:pt idx="4">
                  <c:v>155.62784176923589</c:v>
                </c:pt>
                <c:pt idx="5">
                  <c:v>162.11889157128385</c:v>
                </c:pt>
                <c:pt idx="6">
                  <c:v>169.6015857766871</c:v>
                </c:pt>
              </c:numCache>
            </c:numRef>
          </c:val>
        </c:ser>
        <c:dLbls>
          <c:showLegendKey val="0"/>
          <c:showVal val="0"/>
          <c:showCatName val="0"/>
          <c:showSerName val="0"/>
          <c:showPercent val="0"/>
          <c:showBubbleSize val="0"/>
        </c:dLbls>
        <c:gapWidth val="150"/>
        <c:overlap val="100"/>
        <c:axId val="164016512"/>
        <c:axId val="164018048"/>
      </c:barChart>
      <c:catAx>
        <c:axId val="164016512"/>
        <c:scaling>
          <c:orientation val="minMax"/>
        </c:scaling>
        <c:delete val="0"/>
        <c:axPos val="b"/>
        <c:numFmt formatCode="General" sourceLinked="1"/>
        <c:majorTickMark val="out"/>
        <c:minorTickMark val="none"/>
        <c:tickLblPos val="nextTo"/>
        <c:spPr>
          <a:ln>
            <a:solidFill>
              <a:schemeClr val="bg1">
                <a:lumMod val="65000"/>
              </a:schemeClr>
            </a:solidFill>
          </a:ln>
        </c:spPr>
        <c:txPr>
          <a:bodyPr/>
          <a:lstStyle/>
          <a:p>
            <a:pPr>
              <a:defRPr sz="900" b="0"/>
            </a:pPr>
            <a:endParaRPr lang="cs-CZ"/>
          </a:p>
        </c:txPr>
        <c:crossAx val="164018048"/>
        <c:crosses val="autoZero"/>
        <c:auto val="1"/>
        <c:lblAlgn val="ctr"/>
        <c:lblOffset val="100"/>
        <c:noMultiLvlLbl val="0"/>
      </c:catAx>
      <c:valAx>
        <c:axId val="164018048"/>
        <c:scaling>
          <c:orientation val="minMax"/>
          <c:max val="1400"/>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64016512"/>
        <c:crosses val="autoZero"/>
        <c:crossBetween val="between"/>
      </c:valAx>
    </c:plotArea>
    <c:legend>
      <c:legendPos val="b"/>
      <c:layout>
        <c:manualLayout>
          <c:xMode val="edge"/>
          <c:yMode val="edge"/>
          <c:x val="6.6203703703703709E-2"/>
          <c:y val="0.90939382577177852"/>
          <c:w val="0.8999999132339862"/>
          <c:h val="5.6675459648148505E-2"/>
        </c:manualLayout>
      </c:layout>
      <c:overlay val="0"/>
      <c:txPr>
        <a:bodyPr/>
        <a:lstStyle/>
        <a:p>
          <a:pPr>
            <a:defRPr sz="900" b="0"/>
          </a:pPr>
          <a:endParaRPr lang="cs-CZ"/>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Podíl OZE na hrubé</a:t>
            </a:r>
            <a:r>
              <a:rPr lang="cs-CZ" sz="1200" baseline="0"/>
              <a:t> konečné spotřebě</a:t>
            </a:r>
            <a:endParaRPr lang="cs-CZ" sz="1200"/>
          </a:p>
        </c:rich>
      </c:tx>
      <c:overlay val="0"/>
    </c:title>
    <c:autoTitleDeleted val="0"/>
    <c:plotArea>
      <c:layout/>
      <c:barChart>
        <c:barDir val="col"/>
        <c:grouping val="clustered"/>
        <c:varyColors val="0"/>
        <c:ser>
          <c:idx val="0"/>
          <c:order val="0"/>
          <c:tx>
            <c:strRef>
              <c:f>List1!$A$2</c:f>
              <c:strCache>
                <c:ptCount val="1"/>
                <c:pt idx="0">
                  <c:v>Podíl OZE na HKS</c:v>
                </c:pt>
              </c:strCache>
            </c:strRef>
          </c:tx>
          <c:spPr>
            <a:pattFill prst="pct50">
              <a:fgClr>
                <a:srgbClr val="9BBB59"/>
              </a:fgClr>
              <a:bgClr>
                <a:sysClr val="window" lastClr="FFFFFF"/>
              </a:bgClr>
            </a:pattFill>
            <a:ln>
              <a:solidFill>
                <a:srgbClr val="00B050"/>
              </a:solidFill>
            </a:ln>
          </c:spPr>
          <c:invertIfNegative val="0"/>
          <c:dLbls>
            <c:dLbl>
              <c:idx val="1"/>
              <c:layout>
                <c:manualLayout>
                  <c:x val="2.2050714735038284E-3"/>
                  <c:y val="-1.3444138122533172E-2"/>
                </c:manualLayout>
              </c:layout>
              <c:showLegendKey val="0"/>
              <c:showVal val="1"/>
              <c:showCatName val="0"/>
              <c:showSerName val="0"/>
              <c:showPercent val="0"/>
              <c:showBubbleSize val="0"/>
            </c:dLbl>
            <c:dLbl>
              <c:idx val="6"/>
              <c:layout>
                <c:manualLayout>
                  <c:x val="0"/>
                  <c:y val="-2.6868178001679292E-2"/>
                </c:manualLayout>
              </c:layout>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8.6810751841461975E-2</c:v>
                </c:pt>
                <c:pt idx="1">
                  <c:v>0.11977862219795918</c:v>
                </c:pt>
                <c:pt idx="2">
                  <c:v>0.14173251503178372</c:v>
                </c:pt>
                <c:pt idx="3">
                  <c:v>0.15819355466897309</c:v>
                </c:pt>
                <c:pt idx="4">
                  <c:v>0.17299673515957048</c:v>
                </c:pt>
                <c:pt idx="5">
                  <c:v>0.19085150841409226</c:v>
                </c:pt>
                <c:pt idx="6">
                  <c:v>0.21074021561567804</c:v>
                </c:pt>
              </c:numCache>
            </c:numRef>
          </c:val>
        </c:ser>
        <c:dLbls>
          <c:showLegendKey val="0"/>
          <c:showVal val="0"/>
          <c:showCatName val="0"/>
          <c:showSerName val="0"/>
          <c:showPercent val="0"/>
          <c:showBubbleSize val="0"/>
        </c:dLbls>
        <c:gapWidth val="150"/>
        <c:axId val="203132288"/>
        <c:axId val="203240576"/>
      </c:barChart>
      <c:lineChart>
        <c:grouping val="standard"/>
        <c:varyColors val="0"/>
        <c:ser>
          <c:idx val="1"/>
          <c:order val="1"/>
          <c:tx>
            <c:strRef>
              <c:f>List1!$A$3</c:f>
              <c:strCache>
                <c:ptCount val="1"/>
                <c:pt idx="0">
                  <c:v>Závazek do roku 2020</c:v>
                </c:pt>
              </c:strCache>
            </c:strRef>
          </c:tx>
          <c:spPr>
            <a:ln w="22225"/>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0.00%</c:formatCode>
                <c:ptCount val="7"/>
                <c:pt idx="0">
                  <c:v>0.13</c:v>
                </c:pt>
                <c:pt idx="1">
                  <c:v>0.13</c:v>
                </c:pt>
                <c:pt idx="2">
                  <c:v>0.13</c:v>
                </c:pt>
                <c:pt idx="3">
                  <c:v>0.13</c:v>
                </c:pt>
                <c:pt idx="4">
                  <c:v>0.13</c:v>
                </c:pt>
                <c:pt idx="5">
                  <c:v>0.13</c:v>
                </c:pt>
                <c:pt idx="6">
                  <c:v>0.13</c:v>
                </c:pt>
              </c:numCache>
            </c:numRef>
          </c:val>
          <c:smooth val="0"/>
        </c:ser>
        <c:ser>
          <c:idx val="2"/>
          <c:order val="2"/>
          <c:tx>
            <c:strRef>
              <c:f>List1!$A$4</c:f>
              <c:strCache>
                <c:ptCount val="1"/>
                <c:pt idx="0">
                  <c:v>Maximální potenciál</c:v>
                </c:pt>
              </c:strCache>
            </c:strRef>
          </c:tx>
          <c:spPr>
            <a:ln w="22225">
              <a:solidFill>
                <a:sysClr val="window" lastClr="FFFFFF">
                  <a:lumMod val="50000"/>
                </a:sysClr>
              </a:solidFill>
              <a:prstDash val="dash"/>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0.00%</c:formatCode>
                <c:ptCount val="7"/>
                <c:pt idx="0">
                  <c:v>0.22070000000000001</c:v>
                </c:pt>
                <c:pt idx="1">
                  <c:v>0.22070000000000001</c:v>
                </c:pt>
                <c:pt idx="2">
                  <c:v>0.22070000000000001</c:v>
                </c:pt>
                <c:pt idx="3">
                  <c:v>0.22070000000000001</c:v>
                </c:pt>
                <c:pt idx="4">
                  <c:v>0.22070000000000001</c:v>
                </c:pt>
                <c:pt idx="5">
                  <c:v>0.22070000000000001</c:v>
                </c:pt>
                <c:pt idx="6">
                  <c:v>0.22070000000000001</c:v>
                </c:pt>
              </c:numCache>
            </c:numRef>
          </c:val>
          <c:smooth val="0"/>
        </c:ser>
        <c:dLbls>
          <c:showLegendKey val="0"/>
          <c:showVal val="0"/>
          <c:showCatName val="0"/>
          <c:showSerName val="0"/>
          <c:showPercent val="0"/>
          <c:showBubbleSize val="0"/>
        </c:dLbls>
        <c:marker val="1"/>
        <c:smooth val="0"/>
        <c:axId val="203132288"/>
        <c:axId val="203240576"/>
      </c:lineChart>
      <c:catAx>
        <c:axId val="203132288"/>
        <c:scaling>
          <c:orientation val="minMax"/>
        </c:scaling>
        <c:delete val="0"/>
        <c:axPos val="b"/>
        <c:numFmt formatCode="General" sourceLinked="0"/>
        <c:majorTickMark val="out"/>
        <c:minorTickMark val="none"/>
        <c:tickLblPos val="nextTo"/>
        <c:crossAx val="203240576"/>
        <c:crosses val="autoZero"/>
        <c:auto val="1"/>
        <c:lblAlgn val="ctr"/>
        <c:lblOffset val="100"/>
        <c:noMultiLvlLbl val="0"/>
      </c:catAx>
      <c:valAx>
        <c:axId val="203240576"/>
        <c:scaling>
          <c:orientation val="minMax"/>
          <c:max val="0.30000000000000004"/>
        </c:scaling>
        <c:delete val="0"/>
        <c:axPos val="l"/>
        <c:majorGridlines>
          <c:spPr>
            <a:ln>
              <a:solidFill>
                <a:sysClr val="window" lastClr="FFFFFF">
                  <a:lumMod val="85000"/>
                </a:sysClr>
              </a:solidFill>
              <a:prstDash val="sysDash"/>
            </a:ln>
          </c:spPr>
        </c:majorGridlines>
        <c:numFmt formatCode="0%" sourceLinked="0"/>
        <c:majorTickMark val="out"/>
        <c:minorTickMark val="none"/>
        <c:tickLblPos val="nextTo"/>
        <c:crossAx val="203132288"/>
        <c:crosses val="autoZero"/>
        <c:crossBetween val="between"/>
        <c:majorUnit val="5.000000000000001E-2"/>
      </c:valAx>
    </c:plotArea>
    <c:legend>
      <c:legendPos val="b"/>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Spotřeba elektřiny na obyvatele v EU v roce 2011</a:t>
            </a:r>
            <a:endParaRPr lang="cs-CZ" sz="1200">
              <a:effectLst/>
            </a:endParaRPr>
          </a:p>
        </c:rich>
      </c:tx>
      <c:overlay val="0"/>
    </c:title>
    <c:autoTitleDeleted val="0"/>
    <c:plotArea>
      <c:layout/>
      <c:barChart>
        <c:barDir val="col"/>
        <c:grouping val="clustered"/>
        <c:varyColors val="0"/>
        <c:ser>
          <c:idx val="0"/>
          <c:order val="0"/>
          <c:tx>
            <c:strRef>
              <c:f>List1!$B$1</c:f>
              <c:strCache>
                <c:ptCount val="1"/>
                <c:pt idx="0">
                  <c:v>Řada 1</c:v>
                </c:pt>
              </c:strCache>
            </c:strRef>
          </c:tx>
          <c:spPr>
            <a:pattFill prst="pct50">
              <a:fgClr>
                <a:schemeClr val="accent2"/>
              </a:fgClr>
              <a:bgClr>
                <a:schemeClr val="bg1"/>
              </a:bgClr>
            </a:pattFill>
            <a:ln>
              <a:solidFill>
                <a:schemeClr val="accent2"/>
              </a:solidFill>
            </a:ln>
          </c:spPr>
          <c:invertIfNegative val="0"/>
          <c:dPt>
            <c:idx val="5"/>
            <c:invertIfNegative val="0"/>
            <c:bubble3D val="0"/>
          </c:dPt>
          <c:dPt>
            <c:idx val="12"/>
            <c:invertIfNegative val="0"/>
            <c:bubble3D val="0"/>
            <c:spPr>
              <a:pattFill prst="pct50">
                <a:fgClr>
                  <a:schemeClr val="accent5"/>
                </a:fgClr>
                <a:bgClr>
                  <a:schemeClr val="bg1"/>
                </a:bgClr>
              </a:pattFill>
              <a:ln>
                <a:solidFill>
                  <a:schemeClr val="accent5"/>
                </a:solidFill>
              </a:ln>
            </c:spPr>
          </c:dPt>
          <c:dPt>
            <c:idx val="20"/>
            <c:invertIfNegative val="0"/>
            <c:bubble3D val="0"/>
          </c:dPt>
          <c:cat>
            <c:strRef>
              <c:f>List1!$A$2:$A$29</c:f>
              <c:strCache>
                <c:ptCount val="28"/>
                <c:pt idx="0">
                  <c:v>Finland</c:v>
                </c:pt>
                <c:pt idx="1">
                  <c:v>Sweden</c:v>
                </c:pt>
                <c:pt idx="2">
                  <c:v>Luxembourg</c:v>
                </c:pt>
                <c:pt idx="3">
                  <c:v>Belgium</c:v>
                </c:pt>
                <c:pt idx="4">
                  <c:v>Austria</c:v>
                </c:pt>
                <c:pt idx="5">
                  <c:v>France</c:v>
                </c:pt>
                <c:pt idx="6">
                  <c:v>Germany</c:v>
                </c:pt>
                <c:pt idx="7">
                  <c:v>Slovenia</c:v>
                </c:pt>
                <c:pt idx="8">
                  <c:v>Netherlands</c:v>
                </c:pt>
                <c:pt idx="9">
                  <c:v>Cyprus</c:v>
                </c:pt>
                <c:pt idx="10">
                  <c:v>Ireland</c:v>
                </c:pt>
                <c:pt idx="11">
                  <c:v>Denmark</c:v>
                </c:pt>
                <c:pt idx="12">
                  <c:v>Czech Republic</c:v>
                </c:pt>
                <c:pt idx="13">
                  <c:v>Spain</c:v>
                </c:pt>
                <c:pt idx="14">
                  <c:v>United Kingdom</c:v>
                </c:pt>
                <c:pt idx="15">
                  <c:v>Italy</c:v>
                </c:pt>
                <c:pt idx="16">
                  <c:v>Estonia</c:v>
                </c:pt>
                <c:pt idx="17">
                  <c:v>Slovak Republic</c:v>
                </c:pt>
                <c:pt idx="18">
                  <c:v>Portugal</c:v>
                </c:pt>
                <c:pt idx="19">
                  <c:v>Greece</c:v>
                </c:pt>
                <c:pt idx="20">
                  <c:v>Malta</c:v>
                </c:pt>
                <c:pt idx="21">
                  <c:v>Bulgaria</c:v>
                </c:pt>
                <c:pt idx="22">
                  <c:v>Croatia</c:v>
                </c:pt>
                <c:pt idx="23">
                  <c:v>Hungary</c:v>
                </c:pt>
                <c:pt idx="24">
                  <c:v>Poland</c:v>
                </c:pt>
                <c:pt idx="25">
                  <c:v>Latvia</c:v>
                </c:pt>
                <c:pt idx="26">
                  <c:v>Lithuania</c:v>
                </c:pt>
                <c:pt idx="27">
                  <c:v>Romania</c:v>
                </c:pt>
              </c:strCache>
            </c:strRef>
          </c:cat>
          <c:val>
            <c:numRef>
              <c:f>List1!$B$2:$B$29</c:f>
              <c:numCache>
                <c:formatCode>0.0000</c:formatCode>
                <c:ptCount val="28"/>
                <c:pt idx="0">
                  <c:v>14.716911082235011</c:v>
                </c:pt>
                <c:pt idx="1">
                  <c:v>13.061481481481481</c:v>
                </c:pt>
                <c:pt idx="2">
                  <c:v>12.418111753371868</c:v>
                </c:pt>
                <c:pt idx="3">
                  <c:v>7.2692658043359453</c:v>
                </c:pt>
                <c:pt idx="4">
                  <c:v>7.2110200688754311</c:v>
                </c:pt>
                <c:pt idx="5">
                  <c:v>6.3233817092835762</c:v>
                </c:pt>
                <c:pt idx="6">
                  <c:v>6.2670979102214508</c:v>
                </c:pt>
                <c:pt idx="7">
                  <c:v>6.1407696054554313</c:v>
                </c:pt>
                <c:pt idx="8">
                  <c:v>5.995567004133469</c:v>
                </c:pt>
                <c:pt idx="9">
                  <c:v>5.4669987546699881</c:v>
                </c:pt>
                <c:pt idx="10">
                  <c:v>5.3133056587284244</c:v>
                </c:pt>
                <c:pt idx="11">
                  <c:v>5.3056203986353028</c:v>
                </c:pt>
                <c:pt idx="12">
                  <c:v>5.0862151090787844</c:v>
                </c:pt>
                <c:pt idx="13">
                  <c:v>5.0209647696476969</c:v>
                </c:pt>
                <c:pt idx="14">
                  <c:v>5.0061688052921021</c:v>
                </c:pt>
                <c:pt idx="15">
                  <c:v>4.8732132270601412</c:v>
                </c:pt>
                <c:pt idx="16">
                  <c:v>4.8044776119402988</c:v>
                </c:pt>
                <c:pt idx="17">
                  <c:v>4.5050542179746369</c:v>
                </c:pt>
                <c:pt idx="18">
                  <c:v>4.448690263824993</c:v>
                </c:pt>
                <c:pt idx="19">
                  <c:v>4.3581786030061895</c:v>
                </c:pt>
                <c:pt idx="20">
                  <c:v>4.2410501193317423</c:v>
                </c:pt>
                <c:pt idx="21">
                  <c:v>3.7637774210807922</c:v>
                </c:pt>
                <c:pt idx="22">
                  <c:v>3.5550260948491035</c:v>
                </c:pt>
                <c:pt idx="23">
                  <c:v>3.3867829923786603</c:v>
                </c:pt>
                <c:pt idx="24">
                  <c:v>3.1237346207755801</c:v>
                </c:pt>
                <c:pt idx="25">
                  <c:v>2.7265765765765764</c:v>
                </c:pt>
                <c:pt idx="26">
                  <c:v>2.6266000624414616</c:v>
                </c:pt>
                <c:pt idx="27">
                  <c:v>1.9613370733987845</c:v>
                </c:pt>
              </c:numCache>
            </c:numRef>
          </c:val>
        </c:ser>
        <c:dLbls>
          <c:showLegendKey val="0"/>
          <c:showVal val="0"/>
          <c:showCatName val="0"/>
          <c:showSerName val="0"/>
          <c:showPercent val="0"/>
          <c:showBubbleSize val="0"/>
        </c:dLbls>
        <c:gapWidth val="150"/>
        <c:axId val="203278208"/>
        <c:axId val="203279744"/>
      </c:barChart>
      <c:catAx>
        <c:axId val="203278208"/>
        <c:scaling>
          <c:orientation val="minMax"/>
        </c:scaling>
        <c:delete val="0"/>
        <c:axPos val="b"/>
        <c:numFmt formatCode="General" sourceLinked="0"/>
        <c:majorTickMark val="out"/>
        <c:minorTickMark val="none"/>
        <c:tickLblPos val="nextTo"/>
        <c:crossAx val="203279744"/>
        <c:crosses val="autoZero"/>
        <c:auto val="1"/>
        <c:lblAlgn val="ctr"/>
        <c:lblOffset val="100"/>
        <c:noMultiLvlLbl val="0"/>
      </c:catAx>
      <c:valAx>
        <c:axId val="203279744"/>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Spotřeba elektřiny na obyvatele </a:t>
                </a:r>
                <a:r>
                  <a:rPr lang="en-US"/>
                  <a:t>[</a:t>
                </a:r>
                <a:r>
                  <a:rPr lang="cs-CZ"/>
                  <a:t>MWh/obyv.</a:t>
                </a:r>
                <a:r>
                  <a:rPr lang="en-US"/>
                  <a:t>]</a:t>
                </a:r>
                <a:endParaRPr lang="cs-CZ"/>
              </a:p>
            </c:rich>
          </c:tx>
          <c:overlay val="0"/>
        </c:title>
        <c:numFmt formatCode="#,##0" sourceLinked="0"/>
        <c:majorTickMark val="out"/>
        <c:minorTickMark val="none"/>
        <c:tickLblPos val="nextTo"/>
        <c:crossAx val="203278208"/>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Spotřeba elektřiny na obyvatele a vývoj počtu obyvatel</a:t>
            </a:r>
            <a:endParaRPr lang="cs-CZ" sz="1200">
              <a:effectLst/>
            </a:endParaRPr>
          </a:p>
        </c:rich>
      </c:tx>
      <c:overlay val="0"/>
    </c:title>
    <c:autoTitleDeleted val="0"/>
    <c:plotArea>
      <c:layout/>
      <c:barChart>
        <c:barDir val="col"/>
        <c:grouping val="clustered"/>
        <c:varyColors val="0"/>
        <c:ser>
          <c:idx val="0"/>
          <c:order val="0"/>
          <c:tx>
            <c:strRef>
              <c:f>List1!$A$2</c:f>
              <c:strCache>
                <c:ptCount val="1"/>
                <c:pt idx="0">
                  <c:v>Spotřeba elektřiny netto na obyvatele</c:v>
                </c:pt>
              </c:strCache>
            </c:strRef>
          </c:tx>
          <c:spPr>
            <a:pattFill prst="pct50">
              <a:fgClr>
                <a:schemeClr val="accent1"/>
              </a:fgClr>
              <a:bgClr>
                <a:schemeClr val="bg1"/>
              </a:bgClr>
            </a:pattFill>
            <a:ln>
              <a:solidFill>
                <a:schemeClr val="tx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5.6341732433203386</c:v>
                </c:pt>
                <c:pt idx="1">
                  <c:v>5.6243314942069</c:v>
                </c:pt>
                <c:pt idx="2">
                  <c:v>5.8980836756492305</c:v>
                </c:pt>
                <c:pt idx="3">
                  <c:v>6.3529084096752975</c:v>
                </c:pt>
                <c:pt idx="4">
                  <c:v>6.7082313078502773</c:v>
                </c:pt>
                <c:pt idx="5">
                  <c:v>7.0302036896993583</c:v>
                </c:pt>
                <c:pt idx="6">
                  <c:v>7.3153113134633729</c:v>
                </c:pt>
              </c:numCache>
            </c:numRef>
          </c:val>
        </c:ser>
        <c:dLbls>
          <c:showLegendKey val="0"/>
          <c:showVal val="0"/>
          <c:showCatName val="0"/>
          <c:showSerName val="0"/>
          <c:showPercent val="0"/>
          <c:showBubbleSize val="0"/>
        </c:dLbls>
        <c:gapWidth val="150"/>
        <c:axId val="203310208"/>
        <c:axId val="203311744"/>
      </c:barChart>
      <c:lineChart>
        <c:grouping val="standard"/>
        <c:varyColors val="0"/>
        <c:ser>
          <c:idx val="1"/>
          <c:order val="1"/>
          <c:tx>
            <c:strRef>
              <c:f>List1!$A$3</c:f>
              <c:strCache>
                <c:ptCount val="1"/>
                <c:pt idx="0">
                  <c:v>Vývoj počtu obyvatel ČR</c:v>
                </c:pt>
              </c:strCache>
            </c:strRef>
          </c:tx>
          <c:spPr>
            <a:ln w="19050">
              <a:solidFill>
                <a:srgbClr val="92D050"/>
              </a:solidFill>
              <a:prstDash val="sysDash"/>
            </a:ln>
          </c:spPr>
          <c:marker>
            <c:symbol val="none"/>
          </c:marker>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10517</c:v>
                </c:pt>
                <c:pt idx="1">
                  <c:v>10509.400000000001</c:v>
                </c:pt>
                <c:pt idx="2">
                  <c:v>10524.900000000003</c:v>
                </c:pt>
                <c:pt idx="3">
                  <c:v>10466.400000000001</c:v>
                </c:pt>
                <c:pt idx="4">
                  <c:v>10389.400000000003</c:v>
                </c:pt>
                <c:pt idx="5">
                  <c:v>10263.599999999999</c:v>
                </c:pt>
                <c:pt idx="6">
                  <c:v>10125.599999999997</c:v>
                </c:pt>
              </c:numCache>
            </c:numRef>
          </c:val>
          <c:smooth val="0"/>
        </c:ser>
        <c:dLbls>
          <c:showLegendKey val="0"/>
          <c:showVal val="0"/>
          <c:showCatName val="0"/>
          <c:showSerName val="0"/>
          <c:showPercent val="0"/>
          <c:showBubbleSize val="0"/>
        </c:dLbls>
        <c:marker val="1"/>
        <c:smooth val="0"/>
        <c:axId val="203319936"/>
        <c:axId val="203318016"/>
      </c:lineChart>
      <c:catAx>
        <c:axId val="203310208"/>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203311744"/>
        <c:crosses val="autoZero"/>
        <c:auto val="1"/>
        <c:lblAlgn val="ctr"/>
        <c:lblOffset val="100"/>
        <c:noMultiLvlLbl val="0"/>
      </c:catAx>
      <c:valAx>
        <c:axId val="203311744"/>
        <c:scaling>
          <c:orientation val="minMax"/>
          <c:max val="9"/>
          <c:min val="0"/>
        </c:scaling>
        <c:delete val="0"/>
        <c:axPos val="l"/>
        <c:majorGridlines>
          <c:spPr>
            <a:ln>
              <a:solidFill>
                <a:schemeClr val="bg1">
                  <a:lumMod val="85000"/>
                </a:schemeClr>
              </a:solidFill>
              <a:prstDash val="sysDash"/>
            </a:ln>
          </c:spPr>
        </c:majorGridlines>
        <c:title>
          <c:tx>
            <c:rich>
              <a:bodyPr rot="-5400000" vert="horz"/>
              <a:lstStyle/>
              <a:p>
                <a:pPr>
                  <a:defRPr/>
                </a:pPr>
                <a:r>
                  <a:rPr lang="cs-CZ" sz="1000" b="1" i="0" u="none" strike="noStrike" baseline="0">
                    <a:effectLst/>
                  </a:rPr>
                  <a:t>Spotřeba elektřiny na obyvatele </a:t>
                </a:r>
                <a:r>
                  <a:rPr lang="en-US" sz="1000" b="1" i="0" u="none" strike="noStrike" baseline="0">
                    <a:effectLst/>
                  </a:rPr>
                  <a:t>[</a:t>
                </a:r>
                <a:r>
                  <a:rPr lang="cs-CZ" sz="1000" b="1" i="0" u="none" strike="noStrike" baseline="0">
                    <a:effectLst/>
                  </a:rPr>
                  <a:t>MWh/obyv</a:t>
                </a:r>
                <a:r>
                  <a:rPr lang="en-US" sz="1000" b="1" i="0" u="none" strike="noStrike" baseline="0">
                    <a:effectLst/>
                  </a:rPr>
                  <a:t>.]</a:t>
                </a:r>
                <a:endParaRPr lang="cs-CZ"/>
              </a:p>
            </c:rich>
          </c:tx>
          <c:overlay val="0"/>
        </c:title>
        <c:numFmt formatCode="0.00" sourceLinked="0"/>
        <c:majorTickMark val="out"/>
        <c:minorTickMark val="none"/>
        <c:tickLblPos val="nextTo"/>
        <c:spPr>
          <a:ln>
            <a:solidFill>
              <a:schemeClr val="bg1">
                <a:lumMod val="65000"/>
              </a:schemeClr>
            </a:solidFill>
          </a:ln>
        </c:spPr>
        <c:txPr>
          <a:bodyPr/>
          <a:lstStyle/>
          <a:p>
            <a:pPr>
              <a:defRPr sz="900" b="0"/>
            </a:pPr>
            <a:endParaRPr lang="cs-CZ"/>
          </a:p>
        </c:txPr>
        <c:crossAx val="203310208"/>
        <c:crosses val="autoZero"/>
        <c:crossBetween val="between"/>
        <c:majorUnit val="1"/>
      </c:valAx>
      <c:valAx>
        <c:axId val="203318016"/>
        <c:scaling>
          <c:orientation val="minMax"/>
          <c:min val="0"/>
        </c:scaling>
        <c:delete val="0"/>
        <c:axPos val="r"/>
        <c:title>
          <c:tx>
            <c:rich>
              <a:bodyPr rot="-5400000" vert="horz"/>
              <a:lstStyle/>
              <a:p>
                <a:pPr>
                  <a:defRPr/>
                </a:pPr>
                <a:r>
                  <a:rPr lang="cs-CZ" sz="1000" b="1" i="0" u="none" strike="noStrike" baseline="0">
                    <a:effectLst/>
                  </a:rPr>
                  <a:t>Počet obyvatel </a:t>
                </a:r>
                <a:r>
                  <a:rPr lang="en-US" sz="1000" b="1" i="0" u="none" strike="noStrike" baseline="0">
                    <a:effectLst/>
                  </a:rPr>
                  <a:t>[</a:t>
                </a:r>
                <a:r>
                  <a:rPr lang="cs-CZ" sz="1000" b="1" i="0" u="none" strike="noStrike" baseline="0">
                    <a:effectLst/>
                  </a:rPr>
                  <a:t>tis. obyv.</a:t>
                </a:r>
                <a:r>
                  <a:rPr lang="en-US" sz="1000" b="1" i="0" u="none" strike="noStrike" baseline="0">
                    <a:effectLst/>
                  </a:rPr>
                  <a:t>]</a:t>
                </a:r>
                <a:endParaRPr lang="cs-CZ"/>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203319936"/>
        <c:crosses val="max"/>
        <c:crossBetween val="between"/>
      </c:valAx>
      <c:catAx>
        <c:axId val="203319936"/>
        <c:scaling>
          <c:orientation val="minMax"/>
        </c:scaling>
        <c:delete val="1"/>
        <c:axPos val="b"/>
        <c:numFmt formatCode="General" sourceLinked="1"/>
        <c:majorTickMark val="out"/>
        <c:minorTickMark val="none"/>
        <c:tickLblPos val="none"/>
        <c:crossAx val="20331801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Podíl OZE na dodávkách</a:t>
            </a:r>
            <a:r>
              <a:rPr lang="cs-CZ" sz="1200" baseline="0"/>
              <a:t> tepla ze SZT</a:t>
            </a:r>
            <a:endParaRPr lang="cs-CZ" sz="1200"/>
          </a:p>
        </c:rich>
      </c:tx>
      <c:overlay val="0"/>
    </c:title>
    <c:autoTitleDeleted val="0"/>
    <c:plotArea>
      <c:layout/>
      <c:barChart>
        <c:barDir val="col"/>
        <c:grouping val="clustered"/>
        <c:varyColors val="0"/>
        <c:ser>
          <c:idx val="0"/>
          <c:order val="0"/>
          <c:tx>
            <c:strRef>
              <c:f>List1!$A$2</c:f>
              <c:strCache>
                <c:ptCount val="1"/>
                <c:pt idx="0">
                  <c:v>Podíl OZE na SZT</c:v>
                </c:pt>
              </c:strCache>
            </c:strRef>
          </c:tx>
          <c:spPr>
            <a:pattFill prst="pct50">
              <a:fgClr>
                <a:srgbClr val="9BBB59"/>
              </a:fgClr>
              <a:bgClr>
                <a:sysClr val="window" lastClr="FFFFFF"/>
              </a:bgClr>
            </a:pattFill>
            <a:ln>
              <a:solidFill>
                <a:srgbClr val="00B050"/>
              </a:solidFill>
            </a:ln>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0.00%</c:formatCode>
                <c:ptCount val="7"/>
                <c:pt idx="0">
                  <c:v>3.0453151686459384E-2</c:v>
                </c:pt>
                <c:pt idx="1">
                  <c:v>6.6691307575664993E-2</c:v>
                </c:pt>
                <c:pt idx="2">
                  <c:v>9.2054401391841595E-2</c:v>
                </c:pt>
                <c:pt idx="3">
                  <c:v>0.13760478662796033</c:v>
                </c:pt>
                <c:pt idx="4">
                  <c:v>0.19536674078899555</c:v>
                </c:pt>
                <c:pt idx="5">
                  <c:v>0.22601901678277303</c:v>
                </c:pt>
                <c:pt idx="6">
                  <c:v>0.25996705956287663</c:v>
                </c:pt>
              </c:numCache>
            </c:numRef>
          </c:val>
        </c:ser>
        <c:dLbls>
          <c:showLegendKey val="0"/>
          <c:showVal val="0"/>
          <c:showCatName val="0"/>
          <c:showSerName val="0"/>
          <c:showPercent val="0"/>
          <c:showBubbleSize val="0"/>
        </c:dLbls>
        <c:gapWidth val="150"/>
        <c:axId val="203512832"/>
        <c:axId val="203514624"/>
      </c:barChart>
      <c:catAx>
        <c:axId val="203512832"/>
        <c:scaling>
          <c:orientation val="minMax"/>
        </c:scaling>
        <c:delete val="0"/>
        <c:axPos val="b"/>
        <c:numFmt formatCode="General" sourceLinked="0"/>
        <c:majorTickMark val="out"/>
        <c:minorTickMark val="none"/>
        <c:tickLblPos val="nextTo"/>
        <c:crossAx val="203514624"/>
        <c:crosses val="autoZero"/>
        <c:auto val="1"/>
        <c:lblAlgn val="ctr"/>
        <c:lblOffset val="100"/>
        <c:noMultiLvlLbl val="0"/>
      </c:catAx>
      <c:valAx>
        <c:axId val="203514624"/>
        <c:scaling>
          <c:orientation val="minMax"/>
          <c:max val="0.30000000000000004"/>
        </c:scaling>
        <c:delete val="0"/>
        <c:axPos val="l"/>
        <c:majorGridlines>
          <c:spPr>
            <a:ln>
              <a:solidFill>
                <a:sysClr val="window" lastClr="FFFFFF">
                  <a:lumMod val="85000"/>
                </a:sysClr>
              </a:solidFill>
              <a:prstDash val="sysDash"/>
            </a:ln>
          </c:spPr>
        </c:majorGridlines>
        <c:numFmt formatCode="0%" sourceLinked="0"/>
        <c:majorTickMark val="out"/>
        <c:minorTickMark val="none"/>
        <c:tickLblPos val="nextTo"/>
        <c:crossAx val="203512832"/>
        <c:crosses val="autoZero"/>
        <c:crossBetween val="between"/>
        <c:majorUnit val="5.000000000000001E-2"/>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Vývoj a struktura konečné spotřeby energie v domácnostech</a:t>
            </a:r>
            <a:endParaRPr lang="cs-CZ">
              <a:effectLst/>
            </a:endParaRPr>
          </a:p>
        </c:rich>
      </c:tx>
      <c:overlay val="0"/>
    </c:title>
    <c:autoTitleDeleted val="0"/>
    <c:plotArea>
      <c:layout/>
      <c:barChart>
        <c:barDir val="col"/>
        <c:grouping val="stacked"/>
        <c:varyColors val="0"/>
        <c:ser>
          <c:idx val="0"/>
          <c:order val="0"/>
          <c:tx>
            <c:strRef>
              <c:f>List1!$A$2</c:f>
              <c:strCache>
                <c:ptCount val="1"/>
                <c:pt idx="0">
                  <c:v>Černé uhlí</c:v>
                </c:pt>
              </c:strCache>
            </c:strRef>
          </c:tx>
          <c:spPr>
            <a:solidFill>
              <a:schemeClr val="tx1"/>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2.2191999999999998</c:v>
                </c:pt>
                <c:pt idx="1">
                  <c:v>2.92</c:v>
                </c:pt>
                <c:pt idx="2">
                  <c:v>2.92</c:v>
                </c:pt>
                <c:pt idx="3">
                  <c:v>2.92</c:v>
                </c:pt>
                <c:pt idx="4">
                  <c:v>2.92</c:v>
                </c:pt>
                <c:pt idx="5">
                  <c:v>2.92</c:v>
                </c:pt>
                <c:pt idx="6">
                  <c:v>2.92</c:v>
                </c:pt>
              </c:numCache>
            </c:numRef>
          </c:val>
        </c:ser>
        <c:ser>
          <c:idx val="1"/>
          <c:order val="1"/>
          <c:tx>
            <c:strRef>
              <c:f>List1!$A$3</c:f>
              <c:strCache>
                <c:ptCount val="1"/>
                <c:pt idx="0">
                  <c:v>Hnědé uhlí</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21.12</c:v>
                </c:pt>
                <c:pt idx="1">
                  <c:v>15.840000000000002</c:v>
                </c:pt>
                <c:pt idx="2">
                  <c:v>9.24</c:v>
                </c:pt>
                <c:pt idx="3">
                  <c:v>2.64</c:v>
                </c:pt>
                <c:pt idx="4">
                  <c:v>1.7600000000000002</c:v>
                </c:pt>
                <c:pt idx="5">
                  <c:v>1.7600000000000002</c:v>
                </c:pt>
                <c:pt idx="6">
                  <c:v>1.7600000000000002</c:v>
                </c:pt>
              </c:numCache>
            </c:numRef>
          </c:val>
        </c:ser>
        <c:ser>
          <c:idx val="2"/>
          <c:order val="2"/>
          <c:tx>
            <c:strRef>
              <c:f>List1!$A$4</c:f>
              <c:strCache>
                <c:ptCount val="1"/>
                <c:pt idx="0">
                  <c:v>Brikety</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4.76</c:v>
                </c:pt>
                <c:pt idx="1">
                  <c:v>3.9</c:v>
                </c:pt>
                <c:pt idx="2">
                  <c:v>4.875</c:v>
                </c:pt>
                <c:pt idx="3">
                  <c:v>4.875</c:v>
                </c:pt>
                <c:pt idx="4">
                  <c:v>3.9</c:v>
                </c:pt>
                <c:pt idx="5">
                  <c:v>3.9</c:v>
                </c:pt>
                <c:pt idx="6">
                  <c:v>3.9</c:v>
                </c:pt>
              </c:numCache>
            </c:numRef>
          </c:val>
        </c:ser>
        <c:ser>
          <c:idx val="3"/>
          <c:order val="3"/>
          <c:tx>
            <c:strRef>
              <c:f>List1!$A$5</c:f>
              <c:strCache>
                <c:ptCount val="1"/>
                <c:pt idx="0">
                  <c:v>Koks</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0.67025000000000001</c:v>
                </c:pt>
                <c:pt idx="1">
                  <c:v>0.67025000000000001</c:v>
                </c:pt>
                <c:pt idx="2">
                  <c:v>0.67025000000000001</c:v>
                </c:pt>
                <c:pt idx="3">
                  <c:v>0.67025000000000001</c:v>
                </c:pt>
                <c:pt idx="4">
                  <c:v>0.67025000000000001</c:v>
                </c:pt>
                <c:pt idx="5">
                  <c:v>0.67025000000000001</c:v>
                </c:pt>
                <c:pt idx="6">
                  <c:v>0.67025000000000001</c:v>
                </c:pt>
              </c:numCache>
            </c:numRef>
          </c:val>
        </c:ser>
        <c:ser>
          <c:idx val="4"/>
          <c:order val="4"/>
          <c:tx>
            <c:strRef>
              <c:f>List1!$A$6</c:f>
              <c:strCache>
                <c:ptCount val="1"/>
                <c:pt idx="0">
                  <c:v>Zemní plyn</c:v>
                </c:pt>
              </c:strCache>
            </c:strRef>
          </c:tx>
          <c:spPr>
            <a:solidFill>
              <a:srgbClr val="FFC000"/>
            </a:solidFill>
            <a:ln>
              <a:no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96.927999999999997</c:v>
                </c:pt>
                <c:pt idx="1">
                  <c:v>87.999999999999986</c:v>
                </c:pt>
                <c:pt idx="2">
                  <c:v>80.13378378378377</c:v>
                </c:pt>
                <c:pt idx="3">
                  <c:v>75.429729729729729</c:v>
                </c:pt>
                <c:pt idx="4">
                  <c:v>74.991891891891882</c:v>
                </c:pt>
                <c:pt idx="5">
                  <c:v>74.359459459459458</c:v>
                </c:pt>
                <c:pt idx="6">
                  <c:v>73.72702702702702</c:v>
                </c:pt>
              </c:numCache>
            </c:numRef>
          </c:val>
        </c:ser>
        <c:ser>
          <c:idx val="5"/>
          <c:order val="5"/>
          <c:tx>
            <c:strRef>
              <c:f>List1!$A$7</c:f>
              <c:strCache>
                <c:ptCount val="1"/>
                <c:pt idx="0">
                  <c:v>Biomasa</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48.49</c:v>
                </c:pt>
                <c:pt idx="1">
                  <c:v>53.342685370806656</c:v>
                </c:pt>
                <c:pt idx="2">
                  <c:v>57.885115255244187</c:v>
                </c:pt>
                <c:pt idx="3">
                  <c:v>62.363278685875542</c:v>
                </c:pt>
                <c:pt idx="4">
                  <c:v>61.157124839721696</c:v>
                </c:pt>
                <c:pt idx="5">
                  <c:v>60.392740218183228</c:v>
                </c:pt>
                <c:pt idx="6">
                  <c:v>60.62</c:v>
                </c:pt>
              </c:numCache>
            </c:numRef>
          </c:val>
        </c:ser>
        <c:ser>
          <c:idx val="6"/>
          <c:order val="6"/>
          <c:tx>
            <c:strRef>
              <c:f>List1!$A$8</c:f>
              <c:strCache>
                <c:ptCount val="1"/>
                <c:pt idx="0">
                  <c:v>TČ</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#,##0.0</c:formatCode>
                <c:ptCount val="7"/>
                <c:pt idx="0">
                  <c:v>1.2431999999999999</c:v>
                </c:pt>
                <c:pt idx="1">
                  <c:v>2.5872000000000002</c:v>
                </c:pt>
                <c:pt idx="2">
                  <c:v>4.6017999999999999</c:v>
                </c:pt>
                <c:pt idx="3">
                  <c:v>6.2009156429851791</c:v>
                </c:pt>
                <c:pt idx="4">
                  <c:v>7.8074156429851795</c:v>
                </c:pt>
                <c:pt idx="5">
                  <c:v>9.4139156429851791</c:v>
                </c:pt>
                <c:pt idx="6">
                  <c:v>11.020415642985165</c:v>
                </c:pt>
              </c:numCache>
            </c:numRef>
          </c:val>
        </c:ser>
        <c:ser>
          <c:idx val="7"/>
          <c:order val="7"/>
          <c:tx>
            <c:strRef>
              <c:f>List1!$A$9</c:f>
              <c:strCache>
                <c:ptCount val="1"/>
                <c:pt idx="0">
                  <c:v>Kolektory</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List1!$B$9:$AF$9</c:f>
              <c:numCache>
                <c:formatCode>#,##0.0</c:formatCode>
                <c:ptCount val="7"/>
                <c:pt idx="0">
                  <c:v>0.2928</c:v>
                </c:pt>
                <c:pt idx="1">
                  <c:v>0.64000000000000012</c:v>
                </c:pt>
                <c:pt idx="2">
                  <c:v>1.08</c:v>
                </c:pt>
                <c:pt idx="3">
                  <c:v>2.4000000000000004</c:v>
                </c:pt>
                <c:pt idx="4">
                  <c:v>2.8000000000000003</c:v>
                </c:pt>
                <c:pt idx="5">
                  <c:v>4</c:v>
                </c:pt>
                <c:pt idx="6">
                  <c:v>4</c:v>
                </c:pt>
              </c:numCache>
            </c:numRef>
          </c:val>
        </c:ser>
        <c:ser>
          <c:idx val="8"/>
          <c:order val="8"/>
          <c:tx>
            <c:strRef>
              <c:f>List1!$A$10</c:f>
              <c:strCache>
                <c:ptCount val="1"/>
                <c:pt idx="0">
                  <c:v>Elektřina</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List1!$B$10:$AF$10</c:f>
              <c:numCache>
                <c:formatCode>#,##0.0</c:formatCode>
                <c:ptCount val="7"/>
                <c:pt idx="0">
                  <c:v>54.110500000000009</c:v>
                </c:pt>
                <c:pt idx="1">
                  <c:v>51.486822006324154</c:v>
                </c:pt>
                <c:pt idx="2">
                  <c:v>51.364984868938592</c:v>
                </c:pt>
                <c:pt idx="3">
                  <c:v>52.437515920424133</c:v>
                </c:pt>
                <c:pt idx="4">
                  <c:v>52.773357136995848</c:v>
                </c:pt>
                <c:pt idx="5">
                  <c:v>52.080329456911159</c:v>
                </c:pt>
                <c:pt idx="6">
                  <c:v>51.889074240085016</c:v>
                </c:pt>
              </c:numCache>
            </c:numRef>
          </c:val>
        </c:ser>
        <c:ser>
          <c:idx val="9"/>
          <c:order val="9"/>
          <c:tx>
            <c:strRef>
              <c:f>List1!$A$11</c:f>
              <c:strCache>
                <c:ptCount val="1"/>
                <c:pt idx="0">
                  <c:v>SZT</c:v>
                </c:pt>
              </c:strCache>
            </c:strRef>
          </c:tx>
          <c:spPr>
            <a:solidFill>
              <a:schemeClr val="tx2">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List1!$B$11:$AF$11</c:f>
              <c:numCache>
                <c:formatCode>#,##0.0</c:formatCode>
                <c:ptCount val="7"/>
                <c:pt idx="0">
                  <c:v>57.060499999999998</c:v>
                </c:pt>
                <c:pt idx="1">
                  <c:v>56.154132345205532</c:v>
                </c:pt>
                <c:pt idx="2">
                  <c:v>54.27451260396473</c:v>
                </c:pt>
                <c:pt idx="3">
                  <c:v>51.746876244437793</c:v>
                </c:pt>
                <c:pt idx="4">
                  <c:v>48.955888957157825</c:v>
                </c:pt>
                <c:pt idx="5">
                  <c:v>48.102670808536715</c:v>
                </c:pt>
                <c:pt idx="6">
                  <c:v>47.091316596623081</c:v>
                </c:pt>
              </c:numCache>
            </c:numRef>
          </c:val>
        </c:ser>
        <c:dLbls>
          <c:showLegendKey val="0"/>
          <c:showVal val="0"/>
          <c:showCatName val="0"/>
          <c:showSerName val="0"/>
          <c:showPercent val="0"/>
          <c:showBubbleSize val="0"/>
        </c:dLbls>
        <c:gapWidth val="150"/>
        <c:overlap val="100"/>
        <c:axId val="170513920"/>
        <c:axId val="170515456"/>
      </c:barChart>
      <c:catAx>
        <c:axId val="170513920"/>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0515456"/>
        <c:crosses val="autoZero"/>
        <c:auto val="1"/>
        <c:lblAlgn val="ctr"/>
        <c:lblOffset val="100"/>
        <c:noMultiLvlLbl val="0"/>
      </c:catAx>
      <c:valAx>
        <c:axId val="170515456"/>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0513920"/>
        <c:crosses val="autoZero"/>
        <c:crossBetween val="between"/>
      </c:valAx>
    </c:plotArea>
    <c:legend>
      <c:legendPos val="b"/>
      <c:layout>
        <c:manualLayout>
          <c:xMode val="edge"/>
          <c:yMode val="edge"/>
          <c:x val="0.10120635632044987"/>
          <c:y val="0.91934206247515904"/>
          <c:w val="0.89879369211080018"/>
          <c:h val="5.6675459648148525E-2"/>
        </c:manualLayout>
      </c:layout>
      <c:overlay val="0"/>
      <c:txPr>
        <a:bodyPr/>
        <a:lstStyle/>
        <a:p>
          <a:pPr>
            <a:defRPr sz="900" spc="-50" baseline="0"/>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Vývoj a struktura konečné spotřeby energie v dopravě</a:t>
            </a:r>
            <a:endParaRPr lang="cs-CZ" sz="1200">
              <a:effectLst/>
            </a:endParaRPr>
          </a:p>
        </c:rich>
      </c:tx>
      <c:overlay val="0"/>
    </c:title>
    <c:autoTitleDeleted val="0"/>
    <c:plotArea>
      <c:layout/>
      <c:barChart>
        <c:barDir val="col"/>
        <c:grouping val="stacked"/>
        <c:varyColors val="0"/>
        <c:ser>
          <c:idx val="0"/>
          <c:order val="0"/>
          <c:tx>
            <c:strRef>
              <c:f>List1!$A$2</c:f>
              <c:strCache>
                <c:ptCount val="1"/>
                <c:pt idx="0">
                  <c:v>Zemní plyn</c:v>
                </c:pt>
              </c:strCache>
            </c:strRef>
          </c:tx>
          <c:spPr>
            <a:solidFill>
              <a:srgbClr val="FFFF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3.08</c:v>
                </c:pt>
                <c:pt idx="1">
                  <c:v>15.255448878591348</c:v>
                </c:pt>
                <c:pt idx="2">
                  <c:v>26.84231137861536</c:v>
                </c:pt>
                <c:pt idx="3">
                  <c:v>35.075421723247324</c:v>
                </c:pt>
                <c:pt idx="4">
                  <c:v>44.08101350726529</c:v>
                </c:pt>
                <c:pt idx="5">
                  <c:v>48.145867301646625</c:v>
                </c:pt>
                <c:pt idx="6">
                  <c:v>51.077107255391752</c:v>
                </c:pt>
              </c:numCache>
            </c:numRef>
          </c:val>
        </c:ser>
        <c:ser>
          <c:idx val="1"/>
          <c:order val="1"/>
          <c:tx>
            <c:strRef>
              <c:f>List1!$A$3</c:f>
              <c:strCache>
                <c:ptCount val="1"/>
                <c:pt idx="0">
                  <c:v>Ropné produkty</c:v>
                </c:pt>
              </c:strCache>
            </c:strRef>
          </c:tx>
          <c:spPr>
            <a:solidFill>
              <a:schemeClr val="accent6">
                <a:lumMod val="7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225.61</c:v>
                </c:pt>
                <c:pt idx="1">
                  <c:v>211.96715916339534</c:v>
                </c:pt>
                <c:pt idx="2">
                  <c:v>202.21403561008501</c:v>
                </c:pt>
                <c:pt idx="3">
                  <c:v>195.864962929771</c:v>
                </c:pt>
                <c:pt idx="4">
                  <c:v>179.96930919276957</c:v>
                </c:pt>
                <c:pt idx="5">
                  <c:v>164.43027322568011</c:v>
                </c:pt>
                <c:pt idx="6">
                  <c:v>148.8022960224859</c:v>
                </c:pt>
              </c:numCache>
            </c:numRef>
          </c:val>
        </c:ser>
        <c:ser>
          <c:idx val="2"/>
          <c:order val="2"/>
          <c:tx>
            <c:strRef>
              <c:f>List1!$A$4</c:f>
              <c:strCache>
                <c:ptCount val="1"/>
                <c:pt idx="0">
                  <c:v>Elektřina</c:v>
                </c:pt>
              </c:strCache>
            </c:strRef>
          </c:tx>
          <c:spPr>
            <a:solidFill>
              <a:srgbClr val="FF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8.4694628795763922</c:v>
                </c:pt>
                <c:pt idx="1">
                  <c:v>8.6158502473854703</c:v>
                </c:pt>
                <c:pt idx="2">
                  <c:v>9.7281848169223561</c:v>
                </c:pt>
                <c:pt idx="3">
                  <c:v>12.121299667203301</c:v>
                </c:pt>
                <c:pt idx="4">
                  <c:v>15.624614619912819</c:v>
                </c:pt>
                <c:pt idx="5">
                  <c:v>20.36121389869307</c:v>
                </c:pt>
                <c:pt idx="6">
                  <c:v>24.909359002920503</c:v>
                </c:pt>
              </c:numCache>
            </c:numRef>
          </c:val>
        </c:ser>
        <c:ser>
          <c:idx val="3"/>
          <c:order val="3"/>
          <c:tx>
            <c:strRef>
              <c:f>List1!$A$5</c:f>
              <c:strCache>
                <c:ptCount val="1"/>
                <c:pt idx="0">
                  <c:v>Biopaliva</c:v>
                </c:pt>
              </c:strCache>
            </c:strRef>
          </c:tx>
          <c:spPr>
            <a:solidFill>
              <a:schemeClr val="accent3"/>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9.7799999999999994</c:v>
                </c:pt>
                <c:pt idx="1">
                  <c:v>18.344644300000002</c:v>
                </c:pt>
                <c:pt idx="2">
                  <c:v>28.081859599999998</c:v>
                </c:pt>
                <c:pt idx="3">
                  <c:v>28.081859599999998</c:v>
                </c:pt>
                <c:pt idx="4">
                  <c:v>28.081859599999998</c:v>
                </c:pt>
                <c:pt idx="5">
                  <c:v>28.081859599999998</c:v>
                </c:pt>
                <c:pt idx="6">
                  <c:v>28.081859599999998</c:v>
                </c:pt>
              </c:numCache>
            </c:numRef>
          </c:val>
        </c:ser>
        <c:dLbls>
          <c:showLegendKey val="0"/>
          <c:showVal val="0"/>
          <c:showCatName val="0"/>
          <c:showSerName val="0"/>
          <c:showPercent val="0"/>
          <c:showBubbleSize val="0"/>
        </c:dLbls>
        <c:gapWidth val="150"/>
        <c:overlap val="100"/>
        <c:axId val="133982080"/>
        <c:axId val="133983616"/>
      </c:barChart>
      <c:catAx>
        <c:axId val="133982080"/>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33983616"/>
        <c:crosses val="autoZero"/>
        <c:auto val="1"/>
        <c:lblAlgn val="ctr"/>
        <c:lblOffset val="100"/>
        <c:noMultiLvlLbl val="0"/>
      </c:catAx>
      <c:valAx>
        <c:axId val="133983616"/>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3398208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effectLst/>
              </a:rPr>
              <a:t>Vývoj a struktura primárních energetických zdrojů</a:t>
            </a:r>
            <a:endParaRPr lang="cs-CZ" sz="1200">
              <a:effectLst/>
            </a:endParaRPr>
          </a:p>
        </c:rich>
      </c:tx>
      <c:overlay val="0"/>
    </c:title>
    <c:autoTitleDeleted val="0"/>
    <c:plotArea>
      <c:layout>
        <c:manualLayout>
          <c:layoutTarget val="inner"/>
          <c:xMode val="edge"/>
          <c:yMode val="edge"/>
          <c:x val="0.1230464421114028"/>
          <c:y val="0.11159420289855072"/>
          <c:w val="0.85868615926868019"/>
          <c:h val="0.64389429910681817"/>
        </c:manualLayout>
      </c:layout>
      <c:barChart>
        <c:barDir val="col"/>
        <c:grouping val="stacked"/>
        <c:varyColors val="0"/>
        <c:ser>
          <c:idx val="0"/>
          <c:order val="0"/>
          <c:tx>
            <c:strRef>
              <c:f>List1!$A$2</c:f>
              <c:strCache>
                <c:ptCount val="1"/>
                <c:pt idx="0">
                  <c:v>Černé uhlí</c:v>
                </c:pt>
              </c:strCache>
            </c:strRef>
          </c:tx>
          <c:spPr>
            <a:solidFill>
              <a:schemeClr val="tx1">
                <a:lumMod val="65000"/>
                <a:lumOff val="3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194.25207999999995</c:v>
                </c:pt>
                <c:pt idx="1">
                  <c:v>184.63127283</c:v>
                </c:pt>
                <c:pt idx="2">
                  <c:v>164.18669282999997</c:v>
                </c:pt>
                <c:pt idx="3">
                  <c:v>163.23851282999996</c:v>
                </c:pt>
                <c:pt idx="4">
                  <c:v>143.91431283</c:v>
                </c:pt>
                <c:pt idx="5">
                  <c:v>142.97831282999999</c:v>
                </c:pt>
                <c:pt idx="6">
                  <c:v>136.33271282999999</c:v>
                </c:pt>
              </c:numCache>
            </c:numRef>
          </c:val>
        </c:ser>
        <c:ser>
          <c:idx val="1"/>
          <c:order val="1"/>
          <c:tx>
            <c:strRef>
              <c:f>List1!$A$3</c:f>
              <c:strCache>
                <c:ptCount val="1"/>
                <c:pt idx="0">
                  <c:v>Hnědé uhlí</c:v>
                </c:pt>
              </c:strCache>
            </c:strRef>
          </c:tx>
          <c:spPr>
            <a:solidFill>
              <a:srgbClr val="9A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564.29776000000004</c:v>
                </c:pt>
                <c:pt idx="1">
                  <c:v>505.21610651348868</c:v>
                </c:pt>
                <c:pt idx="2">
                  <c:v>448.76379630799113</c:v>
                </c:pt>
                <c:pt idx="3">
                  <c:v>330.16387304496527</c:v>
                </c:pt>
                <c:pt idx="4">
                  <c:v>307.35309125935618</c:v>
                </c:pt>
                <c:pt idx="5">
                  <c:v>253.52221621934478</c:v>
                </c:pt>
                <c:pt idx="6">
                  <c:v>150.01635668444675</c:v>
                </c:pt>
              </c:numCache>
            </c:numRef>
          </c:val>
        </c:ser>
        <c:ser>
          <c:idx val="2"/>
          <c:order val="2"/>
          <c:tx>
            <c:strRef>
              <c:f>List1!$A$4</c:f>
              <c:strCache>
                <c:ptCount val="1"/>
                <c:pt idx="0">
                  <c:v>Zemní plyn</c:v>
                </c:pt>
              </c:strCache>
            </c:strRef>
          </c:tx>
          <c:spPr>
            <a:solidFill>
              <a:srgbClr val="FFFF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336.14000000000004</c:v>
                </c:pt>
                <c:pt idx="1">
                  <c:v>338.94270463086292</c:v>
                </c:pt>
                <c:pt idx="2">
                  <c:v>344.48579545692564</c:v>
                </c:pt>
                <c:pt idx="3">
                  <c:v>348.59960424435866</c:v>
                </c:pt>
                <c:pt idx="4">
                  <c:v>357.86121383001563</c:v>
                </c:pt>
                <c:pt idx="5">
                  <c:v>361.41660913688389</c:v>
                </c:pt>
                <c:pt idx="6">
                  <c:v>381.15144668198838</c:v>
                </c:pt>
              </c:numCache>
            </c:numRef>
          </c:val>
        </c:ser>
        <c:ser>
          <c:idx val="3"/>
          <c:order val="3"/>
          <c:tx>
            <c:strRef>
              <c:f>List1!$A$5</c:f>
              <c:strCache>
                <c:ptCount val="1"/>
                <c:pt idx="0">
                  <c:v>Ropa a ropné produkty</c:v>
                </c:pt>
              </c:strCache>
            </c:strRef>
          </c:tx>
          <c:spPr>
            <a:solidFill>
              <a:schemeClr val="accent6">
                <a:lumMod val="7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378.34999999999997</c:v>
                </c:pt>
                <c:pt idx="1">
                  <c:v>385.80406135326393</c:v>
                </c:pt>
                <c:pt idx="2">
                  <c:v>374.22240812344575</c:v>
                </c:pt>
                <c:pt idx="3">
                  <c:v>366.77444790830168</c:v>
                </c:pt>
                <c:pt idx="4">
                  <c:v>348.65472926472211</c:v>
                </c:pt>
                <c:pt idx="5">
                  <c:v>326.15603501009792</c:v>
                </c:pt>
                <c:pt idx="6">
                  <c:v>301.49624628912801</c:v>
                </c:pt>
              </c:numCache>
            </c:numRef>
          </c:val>
        </c:ser>
        <c:ser>
          <c:idx val="4"/>
          <c:order val="4"/>
          <c:tx>
            <c:strRef>
              <c:f>List1!$A$6</c:f>
              <c:strCache>
                <c:ptCount val="1"/>
                <c:pt idx="0">
                  <c:v>Jaderné palivo</c:v>
                </c:pt>
              </c:strCache>
            </c:strRef>
          </c:tx>
          <c:spPr>
            <a:solidFill>
              <a:schemeClr val="tx2">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305.43490909090912</c:v>
                </c:pt>
                <c:pt idx="1">
                  <c:v>343.5832849684968</c:v>
                </c:pt>
                <c:pt idx="2">
                  <c:v>343.5832849684968</c:v>
                </c:pt>
                <c:pt idx="3">
                  <c:v>343.5832849684968</c:v>
                </c:pt>
                <c:pt idx="4">
                  <c:v>343.5832849684968</c:v>
                </c:pt>
                <c:pt idx="5">
                  <c:v>449.21303654365437</c:v>
                </c:pt>
                <c:pt idx="6">
                  <c:v>471.32158919891981</c:v>
                </c:pt>
              </c:numCache>
            </c:numRef>
          </c:val>
        </c:ser>
        <c:ser>
          <c:idx val="5"/>
          <c:order val="5"/>
          <c:tx>
            <c:strRef>
              <c:f>List1!$A$7</c:f>
              <c:strCache>
                <c:ptCount val="1"/>
                <c:pt idx="0">
                  <c:v>Elektřina (saldo)</c:v>
                </c:pt>
              </c:strCache>
            </c:strRef>
          </c:tx>
          <c:spPr>
            <a:solidFill>
              <a:srgbClr val="FF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-53.814239999999998</c:v>
                </c:pt>
                <c:pt idx="1">
                  <c:v>-80.091897734453482</c:v>
                </c:pt>
                <c:pt idx="2">
                  <c:v>-58.876304035961255</c:v>
                </c:pt>
                <c:pt idx="3">
                  <c:v>-22.33024526194006</c:v>
                </c:pt>
                <c:pt idx="4">
                  <c:v>-11.896873516052322</c:v>
                </c:pt>
                <c:pt idx="5">
                  <c:v>-29.935412276686829</c:v>
                </c:pt>
                <c:pt idx="6">
                  <c:v>-13.340474780853322</c:v>
                </c:pt>
              </c:numCache>
            </c:numRef>
          </c:val>
        </c:ser>
        <c:ser>
          <c:idx val="6"/>
          <c:order val="6"/>
          <c:tx>
            <c:strRef>
              <c:f>List1!$A$8</c:f>
              <c:strCache>
                <c:ptCount val="1"/>
                <c:pt idx="0">
                  <c:v>Ostatní paliva</c:v>
                </c:pt>
              </c:strCache>
            </c:strRef>
          </c:tx>
          <c:spPr>
            <a:solidFill>
              <a:srgbClr val="FFC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#,##0.0</c:formatCode>
                <c:ptCount val="7"/>
                <c:pt idx="0">
                  <c:v>10.546774040000001</c:v>
                </c:pt>
                <c:pt idx="1">
                  <c:v>12.876955111999999</c:v>
                </c:pt>
                <c:pt idx="2">
                  <c:v>13.803189320000001</c:v>
                </c:pt>
                <c:pt idx="3">
                  <c:v>17.241189319999997</c:v>
                </c:pt>
                <c:pt idx="4">
                  <c:v>19.545189319999999</c:v>
                </c:pt>
                <c:pt idx="5">
                  <c:v>19.545189319999999</c:v>
                </c:pt>
                <c:pt idx="6">
                  <c:v>19.545189319999999</c:v>
                </c:pt>
              </c:numCache>
            </c:numRef>
          </c:val>
        </c:ser>
        <c:ser>
          <c:idx val="7"/>
          <c:order val="7"/>
          <c:tx>
            <c:strRef>
              <c:f>List1!$A$9</c:f>
              <c:strCache>
                <c:ptCount val="1"/>
                <c:pt idx="0">
                  <c:v>Obnovitelné a druhotné zdroje energie</c:v>
                </c:pt>
              </c:strCache>
            </c:strRef>
          </c:tx>
          <c:spPr>
            <a:solidFill>
              <a:schemeClr val="accent3"/>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List1!$B$9:$AF$9</c:f>
              <c:numCache>
                <c:formatCode>#,##0.0</c:formatCode>
                <c:ptCount val="7"/>
                <c:pt idx="0">
                  <c:v>119.097648374</c:v>
                </c:pt>
                <c:pt idx="1">
                  <c:v>161.35088804503525</c:v>
                </c:pt>
                <c:pt idx="2">
                  <c:v>195.56197298260017</c:v>
                </c:pt>
                <c:pt idx="3">
                  <c:v>223.853716758269</c:v>
                </c:pt>
                <c:pt idx="4">
                  <c:v>247.48394536064637</c:v>
                </c:pt>
                <c:pt idx="5">
                  <c:v>273.71330718763915</c:v>
                </c:pt>
                <c:pt idx="6">
                  <c:v>299.84039341798723</c:v>
                </c:pt>
              </c:numCache>
            </c:numRef>
          </c:val>
        </c:ser>
        <c:dLbls>
          <c:showLegendKey val="0"/>
          <c:showVal val="0"/>
          <c:showCatName val="0"/>
          <c:showSerName val="0"/>
          <c:showPercent val="0"/>
          <c:showBubbleSize val="0"/>
        </c:dLbls>
        <c:gapWidth val="150"/>
        <c:overlap val="100"/>
        <c:axId val="170833408"/>
        <c:axId val="170834944"/>
      </c:barChart>
      <c:catAx>
        <c:axId val="170833408"/>
        <c:scaling>
          <c:orientation val="minMax"/>
        </c:scaling>
        <c:delete val="0"/>
        <c:axPos val="b"/>
        <c:numFmt formatCode="General" sourceLinked="1"/>
        <c:majorTickMark val="out"/>
        <c:minorTickMark val="none"/>
        <c:tickLblPos val="low"/>
        <c:spPr>
          <a:ln>
            <a:solidFill>
              <a:schemeClr val="bg1">
                <a:lumMod val="65000"/>
              </a:schemeClr>
            </a:solidFill>
          </a:ln>
        </c:spPr>
        <c:txPr>
          <a:bodyPr/>
          <a:lstStyle/>
          <a:p>
            <a:pPr>
              <a:defRPr sz="900" b="0"/>
            </a:pPr>
            <a:endParaRPr lang="cs-CZ"/>
          </a:p>
        </c:txPr>
        <c:crossAx val="170834944"/>
        <c:crosses val="autoZero"/>
        <c:auto val="1"/>
        <c:lblAlgn val="ctr"/>
        <c:lblOffset val="100"/>
        <c:noMultiLvlLbl val="0"/>
      </c:catAx>
      <c:valAx>
        <c:axId val="170834944"/>
        <c:scaling>
          <c:orientation val="minMax"/>
          <c:min val="-250"/>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0833408"/>
        <c:crosses val="autoZero"/>
        <c:crossBetween val="between"/>
        <c:majorUnit val="250"/>
      </c:valAx>
    </c:plotArea>
    <c:legend>
      <c:legendPos val="b"/>
      <c:legendEntry>
        <c:idx val="1"/>
        <c:txPr>
          <a:bodyPr/>
          <a:lstStyle/>
          <a:p>
            <a:pPr>
              <a:defRPr sz="900" b="0" kern="0" spc="0" baseline="0"/>
            </a:pPr>
            <a:endParaRPr lang="cs-CZ"/>
          </a:p>
        </c:txPr>
      </c:legendEntry>
      <c:legendEntry>
        <c:idx val="4"/>
        <c:txPr>
          <a:bodyPr/>
          <a:lstStyle/>
          <a:p>
            <a:pPr>
              <a:defRPr sz="900" b="0" kern="0" spc="0" baseline="0"/>
            </a:pPr>
            <a:endParaRPr lang="cs-CZ"/>
          </a:p>
        </c:txPr>
      </c:legendEntry>
      <c:layout>
        <c:manualLayout>
          <c:xMode val="edge"/>
          <c:yMode val="edge"/>
          <c:x val="0.11911932496041301"/>
          <c:y val="0.82515954406908809"/>
          <c:w val="0.85828959362439106"/>
          <c:h val="0.16518058668359151"/>
        </c:manualLayout>
      </c:layout>
      <c:overlay val="0"/>
      <c:txPr>
        <a:bodyPr/>
        <a:lstStyle/>
        <a:p>
          <a:pPr>
            <a:defRPr sz="900" b="0" kern="0" spc="0" baseline="0"/>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Vývoj a struktura OZE na primárních energetických zdrojích</a:t>
            </a:r>
            <a:endParaRPr lang="cs-CZ" sz="1200">
              <a:effectLst/>
            </a:endParaRPr>
          </a:p>
        </c:rich>
      </c:tx>
      <c:overlay val="0"/>
    </c:title>
    <c:autoTitleDeleted val="0"/>
    <c:plotArea>
      <c:layout>
        <c:manualLayout>
          <c:layoutTarget val="inner"/>
          <c:xMode val="edge"/>
          <c:yMode val="edge"/>
          <c:x val="0.10084569371261416"/>
          <c:y val="0.11037471592970358"/>
          <c:w val="0.87712871888808897"/>
          <c:h val="0.61939505545677831"/>
        </c:manualLayout>
      </c:layout>
      <c:barChart>
        <c:barDir val="col"/>
        <c:grouping val="stacked"/>
        <c:varyColors val="0"/>
        <c:ser>
          <c:idx val="0"/>
          <c:order val="0"/>
          <c:tx>
            <c:strRef>
              <c:f>List1!$A$2</c:f>
              <c:strCache>
                <c:ptCount val="1"/>
                <c:pt idx="0">
                  <c:v>Biomasa</c:v>
                </c:pt>
              </c:strCache>
            </c:strRef>
          </c:tx>
          <c:spPr>
            <a:solidFill>
              <a:srgbClr val="AC836C"/>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82.718880000000013</c:v>
                </c:pt>
                <c:pt idx="1">
                  <c:v>92.709084922795213</c:v>
                </c:pt>
                <c:pt idx="2">
                  <c:v>104.71783486436016</c:v>
                </c:pt>
                <c:pt idx="3">
                  <c:v>116.59782753843734</c:v>
                </c:pt>
                <c:pt idx="4">
                  <c:v>130.39167369228349</c:v>
                </c:pt>
                <c:pt idx="5">
                  <c:v>144.62728907074504</c:v>
                </c:pt>
                <c:pt idx="6">
                  <c:v>159.85454885256181</c:v>
                </c:pt>
              </c:numCache>
            </c:numRef>
          </c:val>
        </c:ser>
        <c:ser>
          <c:idx val="1"/>
          <c:order val="1"/>
          <c:tx>
            <c:strRef>
              <c:f>List1!$A$3</c:f>
              <c:strCache>
                <c:ptCount val="1"/>
                <c:pt idx="0">
                  <c:v>Bioplyn</c:v>
                </c:pt>
              </c:strCache>
            </c:strRef>
          </c:tx>
          <c:spPr>
            <a:solidFill>
              <a:srgbClr val="FFC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7.3898609340000005</c:v>
                </c:pt>
                <c:pt idx="1">
                  <c:v>22.087609889039999</c:v>
                </c:pt>
                <c:pt idx="2">
                  <c:v>27.088194569040009</c:v>
                </c:pt>
                <c:pt idx="3">
                  <c:v>28.786203152081374</c:v>
                </c:pt>
                <c:pt idx="4">
                  <c:v>31.145728000612632</c:v>
                </c:pt>
                <c:pt idx="5">
                  <c:v>33.505252849143886</c:v>
                </c:pt>
                <c:pt idx="6">
                  <c:v>35.864777697675152</c:v>
                </c:pt>
              </c:numCache>
            </c:numRef>
          </c:val>
        </c:ser>
        <c:ser>
          <c:idx val="2"/>
          <c:order val="2"/>
          <c:tx>
            <c:strRef>
              <c:f>List1!$A$4</c:f>
              <c:strCache>
                <c:ptCount val="1"/>
                <c:pt idx="0">
                  <c:v>Biologicky rozložitelná část TKO</c:v>
                </c:pt>
              </c:strCache>
            </c:strRef>
          </c:tx>
          <c:spPr>
            <a:solidFill>
              <a:srgbClr val="C000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List1!$B$4:$AF$4</c:f>
              <c:numCache>
                <c:formatCode>0.0</c:formatCode>
                <c:ptCount val="7"/>
                <c:pt idx="0">
                  <c:v>2.6254238400000003</c:v>
                </c:pt>
                <c:pt idx="1">
                  <c:v>3.3048233279999999</c:v>
                </c:pt>
                <c:pt idx="2">
                  <c:v>4.69417464</c:v>
                </c:pt>
                <c:pt idx="3">
                  <c:v>9.8511746400000018</c:v>
                </c:pt>
                <c:pt idx="4">
                  <c:v>13.307174639999999</c:v>
                </c:pt>
                <c:pt idx="5">
                  <c:v>13.307174639999999</c:v>
                </c:pt>
                <c:pt idx="6">
                  <c:v>13.307174639999999</c:v>
                </c:pt>
              </c:numCache>
            </c:numRef>
          </c:val>
        </c:ser>
        <c:ser>
          <c:idx val="3"/>
          <c:order val="3"/>
          <c:tx>
            <c:strRef>
              <c:f>List1!$A$5</c:f>
              <c:strCache>
                <c:ptCount val="1"/>
                <c:pt idx="0">
                  <c:v>Biologicky rozl. část PRO a ATP</c:v>
                </c:pt>
              </c:strCache>
            </c:strRef>
          </c:tx>
          <c:spPr>
            <a:solidFill>
              <a:srgbClr val="FFFF0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List1!$B$5:$AF$5</c:f>
              <c:numCache>
                <c:formatCode>0.0</c:formatCode>
                <c:ptCount val="7"/>
                <c:pt idx="0">
                  <c:v>0.97508240000000002</c:v>
                </c:pt>
                <c:pt idx="1">
                  <c:v>0.97508240000000002</c:v>
                </c:pt>
                <c:pt idx="2">
                  <c:v>0.97508240000000002</c:v>
                </c:pt>
                <c:pt idx="3">
                  <c:v>0.97508240000000002</c:v>
                </c:pt>
                <c:pt idx="4">
                  <c:v>0.97508240000000002</c:v>
                </c:pt>
                <c:pt idx="5">
                  <c:v>0.97508240000000002</c:v>
                </c:pt>
                <c:pt idx="6">
                  <c:v>0.97508240000000002</c:v>
                </c:pt>
              </c:numCache>
            </c:numRef>
          </c:val>
        </c:ser>
        <c:ser>
          <c:idx val="4"/>
          <c:order val="4"/>
          <c:tx>
            <c:strRef>
              <c:f>List1!$A$6</c:f>
              <c:strCache>
                <c:ptCount val="1"/>
                <c:pt idx="0">
                  <c:v>Biopaliva</c:v>
                </c:pt>
              </c:strCache>
            </c:strRef>
          </c:tx>
          <c:spPr>
            <a:solidFill>
              <a:schemeClr val="accent6">
                <a:lumMod val="75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List1!$B$6:$AF$6</c:f>
              <c:numCache>
                <c:formatCode>0.0</c:formatCode>
                <c:ptCount val="7"/>
                <c:pt idx="0">
                  <c:v>9.7800000000000011</c:v>
                </c:pt>
                <c:pt idx="1">
                  <c:v>18.344644300000002</c:v>
                </c:pt>
                <c:pt idx="2">
                  <c:v>28.081859599999998</c:v>
                </c:pt>
                <c:pt idx="3">
                  <c:v>28.081859599999998</c:v>
                </c:pt>
                <c:pt idx="4">
                  <c:v>28.081859599999998</c:v>
                </c:pt>
                <c:pt idx="5">
                  <c:v>28.081859599999998</c:v>
                </c:pt>
                <c:pt idx="6">
                  <c:v>28.081859600000001</c:v>
                </c:pt>
              </c:numCache>
            </c:numRef>
          </c:val>
        </c:ser>
        <c:ser>
          <c:idx val="5"/>
          <c:order val="5"/>
          <c:tx>
            <c:strRef>
              <c:f>List1!$A$7</c:f>
              <c:strCache>
                <c:ptCount val="1"/>
                <c:pt idx="0">
                  <c:v>Vodní elektrárny</c:v>
                </c:pt>
              </c:strCache>
            </c:strRef>
          </c:tx>
          <c:spPr>
            <a:solidFill>
              <a:schemeClr val="tx2">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List1!$B$7:$AF$7</c:f>
              <c:numCache>
                <c:formatCode>0.0</c:formatCode>
                <c:ptCount val="7"/>
                <c:pt idx="0">
                  <c:v>10.0421064</c:v>
                </c:pt>
                <c:pt idx="1">
                  <c:v>8.9120432051999998</c:v>
                </c:pt>
                <c:pt idx="2">
                  <c:v>9.0817369092</c:v>
                </c:pt>
                <c:pt idx="3">
                  <c:v>9.0880585091999979</c:v>
                </c:pt>
                <c:pt idx="4">
                  <c:v>9.0943801091999994</c:v>
                </c:pt>
                <c:pt idx="5">
                  <c:v>9.1007017091999991</c:v>
                </c:pt>
                <c:pt idx="6">
                  <c:v>9.1070233091999988</c:v>
                </c:pt>
              </c:numCache>
            </c:numRef>
          </c:val>
        </c:ser>
        <c:ser>
          <c:idx val="6"/>
          <c:order val="6"/>
          <c:tx>
            <c:strRef>
              <c:f>List1!$A$8</c:f>
              <c:strCache>
                <c:ptCount val="1"/>
                <c:pt idx="0">
                  <c:v>Větrné elektrárny</c:v>
                </c:pt>
              </c:strCache>
            </c:strRef>
          </c:tx>
          <c:spPr>
            <a:solidFill>
              <a:srgbClr val="92D050"/>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List1!$B$8:$AF$8</c:f>
              <c:numCache>
                <c:formatCode>0.0</c:formatCode>
                <c:ptCount val="7"/>
                <c:pt idx="0">
                  <c:v>1.2077747999999999</c:v>
                </c:pt>
                <c:pt idx="1">
                  <c:v>2.3297999999999996</c:v>
                </c:pt>
                <c:pt idx="2">
                  <c:v>3.6497999999999999</c:v>
                </c:pt>
                <c:pt idx="3">
                  <c:v>4.7822400000000007</c:v>
                </c:pt>
                <c:pt idx="4">
                  <c:v>5.7542400000000011</c:v>
                </c:pt>
                <c:pt idx="5">
                  <c:v>7.00488</c:v>
                </c:pt>
                <c:pt idx="6">
                  <c:v>8.2490400000000008</c:v>
                </c:pt>
              </c:numCache>
            </c:numRef>
          </c:val>
        </c:ser>
        <c:ser>
          <c:idx val="7"/>
          <c:order val="7"/>
          <c:tx>
            <c:strRef>
              <c:f>List1!$A$9</c:f>
              <c:strCache>
                <c:ptCount val="1"/>
                <c:pt idx="0">
                  <c:v>Fotovoltaické elektrárny</c:v>
                </c:pt>
              </c:strCache>
            </c:strRef>
          </c:tx>
          <c:spPr>
            <a:solidFill>
              <a:schemeClr val="accent2">
                <a:lumMod val="60000"/>
                <a:lumOff val="40000"/>
              </a:schemeClr>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List1!$B$9:$AF$9</c:f>
              <c:numCache>
                <c:formatCode>0.0</c:formatCode>
                <c:ptCount val="7"/>
                <c:pt idx="0">
                  <c:v>2.2165200000000005</c:v>
                </c:pt>
                <c:pt idx="1">
                  <c:v>8.1918000000000006</c:v>
                </c:pt>
                <c:pt idx="2">
                  <c:v>8.6530500000000004</c:v>
                </c:pt>
                <c:pt idx="3">
                  <c:v>12.842675999999999</c:v>
                </c:pt>
                <c:pt idx="4">
                  <c:v>12.842675999999999</c:v>
                </c:pt>
                <c:pt idx="5">
                  <c:v>17.012376</c:v>
                </c:pt>
                <c:pt idx="6">
                  <c:v>21.182076000000002</c:v>
                </c:pt>
              </c:numCache>
            </c:numRef>
          </c:val>
        </c:ser>
        <c:ser>
          <c:idx val="8"/>
          <c:order val="8"/>
          <c:tx>
            <c:strRef>
              <c:f>List1!$A$10</c:f>
              <c:strCache>
                <c:ptCount val="1"/>
                <c:pt idx="0">
                  <c:v>Geotermální energie</c:v>
                </c:pt>
              </c:strCache>
            </c:strRef>
          </c:tx>
          <c:spPr>
            <a:solidFill>
              <a:schemeClr val="accent6"/>
            </a:solidFill>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List1!$B$10:$AF$10</c:f>
              <c:numCache>
                <c:formatCode>0.0</c:formatCode>
                <c:ptCount val="7"/>
                <c:pt idx="0">
                  <c:v>0</c:v>
                </c:pt>
                <c:pt idx="1">
                  <c:v>0</c:v>
                </c:pt>
                <c:pt idx="2">
                  <c:v>0.69623999999999997</c:v>
                </c:pt>
                <c:pt idx="3">
                  <c:v>0.99014400000000002</c:v>
                </c:pt>
                <c:pt idx="4">
                  <c:v>1.2376800000000001</c:v>
                </c:pt>
                <c:pt idx="5">
                  <c:v>1.6502399999999999</c:v>
                </c:pt>
                <c:pt idx="6">
                  <c:v>2.4753600000000002</c:v>
                </c:pt>
              </c:numCache>
            </c:numRef>
          </c:val>
        </c:ser>
        <c:ser>
          <c:idx val="9"/>
          <c:order val="9"/>
          <c:tx>
            <c:strRef>
              <c:f>List1!$A$11</c:f>
              <c:strCache>
                <c:ptCount val="1"/>
                <c:pt idx="0">
                  <c:v>Tepelná čerpadla</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List1!$B$11:$AF$11</c:f>
              <c:numCache>
                <c:formatCode>0.0</c:formatCode>
                <c:ptCount val="7"/>
                <c:pt idx="0">
                  <c:v>1.776</c:v>
                </c:pt>
                <c:pt idx="1">
                  <c:v>3.6960000000000002</c:v>
                </c:pt>
                <c:pt idx="2">
                  <c:v>6.5739999999999998</c:v>
                </c:pt>
                <c:pt idx="3">
                  <c:v>8.8584509185502558</c:v>
                </c:pt>
                <c:pt idx="4">
                  <c:v>11.153450918550257</c:v>
                </c:pt>
                <c:pt idx="5">
                  <c:v>13.448450918550257</c:v>
                </c:pt>
                <c:pt idx="6">
                  <c:v>15.743450918550236</c:v>
                </c:pt>
              </c:numCache>
            </c:numRef>
          </c:val>
        </c:ser>
        <c:ser>
          <c:idx val="10"/>
          <c:order val="10"/>
          <c:tx>
            <c:strRef>
              <c:f>List1!$A$12</c:f>
              <c:strCache>
                <c:ptCount val="1"/>
                <c:pt idx="0">
                  <c:v>Solární kolektory</c:v>
                </c:pt>
              </c:strCache>
            </c:strRef>
          </c:tx>
          <c:invertIfNegative val="0"/>
          <c:cat>
            <c:strRef>
              <c:f>List1!$B$1:$AF$1</c:f>
              <c:strCache>
                <c:ptCount val="7"/>
                <c:pt idx="0">
                  <c:v>2010</c:v>
                </c:pt>
                <c:pt idx="1">
                  <c:v>2015</c:v>
                </c:pt>
                <c:pt idx="2">
                  <c:v>2020</c:v>
                </c:pt>
                <c:pt idx="3">
                  <c:v>2025</c:v>
                </c:pt>
                <c:pt idx="4">
                  <c:v>2030</c:v>
                </c:pt>
                <c:pt idx="5">
                  <c:v>2035</c:v>
                </c:pt>
                <c:pt idx="6">
                  <c:v>2040</c:v>
                </c:pt>
              </c:strCache>
            </c:strRef>
          </c:cat>
          <c:val>
            <c:numRef>
              <c:f>List1!$B$12:$AF$12</c:f>
              <c:numCache>
                <c:formatCode>0.0</c:formatCode>
                <c:ptCount val="7"/>
                <c:pt idx="0">
                  <c:v>0.36599999999999999</c:v>
                </c:pt>
                <c:pt idx="1">
                  <c:v>0.8</c:v>
                </c:pt>
                <c:pt idx="2">
                  <c:v>1.35</c:v>
                </c:pt>
                <c:pt idx="3">
                  <c:v>3</c:v>
                </c:pt>
                <c:pt idx="4">
                  <c:v>3.5</c:v>
                </c:pt>
                <c:pt idx="5">
                  <c:v>5</c:v>
                </c:pt>
                <c:pt idx="6">
                  <c:v>5</c:v>
                </c:pt>
              </c:numCache>
            </c:numRef>
          </c:val>
        </c:ser>
        <c:dLbls>
          <c:showLegendKey val="0"/>
          <c:showVal val="0"/>
          <c:showCatName val="0"/>
          <c:showSerName val="0"/>
          <c:showPercent val="0"/>
          <c:showBubbleSize val="0"/>
        </c:dLbls>
        <c:gapWidth val="150"/>
        <c:overlap val="100"/>
        <c:axId val="170852736"/>
        <c:axId val="170854272"/>
      </c:barChart>
      <c:catAx>
        <c:axId val="170852736"/>
        <c:scaling>
          <c:orientation val="minMax"/>
        </c:scaling>
        <c:delete val="0"/>
        <c:axPos val="b"/>
        <c:numFmt formatCode="General" sourceLinked="1"/>
        <c:majorTickMark val="out"/>
        <c:minorTickMark val="none"/>
        <c:tickLblPos val="nextTo"/>
        <c:spPr>
          <a:ln>
            <a:solidFill>
              <a:schemeClr val="bg1">
                <a:lumMod val="65000"/>
              </a:schemeClr>
            </a:solidFill>
          </a:ln>
        </c:spPr>
        <c:txPr>
          <a:bodyPr/>
          <a:lstStyle/>
          <a:p>
            <a:pPr>
              <a:defRPr sz="900" b="0"/>
            </a:pPr>
            <a:endParaRPr lang="cs-CZ"/>
          </a:p>
        </c:txPr>
        <c:crossAx val="170854272"/>
        <c:crosses val="autoZero"/>
        <c:auto val="1"/>
        <c:lblAlgn val="ctr"/>
        <c:lblOffset val="100"/>
        <c:noMultiLvlLbl val="0"/>
      </c:catAx>
      <c:valAx>
        <c:axId val="170854272"/>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0852736"/>
        <c:crosses val="autoZero"/>
        <c:crossBetween val="between"/>
      </c:valAx>
    </c:plotArea>
    <c:legend>
      <c:legendPos val="b"/>
      <c:layout>
        <c:manualLayout>
          <c:xMode val="edge"/>
          <c:yMode val="edge"/>
          <c:x val="9.1282261592300934E-2"/>
          <c:y val="0.81678852643419653"/>
          <c:w val="0.87530566491688588"/>
          <c:h val="0.15940194975628064"/>
        </c:manualLayout>
      </c:layout>
      <c:overlay val="0"/>
      <c:txPr>
        <a:bodyPr/>
        <a:lstStyle/>
        <a:p>
          <a:pPr>
            <a:defRPr sz="900" b="0" spc="0" baseline="0"/>
          </a:pPr>
          <a:endParaRPr lang="cs-CZ"/>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b="1" i="0" baseline="0">
                <a:effectLst/>
              </a:rPr>
              <a:t>Primární energetické zdroje vs. konečná spotřeba energie</a:t>
            </a:r>
            <a:endParaRPr lang="cs-CZ" sz="1200">
              <a:effectLst/>
            </a:endParaRPr>
          </a:p>
        </c:rich>
      </c:tx>
      <c:overlay val="0"/>
    </c:title>
    <c:autoTitleDeleted val="0"/>
    <c:plotArea>
      <c:layout/>
      <c:barChart>
        <c:barDir val="col"/>
        <c:grouping val="clustered"/>
        <c:varyColors val="0"/>
        <c:ser>
          <c:idx val="0"/>
          <c:order val="0"/>
          <c:tx>
            <c:strRef>
              <c:f>List1!$A$2</c:f>
              <c:strCache>
                <c:ptCount val="1"/>
                <c:pt idx="0">
                  <c:v>Primární energetické zdroje</c:v>
                </c:pt>
              </c:strCache>
            </c:strRef>
          </c:tx>
          <c:spPr>
            <a:pattFill prst="pct50">
              <a:fgClr>
                <a:schemeClr val="accent1"/>
              </a:fgClr>
              <a:bgClr>
                <a:schemeClr val="bg1"/>
              </a:bgClr>
            </a:pattFill>
            <a:ln>
              <a:solidFill>
                <a:schemeClr val="tx2"/>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List1!$B$2:$AF$2</c:f>
              <c:numCache>
                <c:formatCode>0.0</c:formatCode>
                <c:ptCount val="7"/>
                <c:pt idx="0">
                  <c:v>1854.3049315049091</c:v>
                </c:pt>
                <c:pt idx="1">
                  <c:v>1852.313375718694</c:v>
                </c:pt>
                <c:pt idx="2">
                  <c:v>1825.7308359534982</c:v>
                </c:pt>
                <c:pt idx="3">
                  <c:v>1771.1243838124515</c:v>
                </c:pt>
                <c:pt idx="4">
                  <c:v>1756.4988933171851</c:v>
                </c:pt>
                <c:pt idx="5">
                  <c:v>1796.6092939709333</c:v>
                </c:pt>
                <c:pt idx="6">
                  <c:v>1746.3634596416168</c:v>
                </c:pt>
              </c:numCache>
            </c:numRef>
          </c:val>
        </c:ser>
        <c:ser>
          <c:idx val="1"/>
          <c:order val="1"/>
          <c:tx>
            <c:strRef>
              <c:f>List1!$A$3</c:f>
              <c:strCache>
                <c:ptCount val="1"/>
                <c:pt idx="0">
                  <c:v>Konečná spotřeba energie</c:v>
                </c:pt>
              </c:strCache>
            </c:strRef>
          </c:tx>
          <c:spPr>
            <a:pattFill prst="pct50">
              <a:fgClr>
                <a:schemeClr val="accent2"/>
              </a:fgClr>
              <a:bgClr>
                <a:schemeClr val="bg1"/>
              </a:bgClr>
            </a:pattFill>
            <a:ln>
              <a:solidFill>
                <a:srgbClr val="C00000"/>
              </a:solidFill>
            </a:ln>
          </c:spPr>
          <c:invertIfNegative val="0"/>
          <c:cat>
            <c:strRef>
              <c:f>List1!$B$1:$AF$1</c:f>
              <c:strCache>
                <c:ptCount val="7"/>
                <c:pt idx="0">
                  <c:v>2010</c:v>
                </c:pt>
                <c:pt idx="1">
                  <c:v>2015</c:v>
                </c:pt>
                <c:pt idx="2">
                  <c:v>2020</c:v>
                </c:pt>
                <c:pt idx="3">
                  <c:v>2025</c:v>
                </c:pt>
                <c:pt idx="4">
                  <c:v>2030</c:v>
                </c:pt>
                <c:pt idx="5">
                  <c:v>2035</c:v>
                </c:pt>
                <c:pt idx="6">
                  <c:v>2040</c:v>
                </c:pt>
              </c:strCache>
            </c:strRef>
          </c:cat>
          <c:val>
            <c:numRef>
              <c:f>List1!$B$3:$AF$3</c:f>
              <c:numCache>
                <c:formatCode>0.0</c:formatCode>
                <c:ptCount val="7"/>
                <c:pt idx="0">
                  <c:v>1131.8187999999998</c:v>
                </c:pt>
                <c:pt idx="1">
                  <c:v>1146.6174845738367</c:v>
                </c:pt>
                <c:pt idx="2">
                  <c:v>1156.1504114112117</c:v>
                </c:pt>
                <c:pt idx="3">
                  <c:v>1164.8442274903944</c:v>
                </c:pt>
                <c:pt idx="4">
                  <c:v>1163.9819475934241</c:v>
                </c:pt>
                <c:pt idx="5">
                  <c:v>1160.034866888898</c:v>
                </c:pt>
                <c:pt idx="6">
                  <c:v>1146.4198558312769</c:v>
                </c:pt>
              </c:numCache>
            </c:numRef>
          </c:val>
        </c:ser>
        <c:dLbls>
          <c:showLegendKey val="0"/>
          <c:showVal val="0"/>
          <c:showCatName val="0"/>
          <c:showSerName val="0"/>
          <c:showPercent val="0"/>
          <c:showBubbleSize val="0"/>
        </c:dLbls>
        <c:gapWidth val="150"/>
        <c:axId val="170884096"/>
        <c:axId val="170885888"/>
      </c:barChart>
      <c:catAx>
        <c:axId val="170884096"/>
        <c:scaling>
          <c:orientation val="minMax"/>
        </c:scaling>
        <c:delete val="0"/>
        <c:axPos val="b"/>
        <c:numFmt formatCode="General" sourceLinked="0"/>
        <c:majorTickMark val="out"/>
        <c:minorTickMark val="none"/>
        <c:tickLblPos val="nextTo"/>
        <c:spPr>
          <a:ln>
            <a:solidFill>
              <a:schemeClr val="bg1">
                <a:lumMod val="65000"/>
              </a:schemeClr>
            </a:solidFill>
          </a:ln>
        </c:spPr>
        <c:txPr>
          <a:bodyPr/>
          <a:lstStyle/>
          <a:p>
            <a:pPr>
              <a:defRPr sz="900" b="0"/>
            </a:pPr>
            <a:endParaRPr lang="cs-CZ"/>
          </a:p>
        </c:txPr>
        <c:crossAx val="170885888"/>
        <c:crosses val="autoZero"/>
        <c:auto val="1"/>
        <c:lblAlgn val="ctr"/>
        <c:lblOffset val="100"/>
        <c:noMultiLvlLbl val="0"/>
      </c:catAx>
      <c:valAx>
        <c:axId val="170885888"/>
        <c:scaling>
          <c:orientation val="minMax"/>
        </c:scaling>
        <c:delete val="0"/>
        <c:axPos val="l"/>
        <c:majorGridlines>
          <c:spPr>
            <a:ln>
              <a:solidFill>
                <a:schemeClr val="bg1">
                  <a:lumMod val="85000"/>
                </a:schemeClr>
              </a:solidFill>
              <a:prstDash val="sysDash"/>
            </a:ln>
          </c:spPr>
        </c:majorGridlines>
        <c:title>
          <c:tx>
            <c:rich>
              <a:bodyPr rot="-5400000" vert="horz"/>
              <a:lstStyle/>
              <a:p>
                <a:pPr>
                  <a:defRPr/>
                </a:pPr>
                <a:r>
                  <a:rPr lang="cs-CZ"/>
                  <a:t>PJ</a:t>
                </a:r>
              </a:p>
            </c:rich>
          </c:tx>
          <c:overlay val="0"/>
        </c:title>
        <c:numFmt formatCode="#,##0" sourceLinked="0"/>
        <c:majorTickMark val="out"/>
        <c:minorTickMark val="none"/>
        <c:tickLblPos val="nextTo"/>
        <c:spPr>
          <a:ln>
            <a:solidFill>
              <a:schemeClr val="bg1">
                <a:lumMod val="65000"/>
              </a:schemeClr>
            </a:solidFill>
          </a:ln>
        </c:spPr>
        <c:txPr>
          <a:bodyPr/>
          <a:lstStyle/>
          <a:p>
            <a:pPr>
              <a:defRPr sz="900" b="0"/>
            </a:pPr>
            <a:endParaRPr lang="cs-CZ"/>
          </a:p>
        </c:txPr>
        <c:crossAx val="170884096"/>
        <c:crosses val="autoZero"/>
        <c:crossBetween val="between"/>
      </c:valAx>
    </c:plotArea>
    <c:legend>
      <c:legendPos val="b"/>
      <c:overlay val="0"/>
      <c:txPr>
        <a:bodyPr/>
        <a:lstStyle/>
        <a:p>
          <a:pPr>
            <a:defRPr sz="1000" b="0"/>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E3805-CA71-4A83-B18A-44550A87EBB7}">
  <ds:schemaRefs>
    <ds:schemaRef ds:uri="http://schemas.openxmlformats.org/officeDocument/2006/bibliography"/>
  </ds:schemaRefs>
</ds:datastoreItem>
</file>

<file path=customXml/itemProps2.xml><?xml version="1.0" encoding="utf-8"?>
<ds:datastoreItem xmlns:ds="http://schemas.openxmlformats.org/officeDocument/2006/customXml" ds:itemID="{238DCEC7-4035-4ED0-B3D7-7323BE6CB9E3}">
  <ds:schemaRefs>
    <ds:schemaRef ds:uri="http://schemas.openxmlformats.org/officeDocument/2006/bibliography"/>
  </ds:schemaRefs>
</ds:datastoreItem>
</file>

<file path=customXml/itemProps3.xml><?xml version="1.0" encoding="utf-8"?>
<ds:datastoreItem xmlns:ds="http://schemas.openxmlformats.org/officeDocument/2006/customXml" ds:itemID="{76F8B054-61A7-422E-A51C-32A29E286730}">
  <ds:schemaRefs>
    <ds:schemaRef ds:uri="http://schemas.openxmlformats.org/officeDocument/2006/bibliography"/>
  </ds:schemaRefs>
</ds:datastoreItem>
</file>

<file path=customXml/itemProps4.xml><?xml version="1.0" encoding="utf-8"?>
<ds:datastoreItem xmlns:ds="http://schemas.openxmlformats.org/officeDocument/2006/customXml" ds:itemID="{6867519E-D301-49EC-88FE-63D46995F320}">
  <ds:schemaRefs>
    <ds:schemaRef ds:uri="http://schemas.openxmlformats.org/officeDocument/2006/bibliography"/>
  </ds:schemaRefs>
</ds:datastoreItem>
</file>

<file path=customXml/itemProps5.xml><?xml version="1.0" encoding="utf-8"?>
<ds:datastoreItem xmlns:ds="http://schemas.openxmlformats.org/officeDocument/2006/customXml" ds:itemID="{9BA7B05A-6FDA-401D-8ED5-E41C000B0DEC}">
  <ds:schemaRefs>
    <ds:schemaRef ds:uri="http://schemas.openxmlformats.org/officeDocument/2006/bibliography"/>
  </ds:schemaRefs>
</ds:datastoreItem>
</file>

<file path=customXml/itemProps6.xml><?xml version="1.0" encoding="utf-8"?>
<ds:datastoreItem xmlns:ds="http://schemas.openxmlformats.org/officeDocument/2006/customXml" ds:itemID="{8302E638-FE92-4127-AD30-25F5F9E8289C}">
  <ds:schemaRefs>
    <ds:schemaRef ds:uri="http://schemas.openxmlformats.org/officeDocument/2006/bibliography"/>
  </ds:schemaRefs>
</ds:datastoreItem>
</file>

<file path=customXml/itemProps7.xml><?xml version="1.0" encoding="utf-8"?>
<ds:datastoreItem xmlns:ds="http://schemas.openxmlformats.org/officeDocument/2006/customXml" ds:itemID="{FBFA27E5-4D6A-4D95-ACF2-5336F03033D8}">
  <ds:schemaRefs>
    <ds:schemaRef ds:uri="http://schemas.openxmlformats.org/officeDocument/2006/bibliography"/>
  </ds:schemaRefs>
</ds:datastoreItem>
</file>

<file path=customXml/itemProps8.xml><?xml version="1.0" encoding="utf-8"?>
<ds:datastoreItem xmlns:ds="http://schemas.openxmlformats.org/officeDocument/2006/customXml" ds:itemID="{5B1FF3FB-E935-4C6B-99D7-1CA76EC1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42535</Words>
  <Characters>250960</Characters>
  <Application>Microsoft Office Word</Application>
  <DocSecurity>0</DocSecurity>
  <Lines>2091</Lines>
  <Paragraphs>585</Paragraphs>
  <ScaleCrop>false</ScaleCrop>
  <HeadingPairs>
    <vt:vector size="2" baseType="variant">
      <vt:variant>
        <vt:lpstr>Název</vt:lpstr>
      </vt:variant>
      <vt:variant>
        <vt:i4>1</vt:i4>
      </vt:variant>
    </vt:vector>
  </HeadingPairs>
  <TitlesOfParts>
    <vt:vector size="1" baseType="lpstr">
      <vt:lpstr>Pracovní verze Výtisk č. 2 ze dne 2.7.2012 -</vt:lpstr>
    </vt:vector>
  </TitlesOfParts>
  <Company>Ministerstvo průmyslu a obchodu</Company>
  <LinksUpToDate>false</LinksUpToDate>
  <CharactersWithSpaces>292910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verze Výtisk č. 2 ze dne 2.7.2012 -</dc:title>
  <dc:creator>Státní energetická koncepce</dc:creator>
  <cp:lastModifiedBy>pavsol</cp:lastModifiedBy>
  <cp:revision>2</cp:revision>
  <cp:lastPrinted>2014-08-21T11:04:00Z</cp:lastPrinted>
  <dcterms:created xsi:type="dcterms:W3CDTF">2014-12-14T13:25:00Z</dcterms:created>
  <dcterms:modified xsi:type="dcterms:W3CDTF">2014-12-14T13:25:00Z</dcterms:modified>
</cp:coreProperties>
</file>